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0"/>
          <w:szCs w:val="20"/>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82550</wp:posOffset>
            </wp:positionV>
            <wp:extent cx="142303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86"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92075</wp:posOffset>
            </wp:positionV>
            <wp:extent cx="142303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7" w:lineRule="exact"/>
        <w:rPr>
          <w:sz w:val="24"/>
          <w:szCs w:val="24"/>
          <w:color w:val="auto"/>
        </w:rPr>
      </w:pPr>
    </w:p>
    <w:p>
      <w:pPr>
        <w:ind w:left="3640" w:right="1720" w:hanging="3632"/>
        <w:spacing w:after="0" w:line="349" w:lineRule="auto"/>
        <w:tabs>
          <w:tab w:leader="none" w:pos="375"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September 30, 2021</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90" w:lineRule="exact"/>
        <w:rPr>
          <w:sz w:val="24"/>
          <w:szCs w:val="24"/>
          <w:color w:val="auto"/>
        </w:rPr>
      </w:pPr>
    </w:p>
    <w:p>
      <w:pPr>
        <w:ind w:left="4200" w:right="1720" w:hanging="4192"/>
        <w:spacing w:after="0" w:line="376" w:lineRule="auto"/>
        <w:tabs>
          <w:tab w:leader="none" w:pos="37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 Commission File Number: 001-37783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-13970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Clearside Biomedical, Inc.</w:t>
      </w:r>
    </w:p>
    <w:p>
      <w:pPr>
        <w:spacing w:after="0" w:line="2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77470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p>
      <w:pPr>
        <w:spacing w:after="0" w:line="387" w:lineRule="exact"/>
        <w:rPr>
          <w:sz w:val="24"/>
          <w:szCs w:val="24"/>
          <w:color w:val="auto"/>
        </w:rPr>
      </w:pPr>
    </w:p>
    <w:p>
      <w:pPr>
        <w:jc w:val="center"/>
        <w:ind w:right="1500"/>
        <w:spacing w:after="0"/>
        <w:rPr>
          <w:sz w:val="20"/>
          <w:szCs w:val="20"/>
          <w:color w:val="auto"/>
        </w:rPr>
      </w:pPr>
      <w:r>
        <w:rPr>
          <w:rFonts w:ascii="Arial" w:cs="Arial" w:eastAsia="Arial" w:hAnsi="Arial"/>
          <w:sz w:val="18"/>
          <w:szCs w:val="18"/>
          <w:b w:val="1"/>
          <w:bCs w:val="1"/>
          <w:color w:val="auto"/>
        </w:rPr>
        <w:t>Delaware</w:t>
      </w:r>
    </w:p>
    <w:p>
      <w:pPr>
        <w:spacing w:after="0" w:line="45" w:lineRule="exact"/>
        <w:rPr>
          <w:sz w:val="24"/>
          <w:szCs w:val="24"/>
          <w:color w:val="auto"/>
        </w:rPr>
      </w:pPr>
    </w:p>
    <w:p>
      <w:pPr>
        <w:ind w:left="1920"/>
        <w:spacing w:after="0"/>
        <w:rPr>
          <w:sz w:val="20"/>
          <w:szCs w:val="20"/>
          <w:color w:val="auto"/>
        </w:rPr>
      </w:pPr>
      <w:r>
        <w:rPr>
          <w:rFonts w:ascii="Arial" w:cs="Arial" w:eastAsia="Arial" w:hAnsi="Arial"/>
          <w:sz w:val="13"/>
          <w:szCs w:val="13"/>
          <w:b w:val="1"/>
          <w:bCs w:val="1"/>
          <w:color w:val="auto"/>
        </w:rPr>
        <w:t>(State or other jurisdiction of</w:t>
      </w:r>
    </w:p>
    <w:p>
      <w:pPr>
        <w:spacing w:after="0" w:line="37" w:lineRule="exact"/>
        <w:rPr>
          <w:sz w:val="24"/>
          <w:szCs w:val="24"/>
          <w:color w:val="auto"/>
        </w:rPr>
      </w:pPr>
    </w:p>
    <w:p>
      <w:pPr>
        <w:ind w:left="188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367" w:lineRule="exact"/>
        <w:rPr>
          <w:sz w:val="24"/>
          <w:szCs w:val="24"/>
          <w:color w:val="auto"/>
        </w:rPr>
      </w:pPr>
    </w:p>
    <w:p>
      <w:pPr>
        <w:jc w:val="center"/>
        <w:ind w:right="2240"/>
        <w:spacing w:after="0"/>
        <w:rPr>
          <w:sz w:val="20"/>
          <w:szCs w:val="20"/>
          <w:color w:val="auto"/>
        </w:rPr>
      </w:pPr>
      <w:r>
        <w:rPr>
          <w:rFonts w:ascii="Arial" w:cs="Arial" w:eastAsia="Arial" w:hAnsi="Arial"/>
          <w:sz w:val="18"/>
          <w:szCs w:val="18"/>
          <w:b w:val="1"/>
          <w:bCs w:val="1"/>
          <w:color w:val="auto"/>
        </w:rPr>
        <w:t>45-2437375</w:t>
      </w:r>
    </w:p>
    <w:p>
      <w:pPr>
        <w:spacing w:after="0" w:line="59" w:lineRule="exact"/>
        <w:rPr>
          <w:sz w:val="24"/>
          <w:szCs w:val="24"/>
          <w:color w:val="auto"/>
        </w:rPr>
      </w:pPr>
    </w:p>
    <w:p>
      <w:pPr>
        <w:ind w:left="60"/>
        <w:spacing w:after="0"/>
        <w:rPr>
          <w:sz w:val="20"/>
          <w:szCs w:val="20"/>
          <w:color w:val="auto"/>
        </w:rPr>
      </w:pPr>
      <w:r>
        <w:rPr>
          <w:rFonts w:ascii="Arial" w:cs="Arial" w:eastAsia="Arial" w:hAnsi="Arial"/>
          <w:sz w:val="14"/>
          <w:szCs w:val="14"/>
          <w:b w:val="1"/>
          <w:bCs w:val="1"/>
          <w:color w:val="auto"/>
        </w:rPr>
        <w:t>(I.R.S. Employer</w:t>
      </w:r>
    </w:p>
    <w:p>
      <w:pPr>
        <w:spacing w:after="0" w:line="25"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Identification No.)</w:t>
      </w:r>
    </w:p>
    <w:p>
      <w:pPr>
        <w:spacing w:after="0" w:line="47" w:lineRule="exact"/>
        <w:rPr>
          <w:sz w:val="24"/>
          <w:szCs w:val="24"/>
          <w:color w:val="auto"/>
        </w:rPr>
      </w:pPr>
    </w:p>
    <w:p>
      <w:pPr>
        <w:sectPr>
          <w:pgSz w:w="11900" w:h="16838" w:orient="portrait"/>
          <w:cols w:equalWidth="0" w:num="2">
            <w:col w:w="7140" w:space="720"/>
            <w:col w:w="3380"/>
          </w:cols>
          <w:pgMar w:left="320" w:top="576" w:right="339" w:bottom="1440" w:gutter="0" w:footer="0" w:header="0"/>
          <w:type w:val="continuous"/>
        </w:sectPr>
      </w:pPr>
    </w:p>
    <w:p>
      <w:pPr>
        <w:ind w:left="1440"/>
        <w:spacing w:after="0"/>
        <w:rPr>
          <w:sz w:val="20"/>
          <w:szCs w:val="20"/>
          <w:color w:val="auto"/>
        </w:rPr>
      </w:pPr>
      <w:r>
        <w:rPr>
          <w:rFonts w:ascii="Arial" w:cs="Arial" w:eastAsia="Arial" w:hAnsi="Arial"/>
          <w:sz w:val="18"/>
          <w:szCs w:val="18"/>
          <w:b w:val="1"/>
          <w:bCs w:val="1"/>
          <w:color w:val="auto"/>
        </w:rPr>
        <w:t>900 North Point Parkway, Suite 200</w:t>
      </w:r>
    </w:p>
    <w:p>
      <w:pPr>
        <w:spacing w:after="0" w:line="27" w:lineRule="exact"/>
        <w:rPr>
          <w:sz w:val="24"/>
          <w:szCs w:val="24"/>
          <w:color w:val="auto"/>
        </w:rPr>
      </w:pPr>
    </w:p>
    <w:p>
      <w:pPr>
        <w:ind w:left="2220"/>
        <w:spacing w:after="0"/>
        <w:tabs>
          <w:tab w:leader="none" w:pos="8180" w:val="left"/>
        </w:tabs>
        <w:rPr>
          <w:sz w:val="20"/>
          <w:szCs w:val="20"/>
          <w:color w:val="auto"/>
        </w:rPr>
      </w:pPr>
      <w:r>
        <w:rPr>
          <w:rFonts w:ascii="Arial" w:cs="Arial" w:eastAsia="Arial" w:hAnsi="Arial"/>
          <w:sz w:val="18"/>
          <w:szCs w:val="18"/>
          <w:b w:val="1"/>
          <w:bCs w:val="1"/>
          <w:color w:val="auto"/>
        </w:rPr>
        <w:t>Alpharetta, GA</w:t>
      </w:r>
      <w:r>
        <w:rPr>
          <w:sz w:val="20"/>
          <w:szCs w:val="20"/>
          <w:color w:val="auto"/>
        </w:rPr>
        <w:tab/>
      </w:r>
      <w:r>
        <w:rPr>
          <w:rFonts w:ascii="Arial" w:cs="Arial" w:eastAsia="Arial" w:hAnsi="Arial"/>
          <w:sz w:val="16"/>
          <w:szCs w:val="16"/>
          <w:b w:val="1"/>
          <w:bCs w:val="1"/>
          <w:color w:val="auto"/>
        </w:rPr>
        <w:t>30005</w:t>
      </w:r>
    </w:p>
    <w:p>
      <w:pPr>
        <w:spacing w:after="0" w:line="40" w:lineRule="exact"/>
        <w:rPr>
          <w:sz w:val="24"/>
          <w:szCs w:val="24"/>
          <w:color w:val="auto"/>
        </w:rPr>
      </w:pPr>
    </w:p>
    <w:p>
      <w:pPr>
        <w:ind w:left="1620"/>
        <w:spacing w:after="0"/>
        <w:tabs>
          <w:tab w:leader="none" w:pos="8080" w:val="left"/>
        </w:tabs>
        <w:rPr>
          <w:sz w:val="20"/>
          <w:szCs w:val="20"/>
          <w:color w:val="auto"/>
        </w:rPr>
      </w:pPr>
      <w:r>
        <w:rPr>
          <w:rFonts w:ascii="Arial" w:cs="Arial" w:eastAsia="Arial" w:hAnsi="Arial"/>
          <w:sz w:val="14"/>
          <w:szCs w:val="14"/>
          <w:b w:val="1"/>
          <w:bCs w:val="1"/>
          <w:color w:val="auto"/>
        </w:rPr>
        <w:t>(Address of principal executive offices)</w:t>
      </w:r>
      <w:r>
        <w:rPr>
          <w:sz w:val="20"/>
          <w:szCs w:val="20"/>
          <w:color w:val="auto"/>
        </w:rPr>
        <w:tab/>
      </w:r>
      <w:r>
        <w:rPr>
          <w:rFonts w:ascii="Arial" w:cs="Arial" w:eastAsia="Arial" w:hAnsi="Arial"/>
          <w:sz w:val="13"/>
          <w:szCs w:val="13"/>
          <w:b w:val="1"/>
          <w:bCs w:val="1"/>
          <w:color w:val="auto"/>
        </w:rPr>
        <w:t>(Zip Code)</w:t>
      </w:r>
    </w:p>
    <w:p>
      <w:pPr>
        <w:spacing w:after="0" w:line="10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(678) 270-3631</w:t>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10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90"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77470</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50" w:lineRule="exact"/>
        <w:rPr>
          <w:sz w:val="24"/>
          <w:szCs w:val="24"/>
          <w:color w:val="auto"/>
        </w:rPr>
      </w:pPr>
    </w:p>
    <w:p>
      <w:pPr>
        <w:ind w:left="52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17" w:lineRule="exact"/>
        <w:rPr>
          <w:sz w:val="24"/>
          <w:szCs w:val="24"/>
          <w:color w:val="auto"/>
        </w:rPr>
      </w:pPr>
    </w:p>
    <w:p>
      <w:pPr>
        <w:ind w:left="1440"/>
        <w:spacing w:after="0"/>
        <w:tabs>
          <w:tab w:leader="none" w:pos="4640" w:val="left"/>
          <w:tab w:leader="none" w:pos="7300" w:val="left"/>
        </w:tabs>
        <w:rPr>
          <w:sz w:val="20"/>
          <w:szCs w:val="20"/>
          <w:color w:val="auto"/>
        </w:rPr>
      </w:pPr>
      <w:r>
        <w:rPr>
          <w:rFonts w:ascii="Arial" w:cs="Arial" w:eastAsia="Arial" w:hAnsi="Arial"/>
          <w:sz w:val="18"/>
          <w:szCs w:val="18"/>
          <w:color w:val="auto"/>
        </w:rPr>
        <w:t>Title of each class</w:t>
      </w:r>
      <w:r>
        <w:rPr>
          <w:sz w:val="20"/>
          <w:szCs w:val="20"/>
          <w:color w:val="auto"/>
        </w:rPr>
        <w:tab/>
      </w:r>
      <w:r>
        <w:rPr>
          <w:rFonts w:ascii="Arial" w:cs="Arial" w:eastAsia="Arial" w:hAnsi="Arial"/>
          <w:sz w:val="18"/>
          <w:szCs w:val="18"/>
          <w:color w:val="auto"/>
        </w:rPr>
        <w:t>Trading Symbol(s)</w:t>
      </w:r>
      <w:r>
        <w:rPr>
          <w:sz w:val="20"/>
          <w:szCs w:val="20"/>
          <w:color w:val="auto"/>
        </w:rPr>
        <w:tab/>
      </w:r>
      <w:r>
        <w:rPr>
          <w:rFonts w:ascii="Arial" w:cs="Arial" w:eastAsia="Arial" w:hAnsi="Arial"/>
          <w:sz w:val="16"/>
          <w:szCs w:val="16"/>
          <w:color w:val="auto"/>
        </w:rPr>
        <w:t>Name of each exchange on which registered</w:t>
      </w:r>
    </w:p>
    <w:p>
      <w:pPr>
        <w:spacing w:after="0" w:line="50" w:lineRule="exact"/>
        <w:rPr>
          <w:sz w:val="24"/>
          <w:szCs w:val="24"/>
          <w:color w:val="auto"/>
        </w:rPr>
      </w:pPr>
    </w:p>
    <w:p>
      <w:pPr>
        <w:ind w:left="540"/>
        <w:spacing w:after="0"/>
        <w:tabs>
          <w:tab w:leader="none" w:pos="5100" w:val="left"/>
          <w:tab w:leader="none" w:pos="7760" w:val="left"/>
        </w:tabs>
        <w:rPr>
          <w:sz w:val="20"/>
          <w:szCs w:val="20"/>
          <w:color w:val="auto"/>
        </w:rPr>
      </w:pPr>
      <w:r>
        <w:rPr>
          <w:rFonts w:ascii="Arial" w:cs="Arial" w:eastAsia="Arial" w:hAnsi="Arial"/>
          <w:sz w:val="18"/>
          <w:szCs w:val="18"/>
          <w:color w:val="auto"/>
        </w:rPr>
        <w:t>Common Stock, par value $0.001 per share</w:t>
      </w:r>
      <w:r>
        <w:rPr>
          <w:sz w:val="20"/>
          <w:szCs w:val="20"/>
          <w:color w:val="auto"/>
        </w:rPr>
        <w:tab/>
      </w:r>
      <w:r>
        <w:rPr>
          <w:rFonts w:ascii="Arial" w:cs="Arial" w:eastAsia="Arial" w:hAnsi="Arial"/>
          <w:sz w:val="18"/>
          <w:szCs w:val="18"/>
          <w:color w:val="auto"/>
        </w:rPr>
        <w:t>CLSD</w:t>
      </w:r>
      <w:r>
        <w:rPr>
          <w:sz w:val="20"/>
          <w:szCs w:val="20"/>
          <w:color w:val="auto"/>
        </w:rPr>
        <w:tab/>
      </w:r>
      <w:r>
        <w:rPr>
          <w:rFonts w:ascii="Arial" w:cs="Arial" w:eastAsia="Arial" w:hAnsi="Arial"/>
          <w:sz w:val="16"/>
          <w:szCs w:val="16"/>
          <w:color w:val="auto"/>
        </w:rPr>
        <w:t>The Nasdaq Stock Market LLC</w:t>
      </w:r>
    </w:p>
    <w:p>
      <w:pPr>
        <w:spacing w:after="0" w:line="104" w:lineRule="exact"/>
        <w:rPr>
          <w:sz w:val="24"/>
          <w:szCs w:val="24"/>
          <w:color w:val="auto"/>
        </w:rPr>
      </w:pPr>
    </w:p>
    <w:p>
      <w:pPr>
        <w:ind w:right="60" w:firstLine="509"/>
        <w:spacing w:after="0" w:line="23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61" w:lineRule="exact"/>
        <w:rPr>
          <w:sz w:val="24"/>
          <w:szCs w:val="24"/>
          <w:color w:val="auto"/>
        </w:rPr>
      </w:pPr>
    </w:p>
    <w:p>
      <w:pPr>
        <w:ind w:right="40" w:firstLine="509"/>
        <w:spacing w:after="0" w:line="23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47" w:lineRule="exact"/>
        <w:rPr>
          <w:sz w:val="24"/>
          <w:szCs w:val="24"/>
          <w:color w:val="auto"/>
        </w:rPr>
      </w:pPr>
    </w:p>
    <w:p>
      <w:pPr>
        <w:ind w:right="20" w:firstLine="509"/>
        <w:spacing w:after="0" w:line="279"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63" w:lineRule="exact"/>
        <w:rPr>
          <w:sz w:val="24"/>
          <w:szCs w:val="24"/>
          <w:color w:val="auto"/>
        </w:rPr>
      </w:pPr>
    </w:p>
    <w:tbl>
      <w:tblPr>
        <w:tblLayout w:type="fixed"/>
        <w:tblInd w:w="20" w:type="dxa"/>
        <w:tblCellMar>
          <w:top w:w="0" w:type="dxa"/>
          <w:left w:w="0" w:type="dxa"/>
          <w:bottom w:w="0" w:type="dxa"/>
          <w:right w:w="0" w:type="dxa"/>
        </w:tblCellMar>
      </w:tblPr>
      <w:tr>
        <w:trPr>
          <w:trHeight w:val="283"/>
        </w:trPr>
        <w:tc>
          <w:tcPr>
            <w:tcW w:w="21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260" w:type="dxa"/>
            <w:vAlign w:val="bottom"/>
          </w:tcPr>
          <w:p>
            <w:pPr>
              <w:ind w:left="500"/>
              <w:spacing w:after="0" w:line="181" w:lineRule="exact"/>
              <w:rPr>
                <w:sz w:val="20"/>
                <w:szCs w:val="20"/>
                <w:color w:val="auto"/>
              </w:rPr>
            </w:pPr>
            <w:r>
              <w:rPr>
                <w:rFonts w:ascii="MS PGothic" w:cs="MS PGothic" w:eastAsia="MS PGothic" w:hAnsi="MS PGothic"/>
                <w:sz w:val="18"/>
                <w:szCs w:val="18"/>
                <w:color w:val="auto"/>
              </w:rPr>
              <w:t>☐</w:t>
            </w:r>
          </w:p>
        </w:tc>
        <w:tc>
          <w:tcPr>
            <w:tcW w:w="5100" w:type="dxa"/>
            <w:vAlign w:val="bottom"/>
          </w:tcPr>
          <w:p>
            <w:pPr>
              <w:ind w:left="2600"/>
              <w:spacing w:after="0"/>
              <w:rPr>
                <w:sz w:val="20"/>
                <w:szCs w:val="20"/>
                <w:color w:val="auto"/>
              </w:rPr>
            </w:pPr>
            <w:r>
              <w:rPr>
                <w:rFonts w:ascii="Arial" w:cs="Arial" w:eastAsia="Arial" w:hAnsi="Arial"/>
                <w:sz w:val="18"/>
                <w:szCs w:val="18"/>
                <w:color w:val="auto"/>
              </w:rPr>
              <w:t>Accelerated filer</w:t>
            </w:r>
          </w:p>
        </w:tc>
        <w:tc>
          <w:tcPr>
            <w:tcW w:w="680" w:type="dxa"/>
            <w:vAlign w:val="bottom"/>
          </w:tcPr>
          <w:p>
            <w:pPr>
              <w:ind w:left="5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91"/>
        </w:trPr>
        <w:tc>
          <w:tcPr>
            <w:tcW w:w="2120" w:type="dxa"/>
            <w:vAlign w:val="bottom"/>
          </w:tcPr>
          <w:p>
            <w:pPr>
              <w:spacing w:after="0"/>
              <w:rPr>
                <w:sz w:val="20"/>
                <w:szCs w:val="20"/>
                <w:color w:val="auto"/>
              </w:rPr>
            </w:pPr>
            <w:r>
              <w:rPr>
                <w:rFonts w:ascii="Arial" w:cs="Arial" w:eastAsia="Arial" w:hAnsi="Arial"/>
                <w:sz w:val="18"/>
                <w:szCs w:val="18"/>
                <w:color w:val="auto"/>
              </w:rPr>
              <w:t>Non-accelerated filer</w:t>
            </w:r>
          </w:p>
        </w:tc>
        <w:tc>
          <w:tcPr>
            <w:tcW w:w="3260" w:type="dxa"/>
            <w:vAlign w:val="bottom"/>
          </w:tcPr>
          <w:p>
            <w:pPr>
              <w:ind w:left="500"/>
              <w:spacing w:after="0" w:line="181" w:lineRule="exact"/>
              <w:rPr>
                <w:sz w:val="20"/>
                <w:szCs w:val="20"/>
                <w:color w:val="auto"/>
              </w:rPr>
            </w:pPr>
            <w:r>
              <w:rPr>
                <w:rFonts w:ascii="MS PGothic" w:cs="MS PGothic" w:eastAsia="MS PGothic" w:hAnsi="MS PGothic"/>
                <w:sz w:val="18"/>
                <w:szCs w:val="18"/>
                <w:color w:val="auto"/>
              </w:rPr>
              <w:t>☒</w:t>
            </w:r>
          </w:p>
        </w:tc>
        <w:tc>
          <w:tcPr>
            <w:tcW w:w="5100" w:type="dxa"/>
            <w:vAlign w:val="bottom"/>
          </w:tcPr>
          <w:p>
            <w:pPr>
              <w:ind w:left="2600"/>
              <w:spacing w:after="0"/>
              <w:rPr>
                <w:sz w:val="20"/>
                <w:szCs w:val="20"/>
                <w:color w:val="auto"/>
              </w:rPr>
            </w:pPr>
            <w:r>
              <w:rPr>
                <w:rFonts w:ascii="Arial" w:cs="Arial" w:eastAsia="Arial" w:hAnsi="Arial"/>
                <w:sz w:val="18"/>
                <w:szCs w:val="18"/>
                <w:color w:val="auto"/>
              </w:rPr>
              <w:t>Smaller reporting company</w:t>
            </w:r>
          </w:p>
        </w:tc>
        <w:tc>
          <w:tcPr>
            <w:tcW w:w="680" w:type="dxa"/>
            <w:vAlign w:val="bottom"/>
          </w:tcPr>
          <w:p>
            <w:pPr>
              <w:ind w:left="5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91"/>
        </w:trPr>
        <w:tc>
          <w:tcPr>
            <w:tcW w:w="21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5100" w:type="dxa"/>
            <w:vAlign w:val="bottom"/>
          </w:tcPr>
          <w:p>
            <w:pPr>
              <w:ind w:left="2600"/>
              <w:spacing w:after="0"/>
              <w:rPr>
                <w:sz w:val="20"/>
                <w:szCs w:val="20"/>
                <w:color w:val="auto"/>
              </w:rPr>
            </w:pPr>
            <w:r>
              <w:rPr>
                <w:rFonts w:ascii="Arial" w:cs="Arial" w:eastAsia="Arial" w:hAnsi="Arial"/>
                <w:sz w:val="18"/>
                <w:szCs w:val="18"/>
                <w:color w:val="auto"/>
              </w:rPr>
              <w:t>Emerging growth company</w:t>
            </w:r>
          </w:p>
        </w:tc>
        <w:tc>
          <w:tcPr>
            <w:tcW w:w="680" w:type="dxa"/>
            <w:vAlign w:val="bottom"/>
          </w:tcPr>
          <w:p>
            <w:pPr>
              <w:ind w:left="5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74" w:lineRule="exact"/>
        <w:rPr>
          <w:sz w:val="24"/>
          <w:szCs w:val="24"/>
          <w:color w:val="auto"/>
        </w:rPr>
      </w:pPr>
    </w:p>
    <w:p>
      <w:pPr>
        <w:ind w:firstLine="509"/>
        <w:spacing w:after="0" w:line="24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8" w:lineRule="exact"/>
        <w:rPr>
          <w:sz w:val="24"/>
          <w:szCs w:val="24"/>
          <w:color w:val="auto"/>
        </w:rPr>
      </w:pPr>
    </w:p>
    <w:p>
      <w:pPr>
        <w:ind w:left="520" w:right="1200"/>
        <w:spacing w:after="0" w:line="280"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r>
        <w:rPr>
          <w:rFonts w:ascii="Arial" w:cs="Arial" w:eastAsia="Arial" w:hAnsi="Arial"/>
          <w:sz w:val="17"/>
          <w:szCs w:val="17"/>
          <w:color w:val="auto"/>
        </w:rPr>
        <w:t xml:space="preserve"> As of November 5, 2021, the registrant had 59,666,519 shares of common stock,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60960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425450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52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b w:val="1"/>
                <w:bCs w:val="1"/>
                <w:color w:val="auto"/>
              </w:rPr>
              <w:t>Page</w:t>
            </w:r>
          </w:p>
        </w:tc>
      </w:tr>
      <w:tr>
        <w:trPr>
          <w:trHeight w:val="250"/>
        </w:trPr>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120" w:type="dxa"/>
            <w:vAlign w:val="bottom"/>
            <w:gridSpan w:val="8"/>
          </w:tcPr>
          <w:p>
            <w:pPr>
              <w:jc w:val="center"/>
              <w:ind w:right="2440"/>
              <w:spacing w:after="0"/>
              <w:rPr>
                <w:sz w:val="20"/>
                <w:szCs w:val="20"/>
                <w:color w:val="auto"/>
              </w:rPr>
            </w:pPr>
            <w:r>
              <w:rPr>
                <w:rFonts w:ascii="Arial" w:cs="Arial" w:eastAsia="Arial" w:hAnsi="Arial"/>
                <w:sz w:val="18"/>
                <w:szCs w:val="18"/>
                <w:b w:val="1"/>
                <w:bCs w:val="1"/>
                <w:color w:val="auto"/>
              </w:rPr>
              <w:t>PART I - FINANCIAL INFORMATION</w:t>
            </w:r>
          </w:p>
        </w:tc>
        <w:tc>
          <w:tcPr>
            <w:tcW w:w="520" w:type="dxa"/>
            <w:vAlign w:val="bottom"/>
          </w:tcPr>
          <w:p>
            <w:pPr>
              <w:spacing w:after="0"/>
              <w:rPr>
                <w:sz w:val="21"/>
                <w:szCs w:val="21"/>
                <w:color w:val="auto"/>
              </w:rPr>
            </w:pPr>
          </w:p>
        </w:tc>
      </w:tr>
      <w:tr>
        <w:trPr>
          <w:trHeight w:val="283"/>
        </w:trPr>
        <w:tc>
          <w:tcPr>
            <w:tcW w:w="1160" w:type="dxa"/>
            <w:vAlign w:val="bottom"/>
            <w:gridSpan w:val="3"/>
          </w:tcPr>
          <w:p>
            <w:pPr>
              <w:ind w:left="20"/>
              <w:spacing w:after="0"/>
              <w:rPr>
                <w:sz w:val="20"/>
                <w:szCs w:val="20"/>
                <w:color w:val="auto"/>
              </w:rPr>
            </w:pPr>
            <w:r>
              <w:rPr>
                <w:rFonts w:ascii="Arial" w:cs="Arial" w:eastAsia="Arial" w:hAnsi="Arial"/>
                <w:sz w:val="18"/>
                <w:szCs w:val="18"/>
                <w:color w:val="auto"/>
              </w:rPr>
              <w:t>Item 1.</w:t>
            </w:r>
          </w:p>
        </w:tc>
        <w:tc>
          <w:tcPr>
            <w:tcW w:w="9560" w:type="dxa"/>
            <w:vAlign w:val="bottom"/>
            <w:gridSpan w:val="14"/>
          </w:tcPr>
          <w:p>
            <w:pPr>
              <w:spacing w:after="0"/>
              <w:rPr>
                <w:sz w:val="20"/>
                <w:szCs w:val="20"/>
                <w:color w:val="auto"/>
              </w:rPr>
            </w:pPr>
            <w:r>
              <w:rPr>
                <w:rFonts w:ascii="Arial" w:cs="Arial" w:eastAsia="Arial" w:hAnsi="Arial"/>
                <w:sz w:val="18"/>
                <w:szCs w:val="18"/>
                <w:color w:val="auto"/>
              </w:rPr>
              <w:t>Financial Statements (unaudited)</w:t>
            </w:r>
          </w:p>
        </w:tc>
        <w:tc>
          <w:tcPr>
            <w:tcW w:w="52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560" w:type="dxa"/>
            <w:vAlign w:val="bottom"/>
            <w:gridSpan w:val="14"/>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Balance Sheets as of September 30, 2021 and December 31, 2020</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tcBorders>
              <w:right w:val="single" w:sz="8" w:color="0000EE"/>
            </w:tcBorders>
            <w:shd w:val="clear" w:color="auto" w:fill="0000FF"/>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700" w:type="dxa"/>
            <w:vAlign w:val="bottom"/>
            <w:tcBorders>
              <w:bottom w:val="single" w:sz="8" w:color="0000EE"/>
            </w:tcBorders>
            <w:gridSpan w:val="12"/>
          </w:tcPr>
          <w:p>
            <w:pPr>
              <w:spacing w:after="0"/>
              <w:rPr>
                <w:rFonts w:ascii="Arial" w:cs="Arial" w:eastAsia="Arial" w:hAnsi="Arial"/>
                <w:sz w:val="18"/>
                <w:szCs w:val="18"/>
                <w:color w:val="0000FF"/>
                <w:w w:val="89"/>
              </w:rPr>
            </w:pPr>
            <w:hyperlink w:anchor="page4">
              <w:r>
                <w:rPr>
                  <w:rFonts w:ascii="Arial" w:cs="Arial" w:eastAsia="Arial" w:hAnsi="Arial"/>
                  <w:sz w:val="18"/>
                  <w:szCs w:val="18"/>
                  <w:color w:val="0000FF"/>
                  <w:w w:val="89"/>
                </w:rPr>
                <w:t>Statements of Operations for the three and nine months ended September 30, 2021 and 2020</w:t>
              </w:r>
            </w:hyperlink>
          </w:p>
        </w:tc>
        <w:tc>
          <w:tcPr>
            <w:tcW w:w="2860" w:type="dxa"/>
            <w:vAlign w:val="bottom"/>
            <w:gridSpan w:val="2"/>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36"/>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40" w:type="dxa"/>
            <w:vAlign w:val="bottom"/>
            <w:tcBorders>
              <w:bottom w:val="single" w:sz="8" w:color="0000EE"/>
            </w:tcBorders>
            <w:gridSpan w:val="13"/>
          </w:tcPr>
          <w:p>
            <w:pPr>
              <w:spacing w:after="0"/>
              <w:rPr>
                <w:rFonts w:ascii="Arial" w:cs="Arial" w:eastAsia="Arial" w:hAnsi="Arial"/>
                <w:sz w:val="18"/>
                <w:szCs w:val="18"/>
                <w:color w:val="0000FF"/>
                <w:w w:val="90"/>
              </w:rPr>
            </w:pPr>
            <w:hyperlink w:anchor="page5">
              <w:r>
                <w:rPr>
                  <w:rFonts w:ascii="Arial" w:cs="Arial" w:eastAsia="Arial" w:hAnsi="Arial"/>
                  <w:sz w:val="18"/>
                  <w:szCs w:val="18"/>
                  <w:color w:val="0000FF"/>
                  <w:w w:val="90"/>
                </w:rPr>
                <w:t>Statements of Stockholders’ Equity for the three and nine months ended September 30, 2021 and 2020</w:t>
              </w:r>
            </w:hyperlink>
          </w:p>
        </w:tc>
        <w:tc>
          <w:tcPr>
            <w:tcW w:w="21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37"/>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60" w:type="dxa"/>
            <w:vAlign w:val="bottom"/>
            <w:tcBorders>
              <w:bottom w:val="single" w:sz="8" w:color="0000EE"/>
            </w:tcBorders>
            <w:gridSpan w:val="10"/>
          </w:tcPr>
          <w:p>
            <w:pPr>
              <w:spacing w:after="0"/>
              <w:rPr>
                <w:rFonts w:ascii="Arial" w:cs="Arial" w:eastAsia="Arial" w:hAnsi="Arial"/>
                <w:sz w:val="18"/>
                <w:szCs w:val="18"/>
                <w:color w:val="0000FF"/>
                <w:w w:val="89"/>
              </w:rPr>
            </w:pPr>
            <w:hyperlink w:anchor="page6">
              <w:r>
                <w:rPr>
                  <w:rFonts w:ascii="Arial" w:cs="Arial" w:eastAsia="Arial" w:hAnsi="Arial"/>
                  <w:sz w:val="18"/>
                  <w:szCs w:val="18"/>
                  <w:color w:val="0000FF"/>
                  <w:w w:val="89"/>
                </w:rPr>
                <w:t>Statements of Cash Flows for the nine months ended September 30, 2021 and 2020</w:t>
              </w:r>
            </w:hyperlink>
          </w:p>
        </w:tc>
        <w:tc>
          <w:tcPr>
            <w:tcW w:w="3500" w:type="dxa"/>
            <w:vAlign w:val="bottom"/>
            <w:gridSpan w:val="4"/>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37"/>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560" w:type="dxa"/>
            <w:vAlign w:val="bottom"/>
            <w:gridSpan w:val="14"/>
          </w:tcPr>
          <w:p>
            <w:pPr>
              <w:spacing w:after="0"/>
              <w:rPr>
                <w:rFonts w:ascii="Arial" w:cs="Arial" w:eastAsia="Arial" w:hAnsi="Arial"/>
                <w:sz w:val="18"/>
                <w:szCs w:val="18"/>
                <w:color w:val="0000FF"/>
              </w:rPr>
            </w:pPr>
            <w:hyperlink w:anchor="page7">
              <w:r>
                <w:rPr>
                  <w:rFonts w:ascii="Arial" w:cs="Arial" w:eastAsia="Arial" w:hAnsi="Arial"/>
                  <w:sz w:val="18"/>
                  <w:szCs w:val="18"/>
                  <w:color w:val="0000FF"/>
                </w:rPr>
                <w:t>Notes to the Financial Statements</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60" w:type="dxa"/>
            <w:vAlign w:val="bottom"/>
            <w:tcBorders>
              <w:right w:val="single" w:sz="8" w:color="0000EE"/>
            </w:tcBorders>
            <w:shd w:val="clear" w:color="auto" w:fill="0000FF"/>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310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37"/>
        </w:trPr>
        <w:tc>
          <w:tcPr>
            <w:tcW w:w="1160" w:type="dxa"/>
            <w:vAlign w:val="bottom"/>
            <w:gridSpan w:val="3"/>
          </w:tcPr>
          <w:p>
            <w:pPr>
              <w:ind w:left="20"/>
              <w:spacing w:after="0"/>
              <w:rPr>
                <w:sz w:val="20"/>
                <w:szCs w:val="20"/>
                <w:color w:val="auto"/>
              </w:rPr>
            </w:pPr>
            <w:r>
              <w:rPr>
                <w:rFonts w:ascii="Arial" w:cs="Arial" w:eastAsia="Arial" w:hAnsi="Arial"/>
                <w:sz w:val="18"/>
                <w:szCs w:val="18"/>
                <w:color w:val="auto"/>
              </w:rPr>
              <w:t>Item 2.</w:t>
            </w:r>
          </w:p>
        </w:tc>
        <w:tc>
          <w:tcPr>
            <w:tcW w:w="9560" w:type="dxa"/>
            <w:vAlign w:val="bottom"/>
            <w:gridSpan w:val="14"/>
          </w:tcPr>
          <w:p>
            <w:pPr>
              <w:spacing w:after="0"/>
              <w:rPr>
                <w:rFonts w:ascii="Arial" w:cs="Arial" w:eastAsia="Arial" w:hAnsi="Arial"/>
                <w:sz w:val="18"/>
                <w:szCs w:val="18"/>
                <w:color w:val="0000FF"/>
              </w:rPr>
            </w:pPr>
            <w:hyperlink w:anchor="page15">
              <w:r>
                <w:rPr>
                  <w:rFonts w:ascii="Arial" w:cs="Arial" w:eastAsia="Arial" w:hAnsi="Arial"/>
                  <w:sz w:val="18"/>
                  <w:szCs w:val="18"/>
                  <w:color w:val="0000FF"/>
                </w:rPr>
                <w:t>Management’s Discussion and Analysis of Financial Condition and Results of Operations</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37"/>
        </w:trPr>
        <w:tc>
          <w:tcPr>
            <w:tcW w:w="1160" w:type="dxa"/>
            <w:vAlign w:val="bottom"/>
            <w:gridSpan w:val="3"/>
          </w:tcPr>
          <w:p>
            <w:pPr>
              <w:ind w:left="20"/>
              <w:spacing w:after="0"/>
              <w:rPr>
                <w:sz w:val="20"/>
                <w:szCs w:val="20"/>
                <w:color w:val="auto"/>
              </w:rPr>
            </w:pPr>
            <w:r>
              <w:rPr>
                <w:rFonts w:ascii="Arial" w:cs="Arial" w:eastAsia="Arial" w:hAnsi="Arial"/>
                <w:sz w:val="18"/>
                <w:szCs w:val="18"/>
                <w:color w:val="auto"/>
              </w:rPr>
              <w:t>Item 3.</w:t>
            </w:r>
          </w:p>
        </w:tc>
        <w:tc>
          <w:tcPr>
            <w:tcW w:w="4380" w:type="dxa"/>
            <w:vAlign w:val="bottom"/>
            <w:tcBorders>
              <w:top w:val="single" w:sz="8" w:color="0000FF"/>
              <w:bottom w:val="single" w:sz="8" w:color="0000FF"/>
            </w:tcBorders>
            <w:gridSpan w:val="8"/>
          </w:tcPr>
          <w:p>
            <w:pPr>
              <w:spacing w:after="0"/>
              <w:rPr>
                <w:rFonts w:ascii="Arial" w:cs="Arial" w:eastAsia="Arial" w:hAnsi="Arial"/>
                <w:sz w:val="18"/>
                <w:szCs w:val="18"/>
                <w:color w:val="0000FF"/>
                <w:w w:val="92"/>
              </w:rPr>
            </w:pPr>
            <w:hyperlink w:anchor="page23">
              <w:r>
                <w:rPr>
                  <w:rFonts w:ascii="Arial" w:cs="Arial" w:eastAsia="Arial" w:hAnsi="Arial"/>
                  <w:sz w:val="18"/>
                  <w:szCs w:val="18"/>
                  <w:color w:val="0000FF"/>
                  <w:w w:val="92"/>
                </w:rPr>
                <w:t>Quantitative and Qualitative Disclosures About Market Risk</w:t>
              </w:r>
            </w:hyperlink>
          </w:p>
        </w:tc>
        <w:tc>
          <w:tcPr>
            <w:tcW w:w="2080" w:type="dxa"/>
            <w:vAlign w:val="bottom"/>
            <w:tcBorders>
              <w:top w:val="single" w:sz="8" w:color="0000FF"/>
            </w:tcBorders>
            <w:gridSpan w:val="3"/>
          </w:tcPr>
          <w:p>
            <w:pPr>
              <w:spacing w:after="0"/>
              <w:rPr>
                <w:sz w:val="20"/>
                <w:szCs w:val="20"/>
                <w:color w:val="auto"/>
              </w:rPr>
            </w:pPr>
          </w:p>
        </w:tc>
        <w:tc>
          <w:tcPr>
            <w:tcW w:w="3100" w:type="dxa"/>
            <w:vAlign w:val="bottom"/>
            <w:gridSpan w:val="3"/>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36"/>
        </w:trPr>
        <w:tc>
          <w:tcPr>
            <w:tcW w:w="1160" w:type="dxa"/>
            <w:vAlign w:val="bottom"/>
            <w:gridSpan w:val="3"/>
          </w:tcPr>
          <w:p>
            <w:pPr>
              <w:ind w:left="20"/>
              <w:spacing w:after="0"/>
              <w:rPr>
                <w:sz w:val="20"/>
                <w:szCs w:val="20"/>
                <w:color w:val="auto"/>
              </w:rPr>
            </w:pPr>
            <w:r>
              <w:rPr>
                <w:rFonts w:ascii="Arial" w:cs="Arial" w:eastAsia="Arial" w:hAnsi="Arial"/>
                <w:sz w:val="18"/>
                <w:szCs w:val="18"/>
                <w:color w:val="auto"/>
              </w:rPr>
              <w:t>Item 4.</w:t>
            </w:r>
          </w:p>
        </w:tc>
        <w:tc>
          <w:tcPr>
            <w:tcW w:w="9560" w:type="dxa"/>
            <w:vAlign w:val="bottom"/>
            <w:gridSpan w:val="14"/>
          </w:tcPr>
          <w:p>
            <w:pPr>
              <w:spacing w:after="0"/>
              <w:rPr>
                <w:rFonts w:ascii="Arial" w:cs="Arial" w:eastAsia="Arial" w:hAnsi="Arial"/>
                <w:sz w:val="18"/>
                <w:szCs w:val="18"/>
                <w:color w:val="0000FF"/>
              </w:rPr>
            </w:pPr>
            <w:hyperlink w:anchor="page23">
              <w:r>
                <w:rPr>
                  <w:rFonts w:ascii="Arial" w:cs="Arial" w:eastAsia="Arial" w:hAnsi="Arial"/>
                  <w:sz w:val="18"/>
                  <w:szCs w:val="18"/>
                  <w:color w:val="0000FF"/>
                </w:rPr>
                <w:t>Controls and Procedures</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91"/>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660" w:type="dxa"/>
            <w:vAlign w:val="bottom"/>
          </w:tcPr>
          <w:p>
            <w:pPr>
              <w:spacing w:after="0"/>
              <w:rPr>
                <w:sz w:val="24"/>
                <w:szCs w:val="24"/>
                <w:color w:val="auto"/>
              </w:rPr>
            </w:pPr>
          </w:p>
        </w:tc>
        <w:tc>
          <w:tcPr>
            <w:tcW w:w="7120" w:type="dxa"/>
            <w:vAlign w:val="bottom"/>
            <w:gridSpan w:val="8"/>
          </w:tcPr>
          <w:p>
            <w:pPr>
              <w:jc w:val="center"/>
              <w:ind w:right="2440"/>
              <w:spacing w:after="0"/>
              <w:rPr>
                <w:sz w:val="20"/>
                <w:szCs w:val="20"/>
                <w:color w:val="auto"/>
              </w:rPr>
            </w:pPr>
            <w:r>
              <w:rPr>
                <w:rFonts w:ascii="Arial" w:cs="Arial" w:eastAsia="Arial" w:hAnsi="Arial"/>
                <w:sz w:val="18"/>
                <w:szCs w:val="18"/>
                <w:b w:val="1"/>
                <w:bCs w:val="1"/>
                <w:color w:val="auto"/>
              </w:rPr>
              <w:t>PART II - OTHER INFORMATION</w:t>
            </w:r>
          </w:p>
        </w:tc>
        <w:tc>
          <w:tcPr>
            <w:tcW w:w="520" w:type="dxa"/>
            <w:vAlign w:val="bottom"/>
          </w:tcPr>
          <w:p>
            <w:pPr>
              <w:spacing w:after="0"/>
              <w:rPr>
                <w:sz w:val="24"/>
                <w:szCs w:val="24"/>
                <w:color w:val="auto"/>
              </w:rPr>
            </w:pPr>
          </w:p>
        </w:tc>
      </w:tr>
      <w:tr>
        <w:trPr>
          <w:trHeight w:val="243"/>
        </w:trPr>
        <w:tc>
          <w:tcPr>
            <w:tcW w:w="1160" w:type="dxa"/>
            <w:vAlign w:val="bottom"/>
            <w:gridSpan w:val="3"/>
          </w:tcPr>
          <w:p>
            <w:pPr>
              <w:ind w:left="20"/>
              <w:spacing w:after="0"/>
              <w:rPr>
                <w:sz w:val="20"/>
                <w:szCs w:val="20"/>
                <w:color w:val="auto"/>
              </w:rPr>
            </w:pPr>
            <w:r>
              <w:rPr>
                <w:rFonts w:ascii="Arial" w:cs="Arial" w:eastAsia="Arial" w:hAnsi="Arial"/>
                <w:sz w:val="18"/>
                <w:szCs w:val="18"/>
                <w:color w:val="auto"/>
              </w:rPr>
              <w:t>Item 1.</w:t>
            </w:r>
          </w:p>
        </w:tc>
        <w:tc>
          <w:tcPr>
            <w:tcW w:w="9560" w:type="dxa"/>
            <w:vAlign w:val="bottom"/>
            <w:gridSpan w:val="14"/>
          </w:tcPr>
          <w:p>
            <w:pPr>
              <w:spacing w:after="0"/>
              <w:rPr>
                <w:rFonts w:ascii="Arial" w:cs="Arial" w:eastAsia="Arial" w:hAnsi="Arial"/>
                <w:sz w:val="18"/>
                <w:szCs w:val="18"/>
                <w:color w:val="0000FF"/>
              </w:rPr>
            </w:pPr>
            <w:hyperlink w:anchor="page25">
              <w:r>
                <w:rPr>
                  <w:rFonts w:ascii="Arial" w:cs="Arial" w:eastAsia="Arial" w:hAnsi="Arial"/>
                  <w:sz w:val="18"/>
                  <w:szCs w:val="18"/>
                  <w:color w:val="0000FF"/>
                </w:rPr>
                <w:t>Legal Proceedings</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37"/>
        </w:trPr>
        <w:tc>
          <w:tcPr>
            <w:tcW w:w="1160" w:type="dxa"/>
            <w:vAlign w:val="bottom"/>
            <w:gridSpan w:val="3"/>
          </w:tcPr>
          <w:p>
            <w:pPr>
              <w:ind w:left="20"/>
              <w:spacing w:after="0"/>
              <w:rPr>
                <w:sz w:val="20"/>
                <w:szCs w:val="20"/>
                <w:color w:val="auto"/>
              </w:rPr>
            </w:pPr>
            <w:r>
              <w:rPr>
                <w:rFonts w:ascii="Arial" w:cs="Arial" w:eastAsia="Arial" w:hAnsi="Arial"/>
                <w:sz w:val="18"/>
                <w:szCs w:val="18"/>
                <w:color w:val="auto"/>
              </w:rPr>
              <w:t>Item 1A.</w:t>
            </w:r>
          </w:p>
        </w:tc>
        <w:tc>
          <w:tcPr>
            <w:tcW w:w="920" w:type="dxa"/>
            <w:vAlign w:val="bottom"/>
            <w:tcBorders>
              <w:top w:val="single" w:sz="8" w:color="0000FF"/>
              <w:bottom w:val="single" w:sz="8" w:color="0000FF"/>
            </w:tcBorders>
            <w:gridSpan w:val="2"/>
          </w:tcPr>
          <w:p>
            <w:pPr>
              <w:spacing w:after="0"/>
              <w:rPr>
                <w:rFonts w:ascii="Arial" w:cs="Arial" w:eastAsia="Arial" w:hAnsi="Arial"/>
                <w:sz w:val="18"/>
                <w:szCs w:val="18"/>
                <w:color w:val="0000FF"/>
                <w:w w:val="89"/>
              </w:rPr>
            </w:pPr>
            <w:hyperlink w:anchor="page25">
              <w:r>
                <w:rPr>
                  <w:rFonts w:ascii="Arial" w:cs="Arial" w:eastAsia="Arial" w:hAnsi="Arial"/>
                  <w:sz w:val="18"/>
                  <w:szCs w:val="18"/>
                  <w:color w:val="0000FF"/>
                  <w:w w:val="89"/>
                </w:rPr>
                <w:t>Risk Factors</w:t>
              </w:r>
            </w:hyperlink>
          </w:p>
        </w:tc>
        <w:tc>
          <w:tcPr>
            <w:tcW w:w="20" w:type="dxa"/>
            <w:vAlign w:val="bottom"/>
            <w:tcBorders>
              <w:top w:val="single" w:sz="8" w:color="0000FF"/>
              <w:bottom w:val="single" w:sz="8" w:color="0000EE"/>
            </w:tcBorders>
          </w:tcPr>
          <w:p>
            <w:pPr>
              <w:spacing w:after="0"/>
              <w:rPr>
                <w:sz w:val="20"/>
                <w:szCs w:val="20"/>
                <w:color w:val="auto"/>
              </w:rPr>
            </w:pPr>
          </w:p>
        </w:tc>
        <w:tc>
          <w:tcPr>
            <w:tcW w:w="400" w:type="dxa"/>
            <w:vAlign w:val="bottom"/>
            <w:tcBorders>
              <w:top w:val="single" w:sz="8" w:color="0000FF"/>
            </w:tcBorders>
          </w:tcPr>
          <w:p>
            <w:pPr>
              <w:spacing w:after="0"/>
              <w:rPr>
                <w:sz w:val="20"/>
                <w:szCs w:val="20"/>
                <w:color w:val="auto"/>
              </w:rPr>
            </w:pPr>
          </w:p>
        </w:tc>
        <w:tc>
          <w:tcPr>
            <w:tcW w:w="8220" w:type="dxa"/>
            <w:vAlign w:val="bottom"/>
            <w:gridSpan w:val="10"/>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37"/>
        </w:trPr>
        <w:tc>
          <w:tcPr>
            <w:tcW w:w="1160" w:type="dxa"/>
            <w:vAlign w:val="bottom"/>
            <w:gridSpan w:val="3"/>
          </w:tcPr>
          <w:p>
            <w:pPr>
              <w:ind w:left="20"/>
              <w:spacing w:after="0"/>
              <w:rPr>
                <w:sz w:val="20"/>
                <w:szCs w:val="20"/>
                <w:color w:val="auto"/>
              </w:rPr>
            </w:pPr>
            <w:r>
              <w:rPr>
                <w:rFonts w:ascii="Arial" w:cs="Arial" w:eastAsia="Arial" w:hAnsi="Arial"/>
                <w:sz w:val="18"/>
                <w:szCs w:val="18"/>
                <w:color w:val="auto"/>
              </w:rPr>
              <w:t>Item 2.</w:t>
            </w:r>
          </w:p>
        </w:tc>
        <w:tc>
          <w:tcPr>
            <w:tcW w:w="4360" w:type="dxa"/>
            <w:vAlign w:val="bottom"/>
            <w:tcBorders>
              <w:bottom w:val="single" w:sz="8" w:color="0000FF"/>
            </w:tcBorders>
            <w:gridSpan w:val="7"/>
          </w:tcPr>
          <w:p>
            <w:pPr>
              <w:spacing w:after="0"/>
              <w:rPr>
                <w:rFonts w:ascii="Arial" w:cs="Arial" w:eastAsia="Arial" w:hAnsi="Arial"/>
                <w:sz w:val="18"/>
                <w:szCs w:val="18"/>
                <w:color w:val="0000FF"/>
                <w:w w:val="89"/>
              </w:rPr>
            </w:pPr>
            <w:hyperlink w:anchor="page25">
              <w:r>
                <w:rPr>
                  <w:rFonts w:ascii="Arial" w:cs="Arial" w:eastAsia="Arial" w:hAnsi="Arial"/>
                  <w:sz w:val="18"/>
                  <w:szCs w:val="18"/>
                  <w:color w:val="0000FF"/>
                  <w:w w:val="89"/>
                </w:rPr>
                <w:t>Unregistered Sales of Equity Securities and Use of Proceeds</w:t>
              </w:r>
            </w:hyperlink>
          </w:p>
        </w:tc>
        <w:tc>
          <w:tcPr>
            <w:tcW w:w="5200" w:type="dxa"/>
            <w:vAlign w:val="bottom"/>
            <w:gridSpan w:val="7"/>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37"/>
        </w:trPr>
        <w:tc>
          <w:tcPr>
            <w:tcW w:w="1160" w:type="dxa"/>
            <w:vAlign w:val="bottom"/>
            <w:gridSpan w:val="3"/>
          </w:tcPr>
          <w:p>
            <w:pPr>
              <w:ind w:left="20"/>
              <w:spacing w:after="0"/>
              <w:rPr>
                <w:sz w:val="20"/>
                <w:szCs w:val="20"/>
                <w:color w:val="auto"/>
              </w:rPr>
            </w:pPr>
            <w:r>
              <w:rPr>
                <w:rFonts w:ascii="Arial" w:cs="Arial" w:eastAsia="Arial" w:hAnsi="Arial"/>
                <w:sz w:val="18"/>
                <w:szCs w:val="18"/>
                <w:color w:val="auto"/>
              </w:rPr>
              <w:t>Item 6.</w:t>
            </w:r>
          </w:p>
        </w:tc>
        <w:tc>
          <w:tcPr>
            <w:tcW w:w="9560" w:type="dxa"/>
            <w:vAlign w:val="bottom"/>
            <w:gridSpan w:val="14"/>
          </w:tcPr>
          <w:p>
            <w:pPr>
              <w:spacing w:after="0"/>
              <w:rPr>
                <w:rFonts w:ascii="Arial" w:cs="Arial" w:eastAsia="Arial" w:hAnsi="Arial"/>
                <w:sz w:val="18"/>
                <w:szCs w:val="18"/>
                <w:color w:val="0000FF"/>
              </w:rPr>
            </w:pPr>
            <w:hyperlink w:anchor="page26">
              <w:r>
                <w:rPr>
                  <w:rFonts w:ascii="Arial" w:cs="Arial" w:eastAsia="Arial" w:hAnsi="Arial"/>
                  <w:sz w:val="18"/>
                  <w:szCs w:val="18"/>
                  <w:color w:val="0000FF"/>
                </w:rPr>
                <w:t>Exhibits</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37"/>
        </w:trPr>
        <w:tc>
          <w:tcPr>
            <w:tcW w:w="1160" w:type="dxa"/>
            <w:vAlign w:val="bottom"/>
            <w:gridSpan w:val="3"/>
          </w:tcPr>
          <w:p>
            <w:pPr>
              <w:ind w:left="20"/>
              <w:spacing w:after="0"/>
              <w:rPr>
                <w:rFonts w:ascii="Arial" w:cs="Arial" w:eastAsia="Arial" w:hAnsi="Arial"/>
                <w:sz w:val="18"/>
                <w:szCs w:val="18"/>
                <w:color w:val="0000FF"/>
              </w:rPr>
            </w:pPr>
            <w:hyperlink w:anchor="page27">
              <w:r>
                <w:rPr>
                  <w:rFonts w:ascii="Arial" w:cs="Arial" w:eastAsia="Arial" w:hAnsi="Arial"/>
                  <w:sz w:val="18"/>
                  <w:szCs w:val="18"/>
                  <w:color w:val="0000FF"/>
                </w:rPr>
                <w:t>Signatures</w:t>
              </w:r>
            </w:hyperlink>
          </w:p>
        </w:tc>
        <w:tc>
          <w:tcPr>
            <w:tcW w:w="600" w:type="dxa"/>
            <w:vAlign w:val="bottom"/>
            <w:tcBorders>
              <w:top w:val="single" w:sz="8" w:color="0000FF"/>
            </w:tcBorders>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1067"/>
        </w:trPr>
        <w:tc>
          <w:tcPr>
            <w:tcW w:w="20" w:type="dxa"/>
            <w:vAlign w:val="bottom"/>
            <w:tcBorders>
              <w:bottom w:val="single" w:sz="8" w:color="9A9A9A"/>
            </w:tcBorders>
          </w:tcPr>
          <w:p>
            <w:pPr>
              <w:spacing w:after="0"/>
              <w:rPr>
                <w:sz w:val="24"/>
                <w:szCs w:val="24"/>
                <w:color w:val="auto"/>
              </w:rPr>
            </w:pPr>
          </w:p>
        </w:tc>
        <w:tc>
          <w:tcPr>
            <w:tcW w:w="760" w:type="dxa"/>
            <w:vAlign w:val="bottom"/>
            <w:tcBorders>
              <w:top w:val="single" w:sz="8" w:color="0000FF"/>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9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1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CLEARSIDE BIOMEDICAL,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Balance Sheets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data)</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w w:val="94"/>
              </w:rPr>
              <w:t>September 30,</w:t>
            </w:r>
          </w:p>
        </w:tc>
        <w:tc>
          <w:tcPr>
            <w:tcW w:w="180" w:type="dxa"/>
            <w:vAlign w:val="bottom"/>
          </w:tcPr>
          <w:p>
            <w:pPr>
              <w:spacing w:after="0"/>
              <w:rPr>
                <w:sz w:val="19"/>
                <w:szCs w:val="19"/>
                <w:color w:val="auto"/>
              </w:rPr>
            </w:pPr>
          </w:p>
        </w:tc>
        <w:tc>
          <w:tcPr>
            <w:tcW w:w="15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5"/>
              </w:rPr>
              <w:t>December 31,</w:t>
            </w:r>
          </w:p>
        </w:tc>
      </w:tr>
      <w:tr>
        <w:trPr>
          <w:trHeight w:val="241"/>
        </w:trPr>
        <w:tc>
          <w:tcPr>
            <w:tcW w:w="76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2021</w:t>
            </w:r>
          </w:p>
        </w:tc>
        <w:tc>
          <w:tcPr>
            <w:tcW w:w="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257"/>
        </w:trPr>
        <w:tc>
          <w:tcPr>
            <w:tcW w:w="76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FF0FC"/>
          </w:tcPr>
          <w:p>
            <w:pPr>
              <w:spacing w:after="0"/>
              <w:rPr>
                <w:sz w:val="22"/>
                <w:szCs w:val="22"/>
                <w:color w:val="auto"/>
              </w:rPr>
            </w:pPr>
          </w:p>
        </w:tc>
        <w:tc>
          <w:tcPr>
            <w:tcW w:w="144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4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764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76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25,217</w:t>
            </w:r>
          </w:p>
        </w:tc>
        <w:tc>
          <w:tcPr>
            <w:tcW w:w="280" w:type="dxa"/>
            <w:vAlign w:val="bottom"/>
            <w:shd w:val="clear" w:color="auto" w:fill="CFF0FC"/>
          </w:tcPr>
          <w:p>
            <w:pPr>
              <w:spacing w:after="0"/>
              <w:rPr>
                <w:sz w:val="22"/>
                <w:szCs w:val="22"/>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17,287</w:t>
            </w:r>
          </w:p>
        </w:tc>
        <w:tc>
          <w:tcPr>
            <w:tcW w:w="100" w:type="dxa"/>
            <w:vAlign w:val="bottom"/>
            <w:shd w:val="clear" w:color="auto" w:fill="CFF0FC"/>
          </w:tcPr>
          <w:p>
            <w:pPr>
              <w:spacing w:after="0"/>
              <w:rPr>
                <w:sz w:val="22"/>
                <w:szCs w:val="22"/>
                <w:color w:val="auto"/>
              </w:rPr>
            </w:pPr>
          </w:p>
        </w:tc>
      </w:tr>
      <w:tr>
        <w:trPr>
          <w:trHeight w:val="250"/>
        </w:trPr>
        <w:tc>
          <w:tcPr>
            <w:tcW w:w="7640" w:type="dxa"/>
            <w:vAlign w:val="bottom"/>
          </w:tcPr>
          <w:p>
            <w:pPr>
              <w:ind w:left="200"/>
              <w:spacing w:after="0"/>
              <w:rPr>
                <w:sz w:val="20"/>
                <w:szCs w:val="20"/>
                <w:color w:val="auto"/>
              </w:rPr>
            </w:pPr>
            <w:r>
              <w:rPr>
                <w:rFonts w:ascii="Arial" w:cs="Arial" w:eastAsia="Arial" w:hAnsi="Arial"/>
                <w:sz w:val="18"/>
                <w:szCs w:val="18"/>
                <w:color w:val="auto"/>
              </w:rPr>
              <w:t>Prepaid expenses</w:t>
            </w:r>
          </w:p>
        </w:tc>
        <w:tc>
          <w:tcPr>
            <w:tcW w:w="1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1,187</w:t>
            </w: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722</w:t>
            </w:r>
          </w:p>
        </w:tc>
        <w:tc>
          <w:tcPr>
            <w:tcW w:w="100" w:type="dxa"/>
            <w:vAlign w:val="bottom"/>
          </w:tcPr>
          <w:p>
            <w:pPr>
              <w:spacing w:after="0"/>
              <w:rPr>
                <w:sz w:val="21"/>
                <w:szCs w:val="21"/>
                <w:color w:val="auto"/>
              </w:rPr>
            </w:pPr>
          </w:p>
        </w:tc>
      </w:tr>
      <w:tr>
        <w:trPr>
          <w:trHeight w:val="257"/>
        </w:trPr>
        <w:tc>
          <w:tcPr>
            <w:tcW w:w="76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Other current assets</w:t>
            </w:r>
          </w:p>
        </w:tc>
        <w:tc>
          <w:tcPr>
            <w:tcW w:w="180" w:type="dxa"/>
            <w:vAlign w:val="bottom"/>
            <w:tcBorders>
              <w:bottom w:val="single" w:sz="8" w:color="auto"/>
            </w:tcBorders>
            <w:shd w:val="clear" w:color="auto" w:fill="CFF0FC"/>
          </w:tcPr>
          <w:p>
            <w:pPr>
              <w:spacing w:after="0"/>
              <w:rPr>
                <w:sz w:val="22"/>
                <w:szCs w:val="22"/>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w:t>
            </w:r>
          </w:p>
        </w:tc>
        <w:tc>
          <w:tcPr>
            <w:tcW w:w="28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spacing w:after="0"/>
              <w:rPr>
                <w:sz w:val="22"/>
                <w:szCs w:val="22"/>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50"/>
        </w:trPr>
        <w:tc>
          <w:tcPr>
            <w:tcW w:w="7640" w:type="dxa"/>
            <w:vAlign w:val="bottom"/>
          </w:tcPr>
          <w:p>
            <w:pPr>
              <w:ind w:left="380"/>
              <w:spacing w:after="0"/>
              <w:rPr>
                <w:sz w:val="20"/>
                <w:szCs w:val="20"/>
                <w:color w:val="auto"/>
              </w:rPr>
            </w:pPr>
            <w:r>
              <w:rPr>
                <w:rFonts w:ascii="Arial" w:cs="Arial" w:eastAsia="Arial" w:hAnsi="Arial"/>
                <w:sz w:val="18"/>
                <w:szCs w:val="18"/>
                <w:color w:val="auto"/>
              </w:rPr>
              <w:t>Total current assets</w:t>
            </w:r>
          </w:p>
        </w:tc>
        <w:tc>
          <w:tcPr>
            <w:tcW w:w="1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26,523</w:t>
            </w: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18,118</w:t>
            </w:r>
          </w:p>
        </w:tc>
        <w:tc>
          <w:tcPr>
            <w:tcW w:w="100" w:type="dxa"/>
            <w:vAlign w:val="bottom"/>
          </w:tcPr>
          <w:p>
            <w:pPr>
              <w:spacing w:after="0"/>
              <w:rPr>
                <w:sz w:val="21"/>
                <w:szCs w:val="21"/>
                <w:color w:val="auto"/>
              </w:rPr>
            </w:pPr>
          </w:p>
        </w:tc>
      </w:tr>
      <w:tr>
        <w:trPr>
          <w:trHeight w:val="263"/>
        </w:trPr>
        <w:tc>
          <w:tcPr>
            <w:tcW w:w="7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Property and equipment, net</w:t>
            </w:r>
          </w:p>
        </w:tc>
        <w:tc>
          <w:tcPr>
            <w:tcW w:w="180" w:type="dxa"/>
            <w:vAlign w:val="bottom"/>
            <w:shd w:val="clear" w:color="auto" w:fill="CFF0FC"/>
          </w:tcPr>
          <w:p>
            <w:pPr>
              <w:spacing w:after="0"/>
              <w:rPr>
                <w:sz w:val="22"/>
                <w:szCs w:val="22"/>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283</w:t>
            </w:r>
          </w:p>
        </w:tc>
        <w:tc>
          <w:tcPr>
            <w:tcW w:w="28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416</w:t>
            </w:r>
          </w:p>
        </w:tc>
        <w:tc>
          <w:tcPr>
            <w:tcW w:w="100" w:type="dxa"/>
            <w:vAlign w:val="bottom"/>
            <w:shd w:val="clear" w:color="auto" w:fill="CFF0FC"/>
          </w:tcPr>
          <w:p>
            <w:pPr>
              <w:spacing w:after="0"/>
              <w:rPr>
                <w:sz w:val="22"/>
                <w:szCs w:val="22"/>
                <w:color w:val="auto"/>
              </w:rPr>
            </w:pPr>
          </w:p>
        </w:tc>
      </w:tr>
      <w:tr>
        <w:trPr>
          <w:trHeight w:val="250"/>
        </w:trPr>
        <w:tc>
          <w:tcPr>
            <w:tcW w:w="7640" w:type="dxa"/>
            <w:vAlign w:val="bottom"/>
          </w:tcPr>
          <w:p>
            <w:pPr>
              <w:ind w:left="20"/>
              <w:spacing w:after="0"/>
              <w:rPr>
                <w:sz w:val="20"/>
                <w:szCs w:val="20"/>
                <w:color w:val="auto"/>
              </w:rPr>
            </w:pPr>
            <w:r>
              <w:rPr>
                <w:rFonts w:ascii="Arial" w:cs="Arial" w:eastAsia="Arial" w:hAnsi="Arial"/>
                <w:sz w:val="18"/>
                <w:szCs w:val="18"/>
                <w:color w:val="auto"/>
              </w:rPr>
              <w:t>Operating lease right-of-use asset</w:t>
            </w:r>
          </w:p>
        </w:tc>
        <w:tc>
          <w:tcPr>
            <w:tcW w:w="1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412</w:t>
            </w: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528</w:t>
            </w:r>
          </w:p>
        </w:tc>
        <w:tc>
          <w:tcPr>
            <w:tcW w:w="100" w:type="dxa"/>
            <w:vAlign w:val="bottom"/>
          </w:tcPr>
          <w:p>
            <w:pPr>
              <w:spacing w:after="0"/>
              <w:rPr>
                <w:sz w:val="21"/>
                <w:szCs w:val="21"/>
                <w:color w:val="auto"/>
              </w:rPr>
            </w:pPr>
          </w:p>
        </w:tc>
      </w:tr>
      <w:tr>
        <w:trPr>
          <w:trHeight w:val="257"/>
        </w:trPr>
        <w:tc>
          <w:tcPr>
            <w:tcW w:w="76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Restricted cash</w:t>
            </w:r>
          </w:p>
        </w:tc>
        <w:tc>
          <w:tcPr>
            <w:tcW w:w="180" w:type="dxa"/>
            <w:vAlign w:val="bottom"/>
            <w:tcBorders>
              <w:bottom w:val="single" w:sz="8" w:color="auto"/>
            </w:tcBorders>
            <w:shd w:val="clear" w:color="auto" w:fill="CFF0FC"/>
          </w:tcPr>
          <w:p>
            <w:pPr>
              <w:spacing w:after="0"/>
              <w:rPr>
                <w:sz w:val="22"/>
                <w:szCs w:val="22"/>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160</w:t>
            </w:r>
          </w:p>
        </w:tc>
        <w:tc>
          <w:tcPr>
            <w:tcW w:w="28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spacing w:after="0"/>
              <w:rPr>
                <w:sz w:val="22"/>
                <w:szCs w:val="22"/>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260</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50"/>
        </w:trPr>
        <w:tc>
          <w:tcPr>
            <w:tcW w:w="7640" w:type="dxa"/>
            <w:vAlign w:val="bottom"/>
          </w:tcPr>
          <w:p>
            <w:pPr>
              <w:ind w:left="560"/>
              <w:spacing w:after="0"/>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27,378</w:t>
            </w:r>
          </w:p>
        </w:tc>
        <w:tc>
          <w:tcPr>
            <w:tcW w:w="28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19,322</w:t>
            </w:r>
          </w:p>
        </w:tc>
        <w:tc>
          <w:tcPr>
            <w:tcW w:w="100" w:type="dxa"/>
            <w:vAlign w:val="bottom"/>
          </w:tcPr>
          <w:p>
            <w:pPr>
              <w:spacing w:after="0"/>
              <w:rPr>
                <w:sz w:val="21"/>
                <w:szCs w:val="21"/>
                <w:color w:val="auto"/>
              </w:rPr>
            </w:pPr>
          </w:p>
        </w:tc>
      </w:tr>
      <w:tr>
        <w:trPr>
          <w:trHeight w:val="20"/>
        </w:trPr>
        <w:tc>
          <w:tcPr>
            <w:tcW w:w="76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3"/>
        </w:trPr>
        <w:tc>
          <w:tcPr>
            <w:tcW w:w="76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180" w:type="dxa"/>
            <w:vAlign w:val="bottom"/>
            <w:shd w:val="clear" w:color="auto" w:fill="CFF0FC"/>
          </w:tcPr>
          <w:p>
            <w:pPr>
              <w:spacing w:after="0"/>
              <w:rPr>
                <w:sz w:val="21"/>
                <w:szCs w:val="21"/>
                <w:color w:val="auto"/>
              </w:rPr>
            </w:pPr>
          </w:p>
        </w:tc>
        <w:tc>
          <w:tcPr>
            <w:tcW w:w="14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4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50"/>
        </w:trPr>
        <w:tc>
          <w:tcPr>
            <w:tcW w:w="764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1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76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Accounts payable</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776</w:t>
            </w:r>
          </w:p>
        </w:tc>
        <w:tc>
          <w:tcPr>
            <w:tcW w:w="280" w:type="dxa"/>
            <w:vAlign w:val="bottom"/>
            <w:shd w:val="clear" w:color="auto" w:fill="CFF0FC"/>
          </w:tcPr>
          <w:p>
            <w:pPr>
              <w:spacing w:after="0"/>
              <w:rPr>
                <w:sz w:val="22"/>
                <w:szCs w:val="22"/>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1,997</w:t>
            </w:r>
          </w:p>
        </w:tc>
        <w:tc>
          <w:tcPr>
            <w:tcW w:w="100" w:type="dxa"/>
            <w:vAlign w:val="bottom"/>
            <w:shd w:val="clear" w:color="auto" w:fill="CFF0FC"/>
          </w:tcPr>
          <w:p>
            <w:pPr>
              <w:spacing w:after="0"/>
              <w:rPr>
                <w:sz w:val="22"/>
                <w:szCs w:val="22"/>
                <w:color w:val="auto"/>
              </w:rPr>
            </w:pPr>
          </w:p>
        </w:tc>
      </w:tr>
      <w:tr>
        <w:trPr>
          <w:trHeight w:val="250"/>
        </w:trPr>
        <w:tc>
          <w:tcPr>
            <w:tcW w:w="7640" w:type="dxa"/>
            <w:vAlign w:val="bottom"/>
          </w:tcPr>
          <w:p>
            <w:pPr>
              <w:ind w:left="200"/>
              <w:spacing w:after="0"/>
              <w:rPr>
                <w:sz w:val="20"/>
                <w:szCs w:val="20"/>
                <w:color w:val="auto"/>
              </w:rPr>
            </w:pPr>
            <w:r>
              <w:rPr>
                <w:rFonts w:ascii="Arial" w:cs="Arial" w:eastAsia="Arial" w:hAnsi="Arial"/>
                <w:sz w:val="18"/>
                <w:szCs w:val="18"/>
                <w:color w:val="auto"/>
              </w:rPr>
              <w:t>Accrued liabilities</w:t>
            </w:r>
          </w:p>
        </w:tc>
        <w:tc>
          <w:tcPr>
            <w:tcW w:w="1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2,996</w:t>
            </w: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1,582</w:t>
            </w:r>
          </w:p>
        </w:tc>
        <w:tc>
          <w:tcPr>
            <w:tcW w:w="100" w:type="dxa"/>
            <w:vAlign w:val="bottom"/>
          </w:tcPr>
          <w:p>
            <w:pPr>
              <w:spacing w:after="0"/>
              <w:rPr>
                <w:sz w:val="21"/>
                <w:szCs w:val="21"/>
                <w:color w:val="auto"/>
              </w:rPr>
            </w:pPr>
          </w:p>
        </w:tc>
      </w:tr>
      <w:tr>
        <w:trPr>
          <w:trHeight w:val="263"/>
        </w:trPr>
        <w:tc>
          <w:tcPr>
            <w:tcW w:w="76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Current portion of long-term debt</w:t>
            </w:r>
          </w:p>
        </w:tc>
        <w:tc>
          <w:tcPr>
            <w:tcW w:w="180" w:type="dxa"/>
            <w:vAlign w:val="bottom"/>
            <w:shd w:val="clear" w:color="auto" w:fill="CFF0FC"/>
          </w:tcPr>
          <w:p>
            <w:pPr>
              <w:spacing w:after="0"/>
              <w:rPr>
                <w:sz w:val="22"/>
                <w:szCs w:val="22"/>
                <w:color w:val="auto"/>
              </w:rPr>
            </w:pPr>
          </w:p>
        </w:tc>
        <w:tc>
          <w:tcPr>
            <w:tcW w:w="17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2"/>
                <w:szCs w:val="22"/>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991</w:t>
            </w:r>
          </w:p>
        </w:tc>
        <w:tc>
          <w:tcPr>
            <w:tcW w:w="100" w:type="dxa"/>
            <w:vAlign w:val="bottom"/>
            <w:shd w:val="clear" w:color="auto" w:fill="CFF0FC"/>
          </w:tcPr>
          <w:p>
            <w:pPr>
              <w:spacing w:after="0"/>
              <w:rPr>
                <w:sz w:val="22"/>
                <w:szCs w:val="22"/>
                <w:color w:val="auto"/>
              </w:rPr>
            </w:pPr>
          </w:p>
        </w:tc>
      </w:tr>
      <w:tr>
        <w:trPr>
          <w:trHeight w:val="250"/>
        </w:trPr>
        <w:tc>
          <w:tcPr>
            <w:tcW w:w="7640" w:type="dxa"/>
            <w:vAlign w:val="bottom"/>
          </w:tcPr>
          <w:p>
            <w:pPr>
              <w:ind w:left="200"/>
              <w:spacing w:after="0"/>
              <w:rPr>
                <w:sz w:val="20"/>
                <w:szCs w:val="20"/>
                <w:color w:val="auto"/>
              </w:rPr>
            </w:pPr>
            <w:r>
              <w:rPr>
                <w:rFonts w:ascii="Arial" w:cs="Arial" w:eastAsia="Arial" w:hAnsi="Arial"/>
                <w:sz w:val="18"/>
                <w:szCs w:val="18"/>
                <w:color w:val="auto"/>
              </w:rPr>
              <w:t>Current portion of operating lease liabilities</w:t>
            </w:r>
          </w:p>
        </w:tc>
        <w:tc>
          <w:tcPr>
            <w:tcW w:w="1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384</w:t>
            </w: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373</w:t>
            </w:r>
          </w:p>
        </w:tc>
        <w:tc>
          <w:tcPr>
            <w:tcW w:w="100" w:type="dxa"/>
            <w:vAlign w:val="bottom"/>
          </w:tcPr>
          <w:p>
            <w:pPr>
              <w:spacing w:after="0"/>
              <w:rPr>
                <w:sz w:val="21"/>
                <w:szCs w:val="21"/>
                <w:color w:val="auto"/>
              </w:rPr>
            </w:pPr>
          </w:p>
        </w:tc>
      </w:tr>
      <w:tr>
        <w:trPr>
          <w:trHeight w:val="257"/>
        </w:trPr>
        <w:tc>
          <w:tcPr>
            <w:tcW w:w="76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Deferred revenue</w:t>
            </w:r>
          </w:p>
        </w:tc>
        <w:tc>
          <w:tcPr>
            <w:tcW w:w="180" w:type="dxa"/>
            <w:vAlign w:val="bottom"/>
            <w:tcBorders>
              <w:bottom w:val="single" w:sz="8" w:color="auto"/>
            </w:tcBorders>
            <w:shd w:val="clear" w:color="auto" w:fill="CFF0FC"/>
          </w:tcPr>
          <w:p>
            <w:pPr>
              <w:spacing w:after="0"/>
              <w:rPr>
                <w:sz w:val="22"/>
                <w:szCs w:val="22"/>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5,000</w:t>
            </w:r>
          </w:p>
        </w:tc>
        <w:tc>
          <w:tcPr>
            <w:tcW w:w="28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spacing w:after="0"/>
              <w:rPr>
                <w:sz w:val="22"/>
                <w:szCs w:val="22"/>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5,000</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50"/>
        </w:trPr>
        <w:tc>
          <w:tcPr>
            <w:tcW w:w="7640" w:type="dxa"/>
            <w:vAlign w:val="bottom"/>
          </w:tcPr>
          <w:p>
            <w:pPr>
              <w:ind w:left="380"/>
              <w:spacing w:after="0"/>
              <w:rPr>
                <w:sz w:val="20"/>
                <w:szCs w:val="20"/>
                <w:color w:val="auto"/>
              </w:rPr>
            </w:pPr>
            <w:r>
              <w:rPr>
                <w:rFonts w:ascii="Arial" w:cs="Arial" w:eastAsia="Arial" w:hAnsi="Arial"/>
                <w:sz w:val="18"/>
                <w:szCs w:val="18"/>
                <w:color w:val="auto"/>
              </w:rPr>
              <w:t>Total current liabilities</w:t>
            </w:r>
          </w:p>
        </w:tc>
        <w:tc>
          <w:tcPr>
            <w:tcW w:w="1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9,156</w:t>
            </w: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9,943</w:t>
            </w:r>
          </w:p>
        </w:tc>
        <w:tc>
          <w:tcPr>
            <w:tcW w:w="100" w:type="dxa"/>
            <w:vAlign w:val="bottom"/>
          </w:tcPr>
          <w:p>
            <w:pPr>
              <w:spacing w:after="0"/>
              <w:rPr>
                <w:sz w:val="21"/>
                <w:szCs w:val="21"/>
                <w:color w:val="auto"/>
              </w:rPr>
            </w:pPr>
          </w:p>
        </w:tc>
      </w:tr>
      <w:tr>
        <w:trPr>
          <w:trHeight w:val="257"/>
        </w:trPr>
        <w:tc>
          <w:tcPr>
            <w:tcW w:w="76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Operating lease liabilities</w:t>
            </w:r>
          </w:p>
        </w:tc>
        <w:tc>
          <w:tcPr>
            <w:tcW w:w="180" w:type="dxa"/>
            <w:vAlign w:val="bottom"/>
            <w:tcBorders>
              <w:bottom w:val="single" w:sz="8" w:color="auto"/>
            </w:tcBorders>
            <w:shd w:val="clear" w:color="auto" w:fill="CFF0FC"/>
          </w:tcPr>
          <w:p>
            <w:pPr>
              <w:spacing w:after="0"/>
              <w:rPr>
                <w:sz w:val="22"/>
                <w:szCs w:val="22"/>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374</w:t>
            </w:r>
          </w:p>
        </w:tc>
        <w:tc>
          <w:tcPr>
            <w:tcW w:w="28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spacing w:after="0"/>
              <w:rPr>
                <w:sz w:val="22"/>
                <w:szCs w:val="22"/>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616</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50"/>
        </w:trPr>
        <w:tc>
          <w:tcPr>
            <w:tcW w:w="7640" w:type="dxa"/>
            <w:vAlign w:val="bottom"/>
          </w:tcPr>
          <w:p>
            <w:pPr>
              <w:ind w:left="660"/>
              <w:spacing w:after="0"/>
              <w:rPr>
                <w:sz w:val="20"/>
                <w:szCs w:val="20"/>
                <w:color w:val="auto"/>
              </w:rPr>
            </w:pPr>
            <w:r>
              <w:rPr>
                <w:rFonts w:ascii="Arial" w:cs="Arial" w:eastAsia="Arial" w:hAnsi="Arial"/>
                <w:sz w:val="18"/>
                <w:szCs w:val="18"/>
                <w:color w:val="auto"/>
              </w:rPr>
              <w:t>Total liabilities</w:t>
            </w:r>
          </w:p>
        </w:tc>
        <w:tc>
          <w:tcPr>
            <w:tcW w:w="1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9,530</w:t>
            </w: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10,559</w:t>
            </w:r>
          </w:p>
        </w:tc>
        <w:tc>
          <w:tcPr>
            <w:tcW w:w="100" w:type="dxa"/>
            <w:vAlign w:val="bottom"/>
          </w:tcPr>
          <w:p>
            <w:pPr>
              <w:spacing w:after="0"/>
              <w:rPr>
                <w:sz w:val="21"/>
                <w:szCs w:val="21"/>
                <w:color w:val="auto"/>
              </w:rPr>
            </w:pPr>
          </w:p>
        </w:tc>
      </w:tr>
      <w:tr>
        <w:trPr>
          <w:trHeight w:val="263"/>
        </w:trPr>
        <w:tc>
          <w:tcPr>
            <w:tcW w:w="7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Commitments and contingencies</w:t>
            </w:r>
          </w:p>
        </w:tc>
        <w:tc>
          <w:tcPr>
            <w:tcW w:w="180" w:type="dxa"/>
            <w:vAlign w:val="bottom"/>
            <w:shd w:val="clear" w:color="auto" w:fill="CFF0FC"/>
          </w:tcPr>
          <w:p>
            <w:pPr>
              <w:spacing w:after="0"/>
              <w:rPr>
                <w:sz w:val="22"/>
                <w:szCs w:val="22"/>
                <w:color w:val="auto"/>
              </w:rPr>
            </w:pPr>
          </w:p>
        </w:tc>
        <w:tc>
          <w:tcPr>
            <w:tcW w:w="144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4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764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1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9"/>
        </w:trPr>
        <w:tc>
          <w:tcPr>
            <w:tcW w:w="76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Preferred stock, $0.001 par value; 10,000,000 shares authorized and no</w:t>
            </w:r>
          </w:p>
        </w:tc>
        <w:tc>
          <w:tcPr>
            <w:tcW w:w="180" w:type="dxa"/>
            <w:vAlign w:val="bottom"/>
            <w:shd w:val="clear" w:color="auto" w:fill="CFF0FC"/>
          </w:tcPr>
          <w:p>
            <w:pPr>
              <w:spacing w:after="0"/>
              <w:rPr>
                <w:sz w:val="21"/>
                <w:szCs w:val="21"/>
                <w:color w:val="auto"/>
              </w:rPr>
            </w:pPr>
          </w:p>
        </w:tc>
        <w:tc>
          <w:tcPr>
            <w:tcW w:w="14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4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4"/>
        </w:trPr>
        <w:tc>
          <w:tcPr>
            <w:tcW w:w="7640" w:type="dxa"/>
            <w:vAlign w:val="bottom"/>
            <w:shd w:val="clear" w:color="auto" w:fill="CFF0FC"/>
          </w:tcPr>
          <w:p>
            <w:pPr>
              <w:ind w:left="340"/>
              <w:spacing w:after="0"/>
              <w:rPr>
                <w:sz w:val="20"/>
                <w:szCs w:val="20"/>
                <w:color w:val="auto"/>
              </w:rPr>
            </w:pPr>
            <w:r>
              <w:rPr>
                <w:rFonts w:ascii="Arial" w:cs="Arial" w:eastAsia="Arial" w:hAnsi="Arial"/>
                <w:sz w:val="18"/>
                <w:szCs w:val="18"/>
                <w:color w:val="auto"/>
              </w:rPr>
              <w:t>shares issued at September 30, 2021 and December 31, 2020</w:t>
            </w:r>
          </w:p>
        </w:tc>
        <w:tc>
          <w:tcPr>
            <w:tcW w:w="180" w:type="dxa"/>
            <w:vAlign w:val="bottom"/>
            <w:shd w:val="clear" w:color="auto" w:fill="CFF0FC"/>
          </w:tcPr>
          <w:p>
            <w:pPr>
              <w:spacing w:after="0"/>
              <w:rPr>
                <w:sz w:val="21"/>
                <w:szCs w:val="21"/>
                <w:color w:val="auto"/>
              </w:rPr>
            </w:pPr>
          </w:p>
        </w:tc>
        <w:tc>
          <w:tcPr>
            <w:tcW w:w="17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1"/>
                <w:szCs w:val="21"/>
                <w:color w:val="auto"/>
              </w:rPr>
            </w:pPr>
          </w:p>
        </w:tc>
        <w:tc>
          <w:tcPr>
            <w:tcW w:w="15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42"/>
        </w:trPr>
        <w:tc>
          <w:tcPr>
            <w:tcW w:w="7640" w:type="dxa"/>
            <w:vAlign w:val="bottom"/>
          </w:tcPr>
          <w:p>
            <w:pPr>
              <w:ind w:left="200"/>
              <w:spacing w:after="0"/>
              <w:rPr>
                <w:sz w:val="20"/>
                <w:szCs w:val="20"/>
                <w:color w:val="auto"/>
              </w:rPr>
            </w:pPr>
            <w:r>
              <w:rPr>
                <w:rFonts w:ascii="Arial" w:cs="Arial" w:eastAsia="Arial" w:hAnsi="Arial"/>
                <w:sz w:val="18"/>
                <w:szCs w:val="18"/>
                <w:color w:val="auto"/>
              </w:rPr>
              <w:t>Common stock, $0.001 par value; 100,000,000 shares authorized at</w:t>
            </w:r>
          </w:p>
        </w:tc>
        <w:tc>
          <w:tcPr>
            <w:tcW w:w="1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30"/>
        </w:trPr>
        <w:tc>
          <w:tcPr>
            <w:tcW w:w="7640" w:type="dxa"/>
            <w:vAlign w:val="bottom"/>
          </w:tcPr>
          <w:p>
            <w:pPr>
              <w:ind w:left="340"/>
              <w:spacing w:after="0"/>
              <w:rPr>
                <w:sz w:val="20"/>
                <w:szCs w:val="20"/>
                <w:color w:val="auto"/>
              </w:rPr>
            </w:pPr>
            <w:r>
              <w:rPr>
                <w:rFonts w:ascii="Arial" w:cs="Arial" w:eastAsia="Arial" w:hAnsi="Arial"/>
                <w:sz w:val="18"/>
                <w:szCs w:val="18"/>
                <w:color w:val="auto"/>
              </w:rPr>
              <w:t>September 30, 2021 and December 31, 2020; 59,626,519 and</w:t>
            </w:r>
          </w:p>
        </w:tc>
        <w:tc>
          <w:tcPr>
            <w:tcW w:w="1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640" w:type="dxa"/>
            <w:vAlign w:val="bottom"/>
          </w:tcPr>
          <w:p>
            <w:pPr>
              <w:ind w:left="340"/>
              <w:spacing w:after="0"/>
              <w:rPr>
                <w:sz w:val="20"/>
                <w:szCs w:val="20"/>
                <w:color w:val="auto"/>
              </w:rPr>
            </w:pPr>
            <w:r>
              <w:rPr>
                <w:rFonts w:ascii="Arial" w:cs="Arial" w:eastAsia="Arial" w:hAnsi="Arial"/>
                <w:sz w:val="18"/>
                <w:szCs w:val="18"/>
                <w:color w:val="auto"/>
              </w:rPr>
              <w:t>51,860,941 shares issued and outstanding at September 30, 2021</w:t>
            </w:r>
          </w:p>
        </w:tc>
        <w:tc>
          <w:tcPr>
            <w:tcW w:w="1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7"/>
        </w:trPr>
        <w:tc>
          <w:tcPr>
            <w:tcW w:w="7640" w:type="dxa"/>
            <w:vAlign w:val="bottom"/>
          </w:tcPr>
          <w:p>
            <w:pPr>
              <w:ind w:left="340"/>
              <w:spacing w:after="0"/>
              <w:rPr>
                <w:sz w:val="20"/>
                <w:szCs w:val="20"/>
                <w:color w:val="auto"/>
              </w:rPr>
            </w:pPr>
            <w:r>
              <w:rPr>
                <w:rFonts w:ascii="Arial" w:cs="Arial" w:eastAsia="Arial" w:hAnsi="Arial"/>
                <w:sz w:val="18"/>
                <w:szCs w:val="18"/>
                <w:color w:val="auto"/>
              </w:rPr>
              <w:t>and December 31, 2020, respectively</w:t>
            </w:r>
          </w:p>
        </w:tc>
        <w:tc>
          <w:tcPr>
            <w:tcW w:w="18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60</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0"/>
                <w:szCs w:val="20"/>
                <w:color w:val="auto"/>
              </w:rPr>
            </w:pPr>
          </w:p>
        </w:tc>
      </w:tr>
      <w:tr>
        <w:trPr>
          <w:trHeight w:val="263"/>
        </w:trPr>
        <w:tc>
          <w:tcPr>
            <w:tcW w:w="76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Additional paid-in capital</w:t>
            </w:r>
          </w:p>
        </w:tc>
        <w:tc>
          <w:tcPr>
            <w:tcW w:w="180" w:type="dxa"/>
            <w:vAlign w:val="bottom"/>
            <w:shd w:val="clear" w:color="auto" w:fill="CFF0FC"/>
          </w:tcPr>
          <w:p>
            <w:pPr>
              <w:spacing w:after="0"/>
              <w:rPr>
                <w:sz w:val="22"/>
                <w:szCs w:val="22"/>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291,988</w:t>
            </w:r>
          </w:p>
        </w:tc>
        <w:tc>
          <w:tcPr>
            <w:tcW w:w="28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264,578</w:t>
            </w:r>
          </w:p>
        </w:tc>
        <w:tc>
          <w:tcPr>
            <w:tcW w:w="100" w:type="dxa"/>
            <w:vAlign w:val="bottom"/>
            <w:shd w:val="clear" w:color="auto" w:fill="CFF0FC"/>
          </w:tcPr>
          <w:p>
            <w:pPr>
              <w:spacing w:after="0"/>
              <w:rPr>
                <w:sz w:val="22"/>
                <w:szCs w:val="22"/>
                <w:color w:val="auto"/>
              </w:rPr>
            </w:pPr>
          </w:p>
        </w:tc>
      </w:tr>
      <w:tr>
        <w:trPr>
          <w:trHeight w:val="250"/>
        </w:trPr>
        <w:tc>
          <w:tcPr>
            <w:tcW w:w="7640" w:type="dxa"/>
            <w:vAlign w:val="bottom"/>
          </w:tcPr>
          <w:p>
            <w:pPr>
              <w:ind w:left="200"/>
              <w:spacing w:after="0"/>
              <w:rPr>
                <w:sz w:val="20"/>
                <w:szCs w:val="20"/>
                <w:color w:val="auto"/>
              </w:rPr>
            </w:pPr>
            <w:r>
              <w:rPr>
                <w:rFonts w:ascii="Arial" w:cs="Arial" w:eastAsia="Arial" w:hAnsi="Arial"/>
                <w:sz w:val="18"/>
                <w:szCs w:val="18"/>
                <w:color w:val="auto"/>
              </w:rPr>
              <w:t>Accumulated deficit</w:t>
            </w:r>
          </w:p>
        </w:tc>
        <w:tc>
          <w:tcPr>
            <w:tcW w:w="180" w:type="dxa"/>
            <w:vAlign w:val="bottom"/>
          </w:tcPr>
          <w:p>
            <w:pPr>
              <w:spacing w:after="0"/>
              <w:rPr>
                <w:sz w:val="21"/>
                <w:szCs w:val="21"/>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18"/>
                <w:szCs w:val="18"/>
                <w:color w:val="auto"/>
              </w:rPr>
              <w:t>(274,200 )</w:t>
            </w:r>
          </w:p>
        </w:tc>
        <w:tc>
          <w:tcPr>
            <w:tcW w:w="180" w:type="dxa"/>
            <w:vAlign w:val="bottom"/>
          </w:tcPr>
          <w:p>
            <w:pPr>
              <w:spacing w:after="0"/>
              <w:rPr>
                <w:sz w:val="21"/>
                <w:szCs w:val="21"/>
                <w:color w:val="auto"/>
              </w:rPr>
            </w:pPr>
          </w:p>
        </w:tc>
        <w:tc>
          <w:tcPr>
            <w:tcW w:w="1520" w:type="dxa"/>
            <w:vAlign w:val="bottom"/>
            <w:gridSpan w:val="2"/>
          </w:tcPr>
          <w:p>
            <w:pPr>
              <w:jc w:val="right"/>
              <w:ind w:right="40"/>
              <w:spacing w:after="0"/>
              <w:rPr>
                <w:sz w:val="20"/>
                <w:szCs w:val="20"/>
                <w:color w:val="auto"/>
              </w:rPr>
            </w:pPr>
            <w:r>
              <w:rPr>
                <w:rFonts w:ascii="Arial" w:cs="Arial" w:eastAsia="Arial" w:hAnsi="Arial"/>
                <w:sz w:val="18"/>
                <w:szCs w:val="18"/>
                <w:color w:val="auto"/>
              </w:rPr>
              <w:t>(255,867 )</w:t>
            </w:r>
          </w:p>
        </w:tc>
      </w:tr>
      <w:tr>
        <w:trPr>
          <w:trHeight w:val="250"/>
        </w:trPr>
        <w:tc>
          <w:tcPr>
            <w:tcW w:w="7640" w:type="dxa"/>
            <w:vAlign w:val="bottom"/>
            <w:tcBorders>
              <w:bottom w:val="single" w:sz="8" w:color="CFF0FC"/>
            </w:tcBorders>
            <w:shd w:val="clear" w:color="auto" w:fill="CFF0FC"/>
          </w:tcPr>
          <w:p>
            <w:pPr>
              <w:ind w:left="660"/>
              <w:spacing w:after="0"/>
              <w:rPr>
                <w:sz w:val="20"/>
                <w:szCs w:val="20"/>
                <w:color w:val="auto"/>
              </w:rPr>
            </w:pPr>
            <w:r>
              <w:rPr>
                <w:rFonts w:ascii="Arial" w:cs="Arial" w:eastAsia="Arial" w:hAnsi="Arial"/>
                <w:sz w:val="18"/>
                <w:szCs w:val="18"/>
                <w:color w:val="auto"/>
              </w:rPr>
              <w:t>Total stockholders’ equity</w:t>
            </w:r>
          </w:p>
        </w:tc>
        <w:tc>
          <w:tcPr>
            <w:tcW w:w="180" w:type="dxa"/>
            <w:vAlign w:val="bottom"/>
            <w:tcBorders>
              <w:top w:val="single" w:sz="8" w:color="auto"/>
              <w:bottom w:val="single" w:sz="8" w:color="auto"/>
            </w:tcBorders>
            <w:shd w:val="clear" w:color="auto" w:fill="CFF0FC"/>
          </w:tcPr>
          <w:p>
            <w:pPr>
              <w:spacing w:after="0"/>
              <w:rPr>
                <w:sz w:val="21"/>
                <w:szCs w:val="21"/>
                <w:color w:val="auto"/>
              </w:rPr>
            </w:pP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17,848</w:t>
            </w:r>
          </w:p>
        </w:tc>
        <w:tc>
          <w:tcPr>
            <w:tcW w:w="2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top w:val="single" w:sz="8" w:color="auto"/>
              <w:bottom w:val="single" w:sz="8" w:color="auto"/>
            </w:tcBorders>
            <w:shd w:val="clear" w:color="auto" w:fill="CFF0FC"/>
          </w:tcPr>
          <w:p>
            <w:pPr>
              <w:spacing w:after="0"/>
              <w:rPr>
                <w:sz w:val="21"/>
                <w:szCs w:val="21"/>
                <w:color w:val="auto"/>
              </w:rPr>
            </w:pP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8,763</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50"/>
        </w:trPr>
        <w:tc>
          <w:tcPr>
            <w:tcW w:w="7640" w:type="dxa"/>
            <w:vAlign w:val="bottom"/>
          </w:tcPr>
          <w:p>
            <w:pPr>
              <w:ind w:left="660"/>
              <w:spacing w:after="0"/>
              <w:rPr>
                <w:sz w:val="20"/>
                <w:szCs w:val="20"/>
                <w:color w:val="auto"/>
              </w:rPr>
            </w:pPr>
            <w:r>
              <w:rPr>
                <w:rFonts w:ascii="Arial" w:cs="Arial" w:eastAsia="Arial" w:hAnsi="Arial"/>
                <w:sz w:val="18"/>
                <w:szCs w:val="18"/>
                <w:color w:val="auto"/>
              </w:rPr>
              <w:t>Total liabilities and stockholders’ equity</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27,378</w:t>
            </w:r>
          </w:p>
        </w:tc>
        <w:tc>
          <w:tcPr>
            <w:tcW w:w="28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19,322</w:t>
            </w:r>
          </w:p>
        </w:tc>
        <w:tc>
          <w:tcPr>
            <w:tcW w:w="100" w:type="dxa"/>
            <w:vAlign w:val="bottom"/>
          </w:tcPr>
          <w:p>
            <w:pPr>
              <w:spacing w:after="0"/>
              <w:rPr>
                <w:sz w:val="21"/>
                <w:szCs w:val="21"/>
                <w:color w:val="auto"/>
              </w:rPr>
            </w:pPr>
          </w:p>
        </w:tc>
      </w:tr>
      <w:tr>
        <w:trPr>
          <w:trHeight w:val="20"/>
        </w:trPr>
        <w:tc>
          <w:tcPr>
            <w:tcW w:w="76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5876925</wp:posOffset>
            </wp:positionH>
            <wp:positionV relativeFrom="paragraph">
              <wp:posOffset>-4428490</wp:posOffset>
            </wp:positionV>
            <wp:extent cx="180340" cy="5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8034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-4428490</wp:posOffset>
            </wp:positionV>
            <wp:extent cx="68580"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-3768090</wp:posOffset>
            </wp:positionV>
            <wp:extent cx="180340" cy="57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8034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-3768090</wp:posOffset>
            </wp:positionV>
            <wp:extent cx="68580" cy="57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-2430780</wp:posOffset>
            </wp:positionV>
            <wp:extent cx="180340" cy="57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8034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-2430780</wp:posOffset>
            </wp:positionV>
            <wp:extent cx="68580" cy="57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-2096770</wp:posOffset>
            </wp:positionV>
            <wp:extent cx="180340" cy="57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8034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-2096770</wp:posOffset>
            </wp:positionV>
            <wp:extent cx="68580" cy="57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-193675</wp:posOffset>
            </wp:positionV>
            <wp:extent cx="180340" cy="57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8034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-193675</wp:posOffset>
            </wp:positionV>
            <wp:extent cx="68580" cy="57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CLEARSIDE BIOMEDICAL,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Operations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data)</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780" w:type="dxa"/>
            <w:vAlign w:val="bottom"/>
            <w:gridSpan w:val="5"/>
          </w:tcPr>
          <w:p>
            <w:pPr>
              <w:jc w:val="right"/>
              <w:ind w:right="104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5"/>
                <w:szCs w:val="15"/>
                <w:color w:val="auto"/>
              </w:rPr>
            </w:pPr>
          </w:p>
        </w:tc>
        <w:tc>
          <w:tcPr>
            <w:tcW w:w="2440" w:type="dxa"/>
            <w:vAlign w:val="bottom"/>
            <w:gridSpan w:val="5"/>
          </w:tcPr>
          <w:p>
            <w:pPr>
              <w:jc w:val="right"/>
              <w:ind w:right="760"/>
              <w:spacing w:after="0"/>
              <w:rPr>
                <w:sz w:val="20"/>
                <w:szCs w:val="20"/>
                <w:color w:val="auto"/>
              </w:rPr>
            </w:pPr>
            <w:r>
              <w:rPr>
                <w:rFonts w:ascii="Arial" w:cs="Arial" w:eastAsia="Arial" w:hAnsi="Arial"/>
                <w:sz w:val="14"/>
                <w:szCs w:val="14"/>
                <w:b w:val="1"/>
                <w:bCs w:val="1"/>
                <w:color w:val="auto"/>
              </w:rPr>
              <w:t>Nine Months Ended</w:t>
            </w:r>
          </w:p>
        </w:tc>
      </w:tr>
      <w:tr>
        <w:trPr>
          <w:trHeight w:val="192"/>
        </w:trPr>
        <w:tc>
          <w:tcPr>
            <w:tcW w:w="55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Borders>
              <w:bottom w:val="single" w:sz="8" w:color="auto"/>
            </w:tcBorders>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96"/>
        </w:trPr>
        <w:tc>
          <w:tcPr>
            <w:tcW w:w="55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2020</w:t>
            </w:r>
          </w:p>
        </w:tc>
        <w:tc>
          <w:tcPr>
            <w:tcW w:w="3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r>
      <w:tr>
        <w:trPr>
          <w:trHeight w:val="256"/>
        </w:trPr>
        <w:tc>
          <w:tcPr>
            <w:tcW w:w="5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License and other revenue</w:t>
            </w: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3,074</w:t>
            </w:r>
          </w:p>
        </w:tc>
        <w:tc>
          <w:tcPr>
            <w:tcW w:w="260" w:type="dxa"/>
            <w:vAlign w:val="bottom"/>
            <w:shd w:val="clear" w:color="auto" w:fill="CFF0FC"/>
          </w:tcPr>
          <w:p>
            <w:pPr>
              <w:spacing w:after="0"/>
              <w:rPr>
                <w:sz w:val="22"/>
                <w:szCs w:val="22"/>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3,432</w:t>
            </w:r>
          </w:p>
        </w:tc>
        <w:tc>
          <w:tcPr>
            <w:tcW w:w="380" w:type="dxa"/>
            <w:vAlign w:val="bottom"/>
            <w:shd w:val="clear" w:color="auto" w:fill="CFF0FC"/>
          </w:tcPr>
          <w:p>
            <w:pPr>
              <w:spacing w:after="0"/>
              <w:rPr>
                <w:sz w:val="22"/>
                <w:szCs w:val="22"/>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3,888</w:t>
            </w:r>
          </w:p>
        </w:tc>
        <w:tc>
          <w:tcPr>
            <w:tcW w:w="240" w:type="dxa"/>
            <w:vAlign w:val="bottom"/>
            <w:shd w:val="clear" w:color="auto" w:fill="CFF0FC"/>
          </w:tcPr>
          <w:p>
            <w:pPr>
              <w:spacing w:after="0"/>
              <w:rPr>
                <w:sz w:val="22"/>
                <w:szCs w:val="22"/>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7,883</w:t>
            </w:r>
          </w:p>
        </w:tc>
        <w:tc>
          <w:tcPr>
            <w:tcW w:w="100" w:type="dxa"/>
            <w:vAlign w:val="bottom"/>
            <w:shd w:val="clear" w:color="auto" w:fill="CFF0FC"/>
          </w:tcPr>
          <w:p>
            <w:pPr>
              <w:spacing w:after="0"/>
              <w:rPr>
                <w:sz w:val="22"/>
                <w:szCs w:val="22"/>
                <w:color w:val="auto"/>
              </w:rPr>
            </w:pPr>
          </w:p>
        </w:tc>
      </w:tr>
      <w:tr>
        <w:trPr>
          <w:trHeight w:val="250"/>
        </w:trPr>
        <w:tc>
          <w:tcPr>
            <w:tcW w:w="556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55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Research and development</w:t>
            </w:r>
          </w:p>
        </w:tc>
        <w:tc>
          <w:tcPr>
            <w:tcW w:w="240" w:type="dxa"/>
            <w:vAlign w:val="bottom"/>
            <w:shd w:val="clear" w:color="auto" w:fill="CFF0FC"/>
          </w:tcPr>
          <w:p>
            <w:pPr>
              <w:spacing w:after="0"/>
              <w:rPr>
                <w:sz w:val="22"/>
                <w:szCs w:val="2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5,147</w:t>
            </w:r>
          </w:p>
        </w:tc>
        <w:tc>
          <w:tcPr>
            <w:tcW w:w="26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3,490</w:t>
            </w:r>
          </w:p>
        </w:tc>
        <w:tc>
          <w:tcPr>
            <w:tcW w:w="38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14,697</w:t>
            </w:r>
          </w:p>
        </w:tc>
        <w:tc>
          <w:tcPr>
            <w:tcW w:w="24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10,601</w:t>
            </w:r>
          </w:p>
        </w:tc>
        <w:tc>
          <w:tcPr>
            <w:tcW w:w="100" w:type="dxa"/>
            <w:vAlign w:val="bottom"/>
            <w:shd w:val="clear" w:color="auto" w:fill="CFF0FC"/>
          </w:tcPr>
          <w:p>
            <w:pPr>
              <w:spacing w:after="0"/>
              <w:rPr>
                <w:sz w:val="22"/>
                <w:szCs w:val="22"/>
                <w:color w:val="auto"/>
              </w:rPr>
            </w:pPr>
          </w:p>
        </w:tc>
      </w:tr>
      <w:tr>
        <w:trPr>
          <w:trHeight w:val="250"/>
        </w:trPr>
        <w:tc>
          <w:tcPr>
            <w:tcW w:w="5560" w:type="dxa"/>
            <w:vAlign w:val="bottom"/>
          </w:tcPr>
          <w:p>
            <w:pPr>
              <w:ind w:left="200"/>
              <w:spacing w:after="0"/>
              <w:rPr>
                <w:sz w:val="20"/>
                <w:szCs w:val="20"/>
                <w:color w:val="auto"/>
              </w:rPr>
            </w:pPr>
            <w:r>
              <w:rPr>
                <w:rFonts w:ascii="Arial" w:cs="Arial" w:eastAsia="Arial" w:hAnsi="Arial"/>
                <w:sz w:val="18"/>
                <w:szCs w:val="18"/>
                <w:color w:val="auto"/>
              </w:rPr>
              <w:t>General and administrative</w:t>
            </w:r>
          </w:p>
        </w:tc>
        <w:tc>
          <w:tcPr>
            <w:tcW w:w="2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2,816</w:t>
            </w:r>
          </w:p>
        </w:tc>
        <w:tc>
          <w:tcPr>
            <w:tcW w:w="26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2,374</w:t>
            </w:r>
          </w:p>
        </w:tc>
        <w:tc>
          <w:tcPr>
            <w:tcW w:w="3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8,525</w:t>
            </w:r>
          </w:p>
        </w:tc>
        <w:tc>
          <w:tcPr>
            <w:tcW w:w="24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8,107</w:t>
            </w:r>
          </w:p>
        </w:tc>
        <w:tc>
          <w:tcPr>
            <w:tcW w:w="100" w:type="dxa"/>
            <w:vAlign w:val="bottom"/>
          </w:tcPr>
          <w:p>
            <w:pPr>
              <w:spacing w:after="0"/>
              <w:rPr>
                <w:sz w:val="21"/>
                <w:szCs w:val="21"/>
                <w:color w:val="auto"/>
              </w:rPr>
            </w:pPr>
          </w:p>
        </w:tc>
      </w:tr>
      <w:tr>
        <w:trPr>
          <w:trHeight w:val="250"/>
        </w:trPr>
        <w:tc>
          <w:tcPr>
            <w:tcW w:w="556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7,963</w:t>
            </w:r>
          </w:p>
        </w:tc>
        <w:tc>
          <w:tcPr>
            <w:tcW w:w="26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5,864</w:t>
            </w:r>
          </w:p>
        </w:tc>
        <w:tc>
          <w:tcPr>
            <w:tcW w:w="3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23,222</w:t>
            </w:r>
          </w:p>
        </w:tc>
        <w:tc>
          <w:tcPr>
            <w:tcW w:w="24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18,708</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50"/>
        </w:trPr>
        <w:tc>
          <w:tcPr>
            <w:tcW w:w="556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240" w:type="dxa"/>
            <w:vAlign w:val="bottom"/>
          </w:tcPr>
          <w:p>
            <w:pPr>
              <w:spacing w:after="0"/>
              <w:rPr>
                <w:sz w:val="21"/>
                <w:szCs w:val="21"/>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(4,889 )</w:t>
            </w:r>
          </w:p>
        </w:tc>
        <w:tc>
          <w:tcPr>
            <w:tcW w:w="340" w:type="dxa"/>
            <w:vAlign w:val="bottom"/>
          </w:tcPr>
          <w:p>
            <w:pPr>
              <w:spacing w:after="0"/>
              <w:rPr>
                <w:sz w:val="21"/>
                <w:szCs w:val="21"/>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(2,432 )</w:t>
            </w:r>
          </w:p>
        </w:tc>
        <w:tc>
          <w:tcPr>
            <w:tcW w:w="220" w:type="dxa"/>
            <w:vAlign w:val="bottom"/>
          </w:tcPr>
          <w:p>
            <w:pPr>
              <w:spacing w:after="0"/>
              <w:rPr>
                <w:sz w:val="21"/>
                <w:szCs w:val="21"/>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(19,334 )</w:t>
            </w:r>
          </w:p>
        </w:tc>
        <w:tc>
          <w:tcPr>
            <w:tcW w:w="320" w:type="dxa"/>
            <w:vAlign w:val="bottom"/>
          </w:tcPr>
          <w:p>
            <w:pPr>
              <w:spacing w:after="0"/>
              <w:rPr>
                <w:sz w:val="21"/>
                <w:szCs w:val="21"/>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(10,825 )</w:t>
            </w:r>
          </w:p>
        </w:tc>
      </w:tr>
      <w:tr>
        <w:trPr>
          <w:trHeight w:val="263"/>
        </w:trPr>
        <w:tc>
          <w:tcPr>
            <w:tcW w:w="5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income</w:t>
            </w:r>
          </w:p>
        </w:tc>
        <w:tc>
          <w:tcPr>
            <w:tcW w:w="240" w:type="dxa"/>
            <w:vAlign w:val="bottom"/>
            <w:shd w:val="clear" w:color="auto" w:fill="CFF0FC"/>
          </w:tcPr>
          <w:p>
            <w:pPr>
              <w:spacing w:after="0"/>
              <w:rPr>
                <w:sz w:val="22"/>
                <w:szCs w:val="2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6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1220" w:type="dxa"/>
            <w:vAlign w:val="bottom"/>
            <w:gridSpan w:val="2"/>
            <w:shd w:val="clear" w:color="auto" w:fill="CFF0FC"/>
          </w:tcPr>
          <w:p>
            <w:pPr>
              <w:jc w:val="right"/>
              <w:ind w:right="4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2"/>
                <w:szCs w:val="2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1,001</w:t>
            </w:r>
          </w:p>
        </w:tc>
        <w:tc>
          <w:tcPr>
            <w:tcW w:w="24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50"/>
        </w:trPr>
        <w:tc>
          <w:tcPr>
            <w:tcW w:w="5560" w:type="dxa"/>
            <w:vAlign w:val="bottom"/>
          </w:tcPr>
          <w:p>
            <w:pPr>
              <w:ind w:left="20"/>
              <w:spacing w:after="0"/>
              <w:rPr>
                <w:sz w:val="20"/>
                <w:szCs w:val="20"/>
                <w:color w:val="auto"/>
              </w:rPr>
            </w:pPr>
            <w:r>
              <w:rPr>
                <w:rFonts w:ascii="Arial" w:cs="Arial" w:eastAsia="Arial" w:hAnsi="Arial"/>
                <w:sz w:val="18"/>
                <w:szCs w:val="18"/>
                <w:color w:val="auto"/>
              </w:rPr>
              <w:t>Other expense</w:t>
            </w:r>
          </w:p>
        </w:tc>
        <w:tc>
          <w:tcPr>
            <w:tcW w:w="2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(1 )</w:t>
            </w:r>
          </w:p>
        </w:tc>
        <w:tc>
          <w:tcPr>
            <w:tcW w:w="220" w:type="dxa"/>
            <w:vAlign w:val="bottom"/>
          </w:tcPr>
          <w:p>
            <w:pPr>
              <w:spacing w:after="0"/>
              <w:rPr>
                <w:sz w:val="21"/>
                <w:szCs w:val="21"/>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(273 )</w:t>
            </w:r>
          </w:p>
        </w:tc>
      </w:tr>
      <w:tr>
        <w:trPr>
          <w:trHeight w:val="20"/>
        </w:trPr>
        <w:tc>
          <w:tcPr>
            <w:tcW w:w="55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70"/>
        </w:trPr>
        <w:tc>
          <w:tcPr>
            <w:tcW w:w="5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w:t>
            </w: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(4,887 )</w:t>
            </w: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(2,433 )</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(18,333 )</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(11,098 )</w:t>
            </w:r>
          </w:p>
        </w:tc>
      </w:tr>
      <w:tr>
        <w:trPr>
          <w:trHeight w:val="20"/>
        </w:trPr>
        <w:tc>
          <w:tcPr>
            <w:tcW w:w="556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237"/>
        </w:trPr>
        <w:tc>
          <w:tcPr>
            <w:tcW w:w="5560" w:type="dxa"/>
            <w:vAlign w:val="bottom"/>
          </w:tcPr>
          <w:p>
            <w:pPr>
              <w:ind w:left="20"/>
              <w:spacing w:after="0"/>
              <w:rPr>
                <w:sz w:val="20"/>
                <w:szCs w:val="20"/>
                <w:color w:val="auto"/>
              </w:rPr>
            </w:pPr>
            <w:r>
              <w:rPr>
                <w:rFonts w:ascii="Arial" w:cs="Arial" w:eastAsia="Arial" w:hAnsi="Arial"/>
                <w:sz w:val="18"/>
                <w:szCs w:val="18"/>
                <w:color w:val="auto"/>
              </w:rPr>
              <w:t>Net loss per share of common stock — basic and diluted</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(0.08 )</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(0.05 )</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(0.32 )</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(0.24 )</w:t>
            </w:r>
          </w:p>
        </w:tc>
      </w:tr>
      <w:tr>
        <w:trPr>
          <w:trHeight w:val="20"/>
        </w:trPr>
        <w:tc>
          <w:tcPr>
            <w:tcW w:w="55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77"/>
        </w:trPr>
        <w:tc>
          <w:tcPr>
            <w:tcW w:w="55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Weighted average shares outstanding — basic and diluted</w:t>
            </w:r>
          </w:p>
        </w:tc>
        <w:tc>
          <w:tcPr>
            <w:tcW w:w="240" w:type="dxa"/>
            <w:vAlign w:val="bottom"/>
            <w:tcBorders>
              <w:bottom w:val="single" w:sz="8" w:color="auto"/>
            </w:tcBorders>
            <w:shd w:val="clear" w:color="auto" w:fill="CFF0FC"/>
          </w:tcPr>
          <w:p>
            <w:pPr>
              <w:spacing w:after="0"/>
              <w:rPr>
                <w:sz w:val="24"/>
                <w:szCs w:val="24"/>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59,474,346</w:t>
            </w:r>
          </w:p>
        </w:tc>
        <w:tc>
          <w:tcPr>
            <w:tcW w:w="26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auto"/>
            </w:tcBorders>
            <w:shd w:val="clear" w:color="auto" w:fill="CFF0FC"/>
          </w:tcPr>
          <w:p>
            <w:pPr>
              <w:spacing w:after="0"/>
              <w:rPr>
                <w:sz w:val="24"/>
                <w:szCs w:val="24"/>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46,976,649</w:t>
            </w:r>
          </w:p>
        </w:tc>
        <w:tc>
          <w:tcPr>
            <w:tcW w:w="38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spacing w:after="0"/>
              <w:rPr>
                <w:sz w:val="24"/>
                <w:szCs w:val="24"/>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58,095,080</w:t>
            </w:r>
          </w:p>
        </w:tc>
        <w:tc>
          <w:tcPr>
            <w:tcW w:w="24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spacing w:after="0"/>
              <w:rPr>
                <w:sz w:val="24"/>
                <w:szCs w:val="24"/>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45,653,068</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-1068070</wp:posOffset>
            </wp:positionV>
            <wp:extent cx="162560" cy="57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62560" cy="571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-1068070</wp:posOffset>
            </wp:positionV>
            <wp:extent cx="240030" cy="57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40030" cy="571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-1068070</wp:posOffset>
            </wp:positionV>
            <wp:extent cx="145415" cy="57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4541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-1068070</wp:posOffset>
            </wp:positionV>
            <wp:extent cx="68580" cy="57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-402590</wp:posOffset>
            </wp:positionV>
            <wp:extent cx="16256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62560"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-385445</wp:posOffset>
            </wp:positionV>
            <wp:extent cx="16256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62560"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-402590</wp:posOffset>
            </wp:positionV>
            <wp:extent cx="24003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40030"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-385445</wp:posOffset>
            </wp:positionV>
            <wp:extent cx="24003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4003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-402590</wp:posOffset>
            </wp:positionV>
            <wp:extent cx="14541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-385445</wp:posOffset>
            </wp:positionV>
            <wp:extent cx="14541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-402590</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-385445</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-25400</wp:posOffset>
            </wp:positionV>
            <wp:extent cx="16256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62560"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-8255</wp:posOffset>
            </wp:positionV>
            <wp:extent cx="16256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62560"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-25400</wp:posOffset>
            </wp:positionV>
            <wp:extent cx="24003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40030"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-8255</wp:posOffset>
            </wp:positionV>
            <wp:extent cx="24003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40030" cy="889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-25400</wp:posOffset>
            </wp:positionV>
            <wp:extent cx="14541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-8255</wp:posOffset>
            </wp:positionV>
            <wp:extent cx="14541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4541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CLEARSIDE BIOMEDICAL,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Stockholders’ Equity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data)</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0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3300" w:type="dxa"/>
            <w:vAlign w:val="bottom"/>
            <w:tcBorders>
              <w:bottom w:val="single" w:sz="8" w:color="auto"/>
            </w:tcBorders>
            <w:gridSpan w:val="9"/>
          </w:tcPr>
          <w:p>
            <w:pPr>
              <w:jc w:val="right"/>
              <w:ind w:right="820"/>
              <w:spacing w:after="0"/>
              <w:rPr>
                <w:sz w:val="20"/>
                <w:szCs w:val="20"/>
                <w:color w:val="auto"/>
              </w:rPr>
            </w:pPr>
            <w:r>
              <w:rPr>
                <w:rFonts w:ascii="Arial" w:cs="Arial" w:eastAsia="Arial" w:hAnsi="Arial"/>
                <w:sz w:val="14"/>
                <w:szCs w:val="14"/>
                <w:b w:val="1"/>
                <w:bCs w:val="1"/>
                <w:color w:val="auto"/>
                <w:w w:val="92"/>
              </w:rPr>
              <w:t>Nine Months Ended September 30, 2021</w:t>
            </w: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90"/>
        </w:trPr>
        <w:tc>
          <w:tcPr>
            <w:tcW w:w="45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Total</w:t>
            </w:r>
          </w:p>
        </w:tc>
      </w:tr>
      <w:tr>
        <w:trPr>
          <w:trHeight w:val="214"/>
        </w:trPr>
        <w:tc>
          <w:tcPr>
            <w:tcW w:w="4500" w:type="dxa"/>
            <w:vAlign w:val="bottom"/>
          </w:tcPr>
          <w:p>
            <w:pPr>
              <w:spacing w:after="0"/>
              <w:rPr>
                <w:sz w:val="18"/>
                <w:szCs w:val="18"/>
                <w:color w:val="auto"/>
              </w:rPr>
            </w:pPr>
          </w:p>
        </w:tc>
        <w:tc>
          <w:tcPr>
            <w:tcW w:w="2080" w:type="dxa"/>
            <w:vAlign w:val="bottom"/>
            <w:tcBorders>
              <w:bottom w:val="single" w:sz="8" w:color="auto"/>
            </w:tcBorders>
            <w:gridSpan w:val="3"/>
          </w:tcPr>
          <w:p>
            <w:pPr>
              <w:jc w:val="right"/>
              <w:ind w:right="345"/>
              <w:spacing w:after="0"/>
              <w:rPr>
                <w:sz w:val="20"/>
                <w:szCs w:val="20"/>
                <w:color w:val="auto"/>
              </w:rPr>
            </w:pPr>
            <w:r>
              <w:rPr>
                <w:rFonts w:ascii="Arial" w:cs="Arial" w:eastAsia="Arial" w:hAnsi="Arial"/>
                <w:sz w:val="14"/>
                <w:szCs w:val="14"/>
                <w:b w:val="1"/>
                <w:bCs w:val="1"/>
                <w:color w:val="auto"/>
              </w:rPr>
              <w:t>Common Stock</w:t>
            </w:r>
          </w:p>
        </w:tc>
        <w:tc>
          <w:tcPr>
            <w:tcW w:w="24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180"/>
              <w:spacing w:after="0"/>
              <w:rPr>
                <w:sz w:val="20"/>
                <w:szCs w:val="20"/>
                <w:color w:val="auto"/>
              </w:rPr>
            </w:pPr>
            <w:r>
              <w:rPr>
                <w:rFonts w:ascii="Arial" w:cs="Arial" w:eastAsia="Arial" w:hAnsi="Arial"/>
                <w:sz w:val="14"/>
                <w:szCs w:val="14"/>
                <w:b w:val="1"/>
                <w:bCs w:val="1"/>
                <w:color w:val="auto"/>
              </w:rPr>
              <w:t>Additional</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0"/>
              </w:rPr>
              <w:t>Accumulated</w:t>
            </w:r>
          </w:p>
        </w:tc>
        <w:tc>
          <w:tcPr>
            <w:tcW w:w="14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Stockholders'</w:t>
            </w:r>
          </w:p>
        </w:tc>
      </w:tr>
      <w:tr>
        <w:trPr>
          <w:trHeight w:val="190"/>
        </w:trPr>
        <w:tc>
          <w:tcPr>
            <w:tcW w:w="4500" w:type="dxa"/>
            <w:vAlign w:val="bottom"/>
          </w:tcPr>
          <w:p>
            <w:pPr>
              <w:spacing w:after="0"/>
              <w:rPr>
                <w:sz w:val="16"/>
                <w:szCs w:val="16"/>
                <w:color w:val="auto"/>
              </w:rPr>
            </w:pPr>
          </w:p>
        </w:tc>
        <w:tc>
          <w:tcPr>
            <w:tcW w:w="100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Shares</w:t>
            </w:r>
          </w:p>
        </w:tc>
        <w:tc>
          <w:tcPr>
            <w:tcW w:w="280" w:type="dxa"/>
            <w:vAlign w:val="bottom"/>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24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0"/>
              <w:spacing w:after="0"/>
              <w:rPr>
                <w:sz w:val="20"/>
                <w:szCs w:val="20"/>
                <w:color w:val="auto"/>
              </w:rPr>
            </w:pPr>
            <w:r>
              <w:rPr>
                <w:rFonts w:ascii="Arial" w:cs="Arial" w:eastAsia="Arial" w:hAnsi="Arial"/>
                <w:sz w:val="14"/>
                <w:szCs w:val="14"/>
                <w:b w:val="1"/>
                <w:bCs w:val="1"/>
                <w:color w:val="auto"/>
              </w:rPr>
              <w:t>Paid-In-Capital</w:t>
            </w: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b w:val="1"/>
                <w:bCs w:val="1"/>
                <w:color w:val="auto"/>
              </w:rPr>
              <w:t>Deficit</w:t>
            </w:r>
          </w:p>
        </w:tc>
        <w:tc>
          <w:tcPr>
            <w:tcW w:w="2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80"/>
              <w:spacing w:after="0"/>
              <w:rPr>
                <w:sz w:val="20"/>
                <w:szCs w:val="20"/>
                <w:color w:val="auto"/>
              </w:rPr>
            </w:pPr>
            <w:r>
              <w:rPr>
                <w:rFonts w:ascii="Arial" w:cs="Arial" w:eastAsia="Arial" w:hAnsi="Arial"/>
                <w:sz w:val="14"/>
                <w:szCs w:val="14"/>
                <w:b w:val="1"/>
                <w:bCs w:val="1"/>
                <w:color w:val="auto"/>
                <w:w w:val="93"/>
              </w:rPr>
              <w:t>Equity</w:t>
            </w:r>
          </w:p>
        </w:tc>
        <w:tc>
          <w:tcPr>
            <w:tcW w:w="100" w:type="dxa"/>
            <w:vAlign w:val="bottom"/>
          </w:tcPr>
          <w:p>
            <w:pPr>
              <w:spacing w:after="0"/>
              <w:rPr>
                <w:sz w:val="16"/>
                <w:szCs w:val="16"/>
                <w:color w:val="auto"/>
              </w:rPr>
            </w:pPr>
          </w:p>
        </w:tc>
      </w:tr>
      <w:tr>
        <w:trPr>
          <w:trHeight w:val="229"/>
        </w:trPr>
        <w:tc>
          <w:tcPr>
            <w:tcW w:w="450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Balance at December 31, 2020</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51,860,941</w:t>
            </w:r>
          </w:p>
        </w:tc>
        <w:tc>
          <w:tcPr>
            <w:tcW w:w="1080" w:type="dxa"/>
            <w:vAlign w:val="bottom"/>
            <w:tcBorders>
              <w:left w:val="single" w:sz="8" w:color="CFF0FC"/>
            </w:tcBorders>
            <w:gridSpan w:val="2"/>
            <w:shd w:val="clear" w:color="auto" w:fill="CFF0FC"/>
          </w:tcPr>
          <w:p>
            <w:pPr>
              <w:jc w:val="right"/>
              <w:ind w:right="625"/>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w:t>
            </w:r>
          </w:p>
        </w:tc>
        <w:tc>
          <w:tcPr>
            <w:tcW w:w="380" w:type="dxa"/>
            <w:vAlign w:val="bottom"/>
            <w:tcBorders>
              <w:left w:val="single" w:sz="8" w:color="CFF0FC"/>
            </w:tcBorders>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264,578</w:t>
            </w:r>
          </w:p>
        </w:tc>
        <w:tc>
          <w:tcPr>
            <w:tcW w:w="400" w:type="dxa"/>
            <w:vAlign w:val="bottom"/>
            <w:tcBorders>
              <w:left w:val="single" w:sz="8" w:color="CFF0FC"/>
            </w:tcBorders>
            <w:gridSpan w:val="3"/>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right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(255,867 )</w:t>
            </w: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8,763</w:t>
            </w:r>
          </w:p>
        </w:tc>
        <w:tc>
          <w:tcPr>
            <w:tcW w:w="100" w:type="dxa"/>
            <w:vAlign w:val="bottom"/>
            <w:tcBorders>
              <w:left w:val="single" w:sz="8" w:color="CFF0FC"/>
            </w:tcBorders>
            <w:shd w:val="clear" w:color="auto" w:fill="CFF0FC"/>
          </w:tcPr>
          <w:p>
            <w:pPr>
              <w:spacing w:after="0"/>
              <w:rPr>
                <w:sz w:val="19"/>
                <w:szCs w:val="19"/>
                <w:color w:val="auto"/>
              </w:rPr>
            </w:pPr>
          </w:p>
        </w:tc>
      </w:tr>
      <w:tr>
        <w:trPr>
          <w:trHeight w:val="206"/>
        </w:trPr>
        <w:tc>
          <w:tcPr>
            <w:tcW w:w="4500" w:type="dxa"/>
            <w:vAlign w:val="bottom"/>
          </w:tcPr>
          <w:p>
            <w:pPr>
              <w:ind w:left="20"/>
              <w:spacing w:after="0"/>
              <w:rPr>
                <w:sz w:val="20"/>
                <w:szCs w:val="20"/>
                <w:color w:val="auto"/>
              </w:rPr>
            </w:pPr>
            <w:r>
              <w:rPr>
                <w:rFonts w:ascii="Arial" w:cs="Arial" w:eastAsia="Arial" w:hAnsi="Arial"/>
                <w:sz w:val="16"/>
                <w:szCs w:val="16"/>
                <w:color w:val="auto"/>
              </w:rPr>
              <w:t>Issuance of common shares under a direct</w:t>
            </w: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500" w:type="dxa"/>
            <w:vAlign w:val="bottom"/>
          </w:tcPr>
          <w:p>
            <w:pPr>
              <w:ind w:left="140"/>
              <w:spacing w:after="0"/>
              <w:rPr>
                <w:sz w:val="20"/>
                <w:szCs w:val="20"/>
                <w:color w:val="auto"/>
              </w:rPr>
            </w:pPr>
            <w:r>
              <w:rPr>
                <w:rFonts w:ascii="Arial" w:cs="Arial" w:eastAsia="Arial" w:hAnsi="Arial"/>
                <w:sz w:val="16"/>
                <w:szCs w:val="16"/>
                <w:color w:val="auto"/>
              </w:rPr>
              <w:t>registered offering</w:t>
            </w:r>
          </w:p>
        </w:tc>
        <w:tc>
          <w:tcPr>
            <w:tcW w:w="1000" w:type="dxa"/>
            <w:vAlign w:val="bottom"/>
          </w:tcPr>
          <w:p>
            <w:pPr>
              <w:jc w:val="right"/>
              <w:spacing w:after="0"/>
              <w:rPr>
                <w:sz w:val="20"/>
                <w:szCs w:val="20"/>
                <w:color w:val="auto"/>
              </w:rPr>
            </w:pPr>
            <w:r>
              <w:rPr>
                <w:rFonts w:ascii="Arial" w:cs="Arial" w:eastAsia="Arial" w:hAnsi="Arial"/>
                <w:sz w:val="16"/>
                <w:szCs w:val="16"/>
                <w:color w:val="auto"/>
              </w:rPr>
              <w:t>4,209,050</w:t>
            </w: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4</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11,074</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11,078</w:t>
            </w:r>
          </w:p>
        </w:tc>
        <w:tc>
          <w:tcPr>
            <w:tcW w:w="100" w:type="dxa"/>
            <w:vAlign w:val="bottom"/>
          </w:tcPr>
          <w:p>
            <w:pPr>
              <w:spacing w:after="0"/>
              <w:rPr>
                <w:sz w:val="18"/>
                <w:szCs w:val="18"/>
                <w:color w:val="auto"/>
              </w:rPr>
            </w:pPr>
          </w:p>
        </w:tc>
      </w:tr>
      <w:tr>
        <w:trPr>
          <w:trHeight w:val="216"/>
        </w:trPr>
        <w:tc>
          <w:tcPr>
            <w:tcW w:w="450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Issuance of common shares under at-the-market</w:t>
            </w:r>
          </w:p>
        </w:tc>
        <w:tc>
          <w:tcPr>
            <w:tcW w:w="1000" w:type="dxa"/>
            <w:vAlign w:val="bottom"/>
            <w:shd w:val="clear" w:color="auto" w:fill="CFF0FC"/>
          </w:tcPr>
          <w:p>
            <w:pPr>
              <w:spacing w:after="0"/>
              <w:rPr>
                <w:sz w:val="18"/>
                <w:szCs w:val="18"/>
                <w:color w:val="auto"/>
              </w:rPr>
            </w:pPr>
          </w:p>
        </w:tc>
        <w:tc>
          <w:tcPr>
            <w:tcW w:w="280" w:type="dxa"/>
            <w:vAlign w:val="bottom"/>
            <w:tcBorders>
              <w:left w:val="single" w:sz="8" w:color="CFF0FC"/>
            </w:tcBorders>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tcBorders>
              <w:left w:val="single" w:sz="8" w:color="CFF0FC"/>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40" w:type="dxa"/>
            <w:vAlign w:val="bottom"/>
            <w:tcBorders>
              <w:left w:val="single" w:sz="8" w:color="CFF0FC"/>
            </w:tcBorders>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80" w:type="dxa"/>
            <w:vAlign w:val="bottom"/>
            <w:tcBorders>
              <w:left w:val="single" w:sz="8" w:color="CFF0FC"/>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tcBorders>
              <w:left w:val="single" w:sz="8" w:color="CFF0FC"/>
            </w:tcBorders>
            <w:shd w:val="clear" w:color="auto" w:fill="CFF0FC"/>
          </w:tcPr>
          <w:p>
            <w:pPr>
              <w:spacing w:after="0"/>
              <w:rPr>
                <w:sz w:val="18"/>
                <w:szCs w:val="18"/>
                <w:color w:val="auto"/>
              </w:rPr>
            </w:pPr>
          </w:p>
        </w:tc>
      </w:tr>
      <w:tr>
        <w:trPr>
          <w:trHeight w:val="226"/>
        </w:trPr>
        <w:tc>
          <w:tcPr>
            <w:tcW w:w="4500" w:type="dxa"/>
            <w:vAlign w:val="bottom"/>
            <w:tcBorders>
              <w:right w:val="single" w:sz="8" w:color="CFF0FC"/>
            </w:tcBorders>
            <w:shd w:val="clear" w:color="auto" w:fill="CFF0FC"/>
          </w:tcPr>
          <w:p>
            <w:pPr>
              <w:ind w:left="140"/>
              <w:spacing w:after="0"/>
              <w:rPr>
                <w:sz w:val="20"/>
                <w:szCs w:val="20"/>
                <w:color w:val="auto"/>
              </w:rPr>
            </w:pPr>
            <w:r>
              <w:rPr>
                <w:rFonts w:ascii="Arial" w:cs="Arial" w:eastAsia="Arial" w:hAnsi="Arial"/>
                <w:sz w:val="16"/>
                <w:szCs w:val="16"/>
                <w:color w:val="auto"/>
              </w:rPr>
              <w:t>sales agreement</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1,186,579</w:t>
            </w:r>
          </w:p>
        </w:tc>
        <w:tc>
          <w:tcPr>
            <w:tcW w:w="280" w:type="dxa"/>
            <w:vAlign w:val="bottom"/>
            <w:tcBorders>
              <w:left w:val="single" w:sz="8" w:color="CFF0FC"/>
            </w:tcBorders>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w:t>
            </w:r>
          </w:p>
        </w:tc>
        <w:tc>
          <w:tcPr>
            <w:tcW w:w="260" w:type="dxa"/>
            <w:vAlign w:val="bottom"/>
            <w:tcBorders>
              <w:left w:val="single" w:sz="8" w:color="CFF0FC"/>
              <w:right w:val="single" w:sz="8" w:color="CFF0FC"/>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3,247</w:t>
            </w:r>
          </w:p>
        </w:tc>
        <w:tc>
          <w:tcPr>
            <w:tcW w:w="240" w:type="dxa"/>
            <w:vAlign w:val="bottom"/>
            <w:tcBorders>
              <w:left w:val="single" w:sz="8" w:color="CFF0FC"/>
            </w:tcBorders>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3,249</w:t>
            </w:r>
          </w:p>
        </w:tc>
        <w:tc>
          <w:tcPr>
            <w:tcW w:w="100" w:type="dxa"/>
            <w:vAlign w:val="bottom"/>
            <w:tcBorders>
              <w:left w:val="single" w:sz="8" w:color="CFF0FC"/>
            </w:tcBorders>
            <w:shd w:val="clear" w:color="auto" w:fill="CFF0FC"/>
          </w:tcPr>
          <w:p>
            <w:pPr>
              <w:spacing w:after="0"/>
              <w:rPr>
                <w:sz w:val="19"/>
                <w:szCs w:val="19"/>
                <w:color w:val="auto"/>
              </w:rPr>
            </w:pPr>
          </w:p>
        </w:tc>
      </w:tr>
      <w:tr>
        <w:trPr>
          <w:trHeight w:val="220"/>
        </w:trPr>
        <w:tc>
          <w:tcPr>
            <w:tcW w:w="4500" w:type="dxa"/>
            <w:vAlign w:val="bottom"/>
          </w:tcPr>
          <w:p>
            <w:pPr>
              <w:ind w:left="20"/>
              <w:spacing w:after="0"/>
              <w:rPr>
                <w:sz w:val="20"/>
                <w:szCs w:val="20"/>
                <w:color w:val="auto"/>
              </w:rPr>
            </w:pPr>
            <w:r>
              <w:rPr>
                <w:rFonts w:ascii="Arial" w:cs="Arial" w:eastAsia="Arial" w:hAnsi="Arial"/>
                <w:sz w:val="16"/>
                <w:szCs w:val="16"/>
                <w:color w:val="auto"/>
              </w:rPr>
              <w:t>Exercise of stock options</w:t>
            </w:r>
          </w:p>
        </w:tc>
        <w:tc>
          <w:tcPr>
            <w:tcW w:w="1000" w:type="dxa"/>
            <w:vAlign w:val="bottom"/>
          </w:tcPr>
          <w:p>
            <w:pPr>
              <w:jc w:val="right"/>
              <w:spacing w:after="0"/>
              <w:rPr>
                <w:sz w:val="20"/>
                <w:szCs w:val="20"/>
                <w:color w:val="auto"/>
              </w:rPr>
            </w:pPr>
            <w:r>
              <w:rPr>
                <w:rFonts w:ascii="Arial" w:cs="Arial" w:eastAsia="Arial" w:hAnsi="Arial"/>
                <w:sz w:val="16"/>
                <w:szCs w:val="16"/>
                <w:color w:val="auto"/>
              </w:rPr>
              <w:t>62,493</w:t>
            </w: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38</w:t>
            </w: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19"/>
                <w:szCs w:val="19"/>
                <w:color w:val="auto"/>
              </w:rPr>
            </w:pPr>
          </w:p>
        </w:tc>
      </w:tr>
      <w:tr>
        <w:trPr>
          <w:trHeight w:val="239"/>
        </w:trPr>
        <w:tc>
          <w:tcPr>
            <w:tcW w:w="450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Vesting and settlement of restricted stock units</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227,754</w:t>
            </w:r>
          </w:p>
        </w:tc>
        <w:tc>
          <w:tcPr>
            <w:tcW w:w="280" w:type="dxa"/>
            <w:vAlign w:val="bottom"/>
            <w:tcBorders>
              <w:left w:val="single" w:sz="8" w:color="CFF0FC"/>
            </w:tcBorders>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left w:val="single" w:sz="8" w:color="CFF0FC"/>
              <w:right w:val="single" w:sz="8" w:color="CFF0FC"/>
            </w:tcBorders>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left w:val="single" w:sz="8" w:color="CFF0FC"/>
            </w:tcBorders>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4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r>
      <w:tr>
        <w:trPr>
          <w:trHeight w:val="206"/>
        </w:trPr>
        <w:tc>
          <w:tcPr>
            <w:tcW w:w="4500" w:type="dxa"/>
            <w:vAlign w:val="bottom"/>
          </w:tcPr>
          <w:p>
            <w:pPr>
              <w:ind w:left="20"/>
              <w:spacing w:after="0"/>
              <w:rPr>
                <w:sz w:val="20"/>
                <w:szCs w:val="20"/>
                <w:color w:val="auto"/>
              </w:rPr>
            </w:pPr>
            <w:r>
              <w:rPr>
                <w:rFonts w:ascii="Arial" w:cs="Arial" w:eastAsia="Arial" w:hAnsi="Arial"/>
                <w:sz w:val="16"/>
                <w:szCs w:val="16"/>
                <w:color w:val="auto"/>
              </w:rPr>
              <w:t>Issuance of common shares under employee stock</w:t>
            </w: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500" w:type="dxa"/>
            <w:vAlign w:val="bottom"/>
          </w:tcPr>
          <w:p>
            <w:pPr>
              <w:ind w:left="140"/>
              <w:spacing w:after="0"/>
              <w:rPr>
                <w:sz w:val="20"/>
                <w:szCs w:val="20"/>
                <w:color w:val="auto"/>
              </w:rPr>
            </w:pPr>
            <w:r>
              <w:rPr>
                <w:rFonts w:ascii="Arial" w:cs="Arial" w:eastAsia="Arial" w:hAnsi="Arial"/>
                <w:sz w:val="16"/>
                <w:szCs w:val="16"/>
                <w:color w:val="auto"/>
              </w:rPr>
              <w:t>purchase plan</w:t>
            </w:r>
          </w:p>
        </w:tc>
        <w:tc>
          <w:tcPr>
            <w:tcW w:w="1000" w:type="dxa"/>
            <w:vAlign w:val="bottom"/>
          </w:tcPr>
          <w:p>
            <w:pPr>
              <w:jc w:val="right"/>
              <w:spacing w:after="0"/>
              <w:rPr>
                <w:sz w:val="20"/>
                <w:szCs w:val="20"/>
                <w:color w:val="auto"/>
              </w:rPr>
            </w:pPr>
            <w:r>
              <w:rPr>
                <w:rFonts w:ascii="Arial" w:cs="Arial" w:eastAsia="Arial" w:hAnsi="Arial"/>
                <w:sz w:val="16"/>
                <w:szCs w:val="16"/>
                <w:color w:val="auto"/>
              </w:rPr>
              <w:t>31,908</w:t>
            </w: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54</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54</w:t>
            </w:r>
          </w:p>
        </w:tc>
        <w:tc>
          <w:tcPr>
            <w:tcW w:w="100" w:type="dxa"/>
            <w:vAlign w:val="bottom"/>
          </w:tcPr>
          <w:p>
            <w:pPr>
              <w:spacing w:after="0"/>
              <w:rPr>
                <w:sz w:val="18"/>
                <w:szCs w:val="18"/>
                <w:color w:val="auto"/>
              </w:rPr>
            </w:pPr>
          </w:p>
        </w:tc>
      </w:tr>
      <w:tr>
        <w:trPr>
          <w:trHeight w:val="239"/>
        </w:trPr>
        <w:tc>
          <w:tcPr>
            <w:tcW w:w="450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Share-based compensation expense</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left w:val="single" w:sz="8" w:color="CFF0FC"/>
            </w:tcBorders>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left w:val="single" w:sz="8" w:color="CFF0FC"/>
              <w:right w:val="single" w:sz="8" w:color="CFF0FC"/>
            </w:tcBorders>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1,154</w:t>
            </w:r>
          </w:p>
        </w:tc>
        <w:tc>
          <w:tcPr>
            <w:tcW w:w="240" w:type="dxa"/>
            <w:vAlign w:val="bottom"/>
            <w:tcBorders>
              <w:left w:val="single" w:sz="8" w:color="CFF0FC"/>
            </w:tcBorders>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4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1,154</w:t>
            </w:r>
          </w:p>
        </w:tc>
        <w:tc>
          <w:tcPr>
            <w:tcW w:w="100" w:type="dxa"/>
            <w:vAlign w:val="bottom"/>
            <w:tcBorders>
              <w:left w:val="single" w:sz="8" w:color="CFF0FC"/>
            </w:tcBorders>
            <w:shd w:val="clear" w:color="auto" w:fill="CFF0FC"/>
          </w:tcPr>
          <w:p>
            <w:pPr>
              <w:spacing w:after="0"/>
              <w:rPr>
                <w:sz w:val="20"/>
                <w:szCs w:val="20"/>
                <w:color w:val="auto"/>
              </w:rPr>
            </w:pPr>
          </w:p>
        </w:tc>
      </w:tr>
      <w:tr>
        <w:trPr>
          <w:trHeight w:val="220"/>
        </w:trPr>
        <w:tc>
          <w:tcPr>
            <w:tcW w:w="4500" w:type="dxa"/>
            <w:vAlign w:val="bottom"/>
          </w:tcPr>
          <w:p>
            <w:pPr>
              <w:ind w:left="20"/>
              <w:spacing w:after="0"/>
              <w:rPr>
                <w:sz w:val="20"/>
                <w:szCs w:val="20"/>
                <w:color w:val="auto"/>
              </w:rPr>
            </w:pPr>
            <w:r>
              <w:rPr>
                <w:rFonts w:ascii="Arial" w:cs="Arial" w:eastAsia="Arial" w:hAnsi="Arial"/>
                <w:sz w:val="16"/>
                <w:szCs w:val="16"/>
                <w:color w:val="auto"/>
              </w:rPr>
              <w:t>Net loss</w:t>
            </w: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(7,351 )</w:t>
            </w:r>
          </w:p>
        </w:tc>
        <w:tc>
          <w:tcPr>
            <w:tcW w:w="140" w:type="dxa"/>
            <w:vAlign w:val="bottom"/>
          </w:tcPr>
          <w:p>
            <w:pPr>
              <w:spacing w:after="0"/>
              <w:rPr>
                <w:sz w:val="19"/>
                <w:szCs w:val="19"/>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6"/>
                <w:szCs w:val="16"/>
                <w:color w:val="auto"/>
              </w:rPr>
              <w:t>(7,351 )</w:t>
            </w:r>
          </w:p>
        </w:tc>
      </w:tr>
      <w:tr>
        <w:trPr>
          <w:trHeight w:val="23"/>
        </w:trPr>
        <w:tc>
          <w:tcPr>
            <w:tcW w:w="450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80" w:type="dxa"/>
            <w:vAlign w:val="bottom"/>
            <w:tcBorders>
              <w:left w:val="single" w:sz="8" w:color="auto"/>
            </w:tcBorders>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60" w:type="dxa"/>
            <w:vAlign w:val="bottom"/>
            <w:tcBorders>
              <w:lef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tcBorders>
              <w:lef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tcBorders>
              <w:lef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tcBorders>
              <w:left w:val="single" w:sz="8" w:color="auto"/>
            </w:tcBorders>
          </w:tcPr>
          <w:p>
            <w:pPr>
              <w:spacing w:after="0"/>
              <w:rPr>
                <w:sz w:val="2"/>
                <w:szCs w:val="2"/>
                <w:color w:val="auto"/>
              </w:rPr>
            </w:pPr>
          </w:p>
        </w:tc>
      </w:tr>
      <w:tr>
        <w:trPr>
          <w:trHeight w:val="229"/>
        </w:trPr>
        <w:tc>
          <w:tcPr>
            <w:tcW w:w="450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Balance at March 31, 2021</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57,578,725</w:t>
            </w:r>
          </w:p>
        </w:tc>
        <w:tc>
          <w:tcPr>
            <w:tcW w:w="280" w:type="dxa"/>
            <w:vAlign w:val="bottom"/>
            <w:tcBorders>
              <w:left w:val="single" w:sz="8" w:color="CFF0FC"/>
            </w:tcBorders>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58</w:t>
            </w:r>
          </w:p>
        </w:tc>
        <w:tc>
          <w:tcPr>
            <w:tcW w:w="260" w:type="dxa"/>
            <w:vAlign w:val="bottom"/>
            <w:tcBorders>
              <w:left w:val="single" w:sz="8" w:color="CFF0FC"/>
              <w:right w:val="single" w:sz="8" w:color="CFF0FC"/>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280,145</w:t>
            </w:r>
          </w:p>
        </w:tc>
        <w:tc>
          <w:tcPr>
            <w:tcW w:w="240" w:type="dxa"/>
            <w:vAlign w:val="bottom"/>
            <w:tcBorders>
              <w:left w:val="single" w:sz="8" w:color="CFF0FC"/>
            </w:tcBorders>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tcBorders>
              <w:right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(263,218 )</w:t>
            </w: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16,985</w:t>
            </w:r>
          </w:p>
        </w:tc>
        <w:tc>
          <w:tcPr>
            <w:tcW w:w="100" w:type="dxa"/>
            <w:vAlign w:val="bottom"/>
            <w:tcBorders>
              <w:left w:val="single" w:sz="8" w:color="CFF0FC"/>
            </w:tcBorders>
            <w:shd w:val="clear" w:color="auto" w:fill="CFF0FC"/>
          </w:tcPr>
          <w:p>
            <w:pPr>
              <w:spacing w:after="0"/>
              <w:rPr>
                <w:sz w:val="19"/>
                <w:szCs w:val="19"/>
                <w:color w:val="auto"/>
              </w:rPr>
            </w:pPr>
          </w:p>
        </w:tc>
      </w:tr>
      <w:tr>
        <w:trPr>
          <w:trHeight w:val="206"/>
        </w:trPr>
        <w:tc>
          <w:tcPr>
            <w:tcW w:w="4500" w:type="dxa"/>
            <w:vAlign w:val="bottom"/>
          </w:tcPr>
          <w:p>
            <w:pPr>
              <w:ind w:left="20"/>
              <w:spacing w:after="0"/>
              <w:rPr>
                <w:sz w:val="20"/>
                <w:szCs w:val="20"/>
                <w:color w:val="auto"/>
              </w:rPr>
            </w:pPr>
            <w:r>
              <w:rPr>
                <w:rFonts w:ascii="Arial" w:cs="Arial" w:eastAsia="Arial" w:hAnsi="Arial"/>
                <w:sz w:val="16"/>
                <w:szCs w:val="16"/>
                <w:color w:val="auto"/>
              </w:rPr>
              <w:t>Issuance of common shares under at-the-market</w:t>
            </w: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500" w:type="dxa"/>
            <w:vAlign w:val="bottom"/>
          </w:tcPr>
          <w:p>
            <w:pPr>
              <w:ind w:left="140"/>
              <w:spacing w:after="0"/>
              <w:rPr>
                <w:sz w:val="20"/>
                <w:szCs w:val="20"/>
                <w:color w:val="auto"/>
              </w:rPr>
            </w:pPr>
            <w:r>
              <w:rPr>
                <w:rFonts w:ascii="Arial" w:cs="Arial" w:eastAsia="Arial" w:hAnsi="Arial"/>
                <w:sz w:val="16"/>
                <w:szCs w:val="16"/>
                <w:color w:val="auto"/>
              </w:rPr>
              <w:t>sales agreement</w:t>
            </w:r>
          </w:p>
        </w:tc>
        <w:tc>
          <w:tcPr>
            <w:tcW w:w="1000" w:type="dxa"/>
            <w:vAlign w:val="bottom"/>
          </w:tcPr>
          <w:p>
            <w:pPr>
              <w:jc w:val="right"/>
              <w:spacing w:after="0"/>
              <w:rPr>
                <w:sz w:val="20"/>
                <w:szCs w:val="20"/>
                <w:color w:val="auto"/>
              </w:rPr>
            </w:pPr>
            <w:r>
              <w:rPr>
                <w:rFonts w:ascii="Arial" w:cs="Arial" w:eastAsia="Arial" w:hAnsi="Arial"/>
                <w:sz w:val="16"/>
                <w:szCs w:val="16"/>
                <w:color w:val="auto"/>
              </w:rPr>
              <w:t>1,397,436</w:t>
            </w: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1</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7,083</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7,084</w:t>
            </w:r>
          </w:p>
        </w:tc>
        <w:tc>
          <w:tcPr>
            <w:tcW w:w="100" w:type="dxa"/>
            <w:vAlign w:val="bottom"/>
          </w:tcPr>
          <w:p>
            <w:pPr>
              <w:spacing w:after="0"/>
              <w:rPr>
                <w:sz w:val="18"/>
                <w:szCs w:val="18"/>
                <w:color w:val="auto"/>
              </w:rPr>
            </w:pPr>
          </w:p>
        </w:tc>
      </w:tr>
      <w:tr>
        <w:trPr>
          <w:trHeight w:val="239"/>
        </w:trPr>
        <w:tc>
          <w:tcPr>
            <w:tcW w:w="450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Exercise of stock options</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21,673</w:t>
            </w:r>
          </w:p>
        </w:tc>
        <w:tc>
          <w:tcPr>
            <w:tcW w:w="280" w:type="dxa"/>
            <w:vAlign w:val="bottom"/>
            <w:tcBorders>
              <w:left w:val="single" w:sz="8" w:color="CFF0FC"/>
            </w:tcBorders>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left w:val="single" w:sz="8" w:color="CFF0FC"/>
              <w:right w:val="single" w:sz="8" w:color="CFF0FC"/>
            </w:tcBorders>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w:t>
            </w:r>
          </w:p>
        </w:tc>
        <w:tc>
          <w:tcPr>
            <w:tcW w:w="240" w:type="dxa"/>
            <w:vAlign w:val="bottom"/>
            <w:tcBorders>
              <w:left w:val="single" w:sz="8" w:color="CFF0FC"/>
            </w:tcBorders>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4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w:t>
            </w:r>
          </w:p>
        </w:tc>
        <w:tc>
          <w:tcPr>
            <w:tcW w:w="100" w:type="dxa"/>
            <w:vAlign w:val="bottom"/>
            <w:tcBorders>
              <w:left w:val="single" w:sz="8" w:color="CFF0FC"/>
            </w:tcBorders>
            <w:shd w:val="clear" w:color="auto" w:fill="CFF0FC"/>
          </w:tcPr>
          <w:p>
            <w:pPr>
              <w:spacing w:after="0"/>
              <w:rPr>
                <w:sz w:val="20"/>
                <w:szCs w:val="20"/>
                <w:color w:val="auto"/>
              </w:rPr>
            </w:pPr>
          </w:p>
        </w:tc>
      </w:tr>
      <w:tr>
        <w:trPr>
          <w:trHeight w:val="220"/>
        </w:trPr>
        <w:tc>
          <w:tcPr>
            <w:tcW w:w="4500" w:type="dxa"/>
            <w:vAlign w:val="bottom"/>
          </w:tcPr>
          <w:p>
            <w:pPr>
              <w:ind w:left="20"/>
              <w:spacing w:after="0"/>
              <w:rPr>
                <w:sz w:val="20"/>
                <w:szCs w:val="20"/>
                <w:color w:val="auto"/>
              </w:rPr>
            </w:pPr>
            <w:r>
              <w:rPr>
                <w:rFonts w:ascii="Arial" w:cs="Arial" w:eastAsia="Arial" w:hAnsi="Arial"/>
                <w:sz w:val="16"/>
                <w:szCs w:val="16"/>
                <w:color w:val="auto"/>
              </w:rPr>
              <w:t>Vesting and settlement of restricted stock units</w:t>
            </w:r>
          </w:p>
        </w:tc>
        <w:tc>
          <w:tcPr>
            <w:tcW w:w="1000" w:type="dxa"/>
            <w:vAlign w:val="bottom"/>
          </w:tcPr>
          <w:p>
            <w:pPr>
              <w:jc w:val="right"/>
              <w:spacing w:after="0"/>
              <w:rPr>
                <w:sz w:val="20"/>
                <w:szCs w:val="20"/>
                <w:color w:val="auto"/>
              </w:rPr>
            </w:pPr>
            <w:r>
              <w:rPr>
                <w:rFonts w:ascii="Arial" w:cs="Arial" w:eastAsia="Arial" w:hAnsi="Arial"/>
                <w:sz w:val="16"/>
                <w:szCs w:val="16"/>
                <w:color w:val="auto"/>
              </w:rPr>
              <w:t>93,757</w:t>
            </w: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239"/>
        </w:trPr>
        <w:tc>
          <w:tcPr>
            <w:tcW w:w="450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Share-based compensation expense</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left w:val="single" w:sz="8" w:color="CFF0FC"/>
            </w:tcBorders>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left w:val="single" w:sz="8" w:color="CFF0FC"/>
              <w:right w:val="single" w:sz="8" w:color="CFF0FC"/>
            </w:tcBorders>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1,331</w:t>
            </w:r>
          </w:p>
        </w:tc>
        <w:tc>
          <w:tcPr>
            <w:tcW w:w="240" w:type="dxa"/>
            <w:vAlign w:val="bottom"/>
            <w:tcBorders>
              <w:left w:val="single" w:sz="8" w:color="CFF0FC"/>
            </w:tcBorders>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4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1,331</w:t>
            </w:r>
          </w:p>
        </w:tc>
        <w:tc>
          <w:tcPr>
            <w:tcW w:w="100" w:type="dxa"/>
            <w:vAlign w:val="bottom"/>
            <w:tcBorders>
              <w:left w:val="single" w:sz="8" w:color="CFF0FC"/>
            </w:tcBorders>
            <w:shd w:val="clear" w:color="auto" w:fill="CFF0FC"/>
          </w:tcPr>
          <w:p>
            <w:pPr>
              <w:spacing w:after="0"/>
              <w:rPr>
                <w:sz w:val="20"/>
                <w:szCs w:val="20"/>
                <w:color w:val="auto"/>
              </w:rPr>
            </w:pPr>
          </w:p>
        </w:tc>
      </w:tr>
      <w:tr>
        <w:trPr>
          <w:trHeight w:val="220"/>
        </w:trPr>
        <w:tc>
          <w:tcPr>
            <w:tcW w:w="4500" w:type="dxa"/>
            <w:vAlign w:val="bottom"/>
          </w:tcPr>
          <w:p>
            <w:pPr>
              <w:ind w:left="20"/>
              <w:spacing w:after="0"/>
              <w:rPr>
                <w:sz w:val="20"/>
                <w:szCs w:val="20"/>
                <w:color w:val="auto"/>
              </w:rPr>
            </w:pPr>
            <w:r>
              <w:rPr>
                <w:rFonts w:ascii="Arial" w:cs="Arial" w:eastAsia="Arial" w:hAnsi="Arial"/>
                <w:sz w:val="16"/>
                <w:szCs w:val="16"/>
                <w:color w:val="auto"/>
              </w:rPr>
              <w:t>Net loss</w:t>
            </w: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(6,095 )</w:t>
            </w:r>
          </w:p>
        </w:tc>
        <w:tc>
          <w:tcPr>
            <w:tcW w:w="140" w:type="dxa"/>
            <w:vAlign w:val="bottom"/>
          </w:tcPr>
          <w:p>
            <w:pPr>
              <w:spacing w:after="0"/>
              <w:rPr>
                <w:sz w:val="19"/>
                <w:szCs w:val="19"/>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6"/>
                <w:szCs w:val="16"/>
                <w:color w:val="auto"/>
              </w:rPr>
              <w:t>(6,095 )</w:t>
            </w:r>
          </w:p>
        </w:tc>
      </w:tr>
      <w:tr>
        <w:trPr>
          <w:trHeight w:val="23"/>
        </w:trPr>
        <w:tc>
          <w:tcPr>
            <w:tcW w:w="450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80" w:type="dxa"/>
            <w:vAlign w:val="bottom"/>
            <w:tcBorders>
              <w:left w:val="single" w:sz="8" w:color="auto"/>
            </w:tcBorders>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60" w:type="dxa"/>
            <w:vAlign w:val="bottom"/>
            <w:tcBorders>
              <w:lef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tcBorders>
              <w:lef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tcBorders>
              <w:lef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tcBorders>
              <w:left w:val="single" w:sz="8" w:color="auto"/>
            </w:tcBorders>
          </w:tcPr>
          <w:p>
            <w:pPr>
              <w:spacing w:after="0"/>
              <w:rPr>
                <w:sz w:val="2"/>
                <w:szCs w:val="2"/>
                <w:color w:val="auto"/>
              </w:rPr>
            </w:pPr>
          </w:p>
        </w:tc>
      </w:tr>
      <w:tr>
        <w:trPr>
          <w:trHeight w:val="230"/>
        </w:trPr>
        <w:tc>
          <w:tcPr>
            <w:tcW w:w="450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Balance at June 30, 2021</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59,091,591</w:t>
            </w:r>
          </w:p>
        </w:tc>
        <w:tc>
          <w:tcPr>
            <w:tcW w:w="280" w:type="dxa"/>
            <w:vAlign w:val="bottom"/>
            <w:tcBorders>
              <w:left w:val="single" w:sz="8" w:color="CFF0FC"/>
            </w:tcBorders>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59</w:t>
            </w:r>
          </w:p>
        </w:tc>
        <w:tc>
          <w:tcPr>
            <w:tcW w:w="260" w:type="dxa"/>
            <w:vAlign w:val="bottom"/>
            <w:tcBorders>
              <w:left w:val="single" w:sz="8" w:color="CFF0FC"/>
              <w:right w:val="single" w:sz="8" w:color="CFF0FC"/>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288,592</w:t>
            </w:r>
          </w:p>
        </w:tc>
        <w:tc>
          <w:tcPr>
            <w:tcW w:w="240" w:type="dxa"/>
            <w:vAlign w:val="bottom"/>
            <w:tcBorders>
              <w:left w:val="single" w:sz="8" w:color="CFF0FC"/>
            </w:tcBorders>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tcBorders>
              <w:right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(269,313 )</w:t>
            </w: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19,338</w:t>
            </w:r>
          </w:p>
        </w:tc>
        <w:tc>
          <w:tcPr>
            <w:tcW w:w="100" w:type="dxa"/>
            <w:vAlign w:val="bottom"/>
            <w:tcBorders>
              <w:left w:val="single" w:sz="8" w:color="CFF0FC"/>
            </w:tcBorders>
            <w:shd w:val="clear" w:color="auto" w:fill="CFF0FC"/>
          </w:tcPr>
          <w:p>
            <w:pPr>
              <w:spacing w:after="0"/>
              <w:rPr>
                <w:sz w:val="19"/>
                <w:szCs w:val="19"/>
                <w:color w:val="auto"/>
              </w:rPr>
            </w:pPr>
          </w:p>
        </w:tc>
      </w:tr>
      <w:tr>
        <w:trPr>
          <w:trHeight w:val="206"/>
        </w:trPr>
        <w:tc>
          <w:tcPr>
            <w:tcW w:w="4500" w:type="dxa"/>
            <w:vAlign w:val="bottom"/>
          </w:tcPr>
          <w:p>
            <w:pPr>
              <w:ind w:left="20"/>
              <w:spacing w:after="0"/>
              <w:rPr>
                <w:sz w:val="20"/>
                <w:szCs w:val="20"/>
                <w:color w:val="auto"/>
              </w:rPr>
            </w:pPr>
            <w:r>
              <w:rPr>
                <w:rFonts w:ascii="Arial" w:cs="Arial" w:eastAsia="Arial" w:hAnsi="Arial"/>
                <w:sz w:val="16"/>
                <w:szCs w:val="16"/>
                <w:color w:val="auto"/>
              </w:rPr>
              <w:t>Issuance of common shares under at-the-market</w:t>
            </w: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500" w:type="dxa"/>
            <w:vAlign w:val="bottom"/>
          </w:tcPr>
          <w:p>
            <w:pPr>
              <w:ind w:left="140"/>
              <w:spacing w:after="0"/>
              <w:rPr>
                <w:sz w:val="20"/>
                <w:szCs w:val="20"/>
                <w:color w:val="auto"/>
              </w:rPr>
            </w:pPr>
            <w:r>
              <w:rPr>
                <w:rFonts w:ascii="Arial" w:cs="Arial" w:eastAsia="Arial" w:hAnsi="Arial"/>
                <w:sz w:val="16"/>
                <w:szCs w:val="16"/>
                <w:color w:val="auto"/>
              </w:rPr>
              <w:t>sales agreement</w:t>
            </w:r>
          </w:p>
        </w:tc>
        <w:tc>
          <w:tcPr>
            <w:tcW w:w="1000" w:type="dxa"/>
            <w:vAlign w:val="bottom"/>
          </w:tcPr>
          <w:p>
            <w:pPr>
              <w:jc w:val="right"/>
              <w:spacing w:after="0"/>
              <w:rPr>
                <w:sz w:val="20"/>
                <w:szCs w:val="20"/>
                <w:color w:val="auto"/>
              </w:rPr>
            </w:pPr>
            <w:r>
              <w:rPr>
                <w:rFonts w:ascii="Arial" w:cs="Arial" w:eastAsia="Arial" w:hAnsi="Arial"/>
                <w:sz w:val="16"/>
                <w:szCs w:val="16"/>
                <w:color w:val="auto"/>
              </w:rPr>
              <w:t>307,404</w:t>
            </w: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1</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1,874</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1,875</w:t>
            </w:r>
          </w:p>
        </w:tc>
        <w:tc>
          <w:tcPr>
            <w:tcW w:w="100" w:type="dxa"/>
            <w:vAlign w:val="bottom"/>
          </w:tcPr>
          <w:p>
            <w:pPr>
              <w:spacing w:after="0"/>
              <w:rPr>
                <w:sz w:val="18"/>
                <w:szCs w:val="18"/>
                <w:color w:val="auto"/>
              </w:rPr>
            </w:pPr>
          </w:p>
        </w:tc>
      </w:tr>
      <w:tr>
        <w:trPr>
          <w:trHeight w:val="239"/>
        </w:trPr>
        <w:tc>
          <w:tcPr>
            <w:tcW w:w="450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Exercise of stock options</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100,194</w:t>
            </w:r>
          </w:p>
        </w:tc>
        <w:tc>
          <w:tcPr>
            <w:tcW w:w="280" w:type="dxa"/>
            <w:vAlign w:val="bottom"/>
            <w:tcBorders>
              <w:left w:val="single" w:sz="8" w:color="CFF0FC"/>
            </w:tcBorders>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left w:val="single" w:sz="8" w:color="CFF0FC"/>
              <w:right w:val="single" w:sz="8" w:color="CFF0FC"/>
            </w:tcBorders>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149</w:t>
            </w:r>
          </w:p>
        </w:tc>
        <w:tc>
          <w:tcPr>
            <w:tcW w:w="240" w:type="dxa"/>
            <w:vAlign w:val="bottom"/>
            <w:tcBorders>
              <w:left w:val="single" w:sz="8" w:color="CFF0FC"/>
            </w:tcBorders>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4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149</w:t>
            </w:r>
          </w:p>
        </w:tc>
        <w:tc>
          <w:tcPr>
            <w:tcW w:w="100" w:type="dxa"/>
            <w:vAlign w:val="bottom"/>
            <w:tcBorders>
              <w:left w:val="single" w:sz="8" w:color="CFF0FC"/>
            </w:tcBorders>
            <w:shd w:val="clear" w:color="auto" w:fill="CFF0FC"/>
          </w:tcPr>
          <w:p>
            <w:pPr>
              <w:spacing w:after="0"/>
              <w:rPr>
                <w:sz w:val="20"/>
                <w:szCs w:val="20"/>
                <w:color w:val="auto"/>
              </w:rPr>
            </w:pPr>
          </w:p>
        </w:tc>
      </w:tr>
      <w:tr>
        <w:trPr>
          <w:trHeight w:val="220"/>
        </w:trPr>
        <w:tc>
          <w:tcPr>
            <w:tcW w:w="4500" w:type="dxa"/>
            <w:vAlign w:val="bottom"/>
          </w:tcPr>
          <w:p>
            <w:pPr>
              <w:ind w:left="20"/>
              <w:spacing w:after="0"/>
              <w:rPr>
                <w:sz w:val="20"/>
                <w:szCs w:val="20"/>
                <w:color w:val="auto"/>
              </w:rPr>
            </w:pPr>
            <w:r>
              <w:rPr>
                <w:rFonts w:ascii="Arial" w:cs="Arial" w:eastAsia="Arial" w:hAnsi="Arial"/>
                <w:sz w:val="16"/>
                <w:szCs w:val="16"/>
                <w:color w:val="auto"/>
              </w:rPr>
              <w:t>Vesting and settlement of restricted stock units</w:t>
            </w:r>
          </w:p>
        </w:tc>
        <w:tc>
          <w:tcPr>
            <w:tcW w:w="1000" w:type="dxa"/>
            <w:vAlign w:val="bottom"/>
          </w:tcPr>
          <w:p>
            <w:pPr>
              <w:jc w:val="right"/>
              <w:spacing w:after="0"/>
              <w:rPr>
                <w:sz w:val="20"/>
                <w:szCs w:val="20"/>
                <w:color w:val="auto"/>
              </w:rPr>
            </w:pPr>
            <w:r>
              <w:rPr>
                <w:rFonts w:ascii="Arial" w:cs="Arial" w:eastAsia="Arial" w:hAnsi="Arial"/>
                <w:sz w:val="16"/>
                <w:szCs w:val="16"/>
                <w:color w:val="auto"/>
              </w:rPr>
              <w:t>93,757</w:t>
            </w: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216"/>
        </w:trPr>
        <w:tc>
          <w:tcPr>
            <w:tcW w:w="450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Issuance of common shares under employee stock</w:t>
            </w:r>
          </w:p>
        </w:tc>
        <w:tc>
          <w:tcPr>
            <w:tcW w:w="1000" w:type="dxa"/>
            <w:vAlign w:val="bottom"/>
            <w:shd w:val="clear" w:color="auto" w:fill="CFF0FC"/>
          </w:tcPr>
          <w:p>
            <w:pPr>
              <w:spacing w:after="0"/>
              <w:rPr>
                <w:sz w:val="18"/>
                <w:szCs w:val="18"/>
                <w:color w:val="auto"/>
              </w:rPr>
            </w:pPr>
          </w:p>
        </w:tc>
        <w:tc>
          <w:tcPr>
            <w:tcW w:w="280" w:type="dxa"/>
            <w:vAlign w:val="bottom"/>
            <w:tcBorders>
              <w:left w:val="single" w:sz="8" w:color="CFF0FC"/>
            </w:tcBorders>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tcBorders>
              <w:left w:val="single" w:sz="8" w:color="CFF0FC"/>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40" w:type="dxa"/>
            <w:vAlign w:val="bottom"/>
            <w:tcBorders>
              <w:left w:val="single" w:sz="8" w:color="CFF0FC"/>
            </w:tcBorders>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80" w:type="dxa"/>
            <w:vAlign w:val="bottom"/>
            <w:tcBorders>
              <w:left w:val="single" w:sz="8" w:color="CFF0FC"/>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tcBorders>
              <w:left w:val="single" w:sz="8" w:color="CFF0FC"/>
            </w:tcBorders>
            <w:shd w:val="clear" w:color="auto" w:fill="CFF0FC"/>
          </w:tcPr>
          <w:p>
            <w:pPr>
              <w:spacing w:after="0"/>
              <w:rPr>
                <w:sz w:val="18"/>
                <w:szCs w:val="18"/>
                <w:color w:val="auto"/>
              </w:rPr>
            </w:pPr>
          </w:p>
        </w:tc>
      </w:tr>
      <w:tr>
        <w:trPr>
          <w:trHeight w:val="226"/>
        </w:trPr>
        <w:tc>
          <w:tcPr>
            <w:tcW w:w="4500" w:type="dxa"/>
            <w:vAlign w:val="bottom"/>
            <w:tcBorders>
              <w:right w:val="single" w:sz="8" w:color="CFF0FC"/>
            </w:tcBorders>
            <w:shd w:val="clear" w:color="auto" w:fill="CFF0FC"/>
          </w:tcPr>
          <w:p>
            <w:pPr>
              <w:ind w:left="140"/>
              <w:spacing w:after="0"/>
              <w:rPr>
                <w:sz w:val="20"/>
                <w:szCs w:val="20"/>
                <w:color w:val="auto"/>
              </w:rPr>
            </w:pPr>
            <w:r>
              <w:rPr>
                <w:rFonts w:ascii="Arial" w:cs="Arial" w:eastAsia="Arial" w:hAnsi="Arial"/>
                <w:sz w:val="16"/>
                <w:szCs w:val="16"/>
                <w:color w:val="auto"/>
              </w:rPr>
              <w:t>purchase plan</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33,573</w:t>
            </w:r>
          </w:p>
        </w:tc>
        <w:tc>
          <w:tcPr>
            <w:tcW w:w="280" w:type="dxa"/>
            <w:vAlign w:val="bottom"/>
            <w:tcBorders>
              <w:left w:val="single" w:sz="8" w:color="CFF0FC"/>
            </w:tcBorders>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left w:val="single" w:sz="8" w:color="CFF0FC"/>
              <w:right w:val="single" w:sz="8" w:color="CFF0FC"/>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57</w:t>
            </w:r>
          </w:p>
        </w:tc>
        <w:tc>
          <w:tcPr>
            <w:tcW w:w="240" w:type="dxa"/>
            <w:vAlign w:val="bottom"/>
            <w:tcBorders>
              <w:left w:val="single" w:sz="8" w:color="CFF0FC"/>
            </w:tcBorders>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57</w:t>
            </w:r>
          </w:p>
        </w:tc>
        <w:tc>
          <w:tcPr>
            <w:tcW w:w="100" w:type="dxa"/>
            <w:vAlign w:val="bottom"/>
            <w:tcBorders>
              <w:left w:val="single" w:sz="8" w:color="CFF0FC"/>
            </w:tcBorders>
            <w:shd w:val="clear" w:color="auto" w:fill="CFF0FC"/>
          </w:tcPr>
          <w:p>
            <w:pPr>
              <w:spacing w:after="0"/>
              <w:rPr>
                <w:sz w:val="19"/>
                <w:szCs w:val="19"/>
                <w:color w:val="auto"/>
              </w:rPr>
            </w:pPr>
          </w:p>
        </w:tc>
      </w:tr>
      <w:tr>
        <w:trPr>
          <w:trHeight w:val="220"/>
        </w:trPr>
        <w:tc>
          <w:tcPr>
            <w:tcW w:w="4500" w:type="dxa"/>
            <w:vAlign w:val="bottom"/>
          </w:tcPr>
          <w:p>
            <w:pPr>
              <w:ind w:left="20"/>
              <w:spacing w:after="0"/>
              <w:rPr>
                <w:sz w:val="20"/>
                <w:szCs w:val="20"/>
                <w:color w:val="auto"/>
              </w:rPr>
            </w:pPr>
            <w:r>
              <w:rPr>
                <w:rFonts w:ascii="Arial" w:cs="Arial" w:eastAsia="Arial" w:hAnsi="Arial"/>
                <w:sz w:val="16"/>
                <w:szCs w:val="16"/>
                <w:color w:val="auto"/>
              </w:rPr>
              <w:t>Share-based compensation expense</w:t>
            </w: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1,316</w:t>
            </w: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1,316</w:t>
            </w:r>
          </w:p>
        </w:tc>
        <w:tc>
          <w:tcPr>
            <w:tcW w:w="100" w:type="dxa"/>
            <w:vAlign w:val="bottom"/>
          </w:tcPr>
          <w:p>
            <w:pPr>
              <w:spacing w:after="0"/>
              <w:rPr>
                <w:sz w:val="19"/>
                <w:szCs w:val="19"/>
                <w:color w:val="auto"/>
              </w:rPr>
            </w:pPr>
          </w:p>
        </w:tc>
      </w:tr>
      <w:tr>
        <w:trPr>
          <w:trHeight w:val="230"/>
        </w:trPr>
        <w:tc>
          <w:tcPr>
            <w:tcW w:w="450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Net loss</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left w:val="single" w:sz="8" w:color="CFF0FC"/>
            </w:tcBorders>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left w:val="single" w:sz="8" w:color="CFF0FC"/>
              <w:right w:val="single" w:sz="8" w:color="CFF0FC"/>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left w:val="single" w:sz="8" w:color="CFF0FC"/>
            </w:tcBorders>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tcBorders>
              <w:right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(4,887 )</w:t>
            </w:r>
          </w:p>
        </w:tc>
        <w:tc>
          <w:tcPr>
            <w:tcW w:w="1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(4,887 )</w:t>
            </w:r>
          </w:p>
        </w:tc>
      </w:tr>
      <w:tr>
        <w:trPr>
          <w:trHeight w:val="23"/>
        </w:trPr>
        <w:tc>
          <w:tcPr>
            <w:tcW w:w="4500" w:type="dxa"/>
            <w:vAlign w:val="bottom"/>
            <w:tcBorders>
              <w:right w:val="single" w:sz="8" w:color="CFF0FC"/>
            </w:tcBorders>
            <w:shd w:val="clear" w:color="auto" w:fill="CFF0FC"/>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80" w:type="dxa"/>
            <w:vAlign w:val="bottom"/>
            <w:tcBorders>
              <w:left w:val="single" w:sz="8" w:color="auto"/>
            </w:tcBorders>
            <w:shd w:val="clear" w:color="auto" w:fill="CFF0FC"/>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60" w:type="dxa"/>
            <w:vAlign w:val="bottom"/>
            <w:tcBorders>
              <w:left w:val="single" w:sz="8" w:color="auto"/>
              <w:right w:val="single" w:sz="8" w:color="CFF0FC"/>
            </w:tcBorders>
            <w:shd w:val="clear" w:color="auto" w:fill="CFF0FC"/>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tcBorders>
              <w:left w:val="single" w:sz="8" w:color="auto"/>
            </w:tcBorders>
            <w:shd w:val="clear" w:color="auto" w:fill="CFF0FC"/>
          </w:tcPr>
          <w:p>
            <w:pPr>
              <w:spacing w:after="0"/>
              <w:rPr>
                <w:sz w:val="2"/>
                <w:szCs w:val="2"/>
                <w:color w:val="auto"/>
              </w:rPr>
            </w:pPr>
          </w:p>
        </w:tc>
        <w:tc>
          <w:tcPr>
            <w:tcW w:w="60" w:type="dxa"/>
            <w:vAlign w:val="bottom"/>
            <w:shd w:val="clear" w:color="auto" w:fill="CFF0FC"/>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tcBorders>
              <w:left w:val="single" w:sz="8" w:color="auto"/>
              <w:right w:val="single" w:sz="8" w:color="CFF0FC"/>
            </w:tcBorders>
            <w:shd w:val="clear" w:color="auto" w:fill="CFF0FC"/>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tcBorders>
              <w:left w:val="single" w:sz="8" w:color="auto"/>
            </w:tcBorders>
            <w:shd w:val="clear" w:color="auto" w:fill="CFF0FC"/>
          </w:tcPr>
          <w:p>
            <w:pPr>
              <w:spacing w:after="0"/>
              <w:rPr>
                <w:sz w:val="2"/>
                <w:szCs w:val="2"/>
                <w:color w:val="auto"/>
              </w:rPr>
            </w:pPr>
          </w:p>
        </w:tc>
      </w:tr>
      <w:tr>
        <w:trPr>
          <w:trHeight w:val="223"/>
        </w:trPr>
        <w:tc>
          <w:tcPr>
            <w:tcW w:w="4500" w:type="dxa"/>
            <w:vAlign w:val="bottom"/>
          </w:tcPr>
          <w:p>
            <w:pPr>
              <w:ind w:left="20"/>
              <w:spacing w:after="0"/>
              <w:rPr>
                <w:sz w:val="20"/>
                <w:szCs w:val="20"/>
                <w:color w:val="auto"/>
              </w:rPr>
            </w:pPr>
            <w:r>
              <w:rPr>
                <w:rFonts w:ascii="Arial" w:cs="Arial" w:eastAsia="Arial" w:hAnsi="Arial"/>
                <w:sz w:val="16"/>
                <w:szCs w:val="16"/>
                <w:color w:val="auto"/>
              </w:rPr>
              <w:t>Balance at September 30, 2021</w:t>
            </w:r>
          </w:p>
        </w:tc>
        <w:tc>
          <w:tcPr>
            <w:tcW w:w="1000" w:type="dxa"/>
            <w:vAlign w:val="bottom"/>
          </w:tcPr>
          <w:p>
            <w:pPr>
              <w:jc w:val="right"/>
              <w:spacing w:after="0"/>
              <w:rPr>
                <w:sz w:val="20"/>
                <w:szCs w:val="20"/>
                <w:color w:val="auto"/>
              </w:rPr>
            </w:pPr>
            <w:r>
              <w:rPr>
                <w:rFonts w:ascii="Arial" w:cs="Arial" w:eastAsia="Arial" w:hAnsi="Arial"/>
                <w:sz w:val="16"/>
                <w:szCs w:val="16"/>
                <w:color w:val="auto"/>
              </w:rPr>
              <w:t>59,626,519</w:t>
            </w:r>
          </w:p>
        </w:tc>
        <w:tc>
          <w:tcPr>
            <w:tcW w:w="280" w:type="dxa"/>
            <w:vAlign w:val="bottom"/>
          </w:tcPr>
          <w:p>
            <w:pPr>
              <w:spacing w:after="0"/>
              <w:rPr>
                <w:sz w:val="19"/>
                <w:szCs w:val="19"/>
                <w:color w:val="auto"/>
              </w:rPr>
            </w:pPr>
          </w:p>
        </w:tc>
        <w:tc>
          <w:tcPr>
            <w:tcW w:w="800" w:type="dxa"/>
            <w:vAlign w:val="bottom"/>
          </w:tcPr>
          <w:p>
            <w:pPr>
              <w:jc w:val="right"/>
              <w:ind w:right="625"/>
              <w:spacing w:after="0"/>
              <w:rPr>
                <w:sz w:val="20"/>
                <w:szCs w:val="20"/>
                <w:color w:val="auto"/>
              </w:rPr>
            </w:pPr>
            <w:r>
              <w:rPr>
                <w:rFonts w:ascii="Arial" w:cs="Arial" w:eastAsia="Arial" w:hAnsi="Arial"/>
                <w:sz w:val="16"/>
                <w:szCs w:val="16"/>
                <w:color w:val="auto"/>
                <w:w w:val="89"/>
              </w:rPr>
              <w:t>$</w:t>
            </w:r>
          </w:p>
        </w:tc>
        <w:tc>
          <w:tcPr>
            <w:tcW w:w="240" w:type="dxa"/>
            <w:vAlign w:val="bottom"/>
          </w:tcPr>
          <w:p>
            <w:pPr>
              <w:jc w:val="right"/>
              <w:spacing w:after="0"/>
              <w:rPr>
                <w:sz w:val="20"/>
                <w:szCs w:val="20"/>
                <w:color w:val="auto"/>
              </w:rPr>
            </w:pPr>
            <w:r>
              <w:rPr>
                <w:rFonts w:ascii="Arial" w:cs="Arial" w:eastAsia="Arial" w:hAnsi="Arial"/>
                <w:sz w:val="16"/>
                <w:szCs w:val="16"/>
                <w:color w:val="auto"/>
              </w:rPr>
              <w:t>60</w:t>
            </w:r>
          </w:p>
        </w:tc>
        <w:tc>
          <w:tcPr>
            <w:tcW w:w="2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291,988</w:t>
            </w:r>
          </w:p>
        </w:tc>
        <w:tc>
          <w:tcPr>
            <w:tcW w:w="300" w:type="dxa"/>
            <w:vAlign w:val="bottom"/>
            <w:gridSpan w:val="2"/>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(274,200 )</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17,848</w:t>
            </w:r>
          </w:p>
        </w:tc>
        <w:tc>
          <w:tcPr>
            <w:tcW w:w="100" w:type="dxa"/>
            <w:vAlign w:val="bottom"/>
          </w:tcPr>
          <w:p>
            <w:pPr>
              <w:spacing w:after="0"/>
              <w:rPr>
                <w:sz w:val="19"/>
                <w:szCs w:val="19"/>
                <w:color w:val="auto"/>
              </w:rPr>
            </w:pPr>
          </w:p>
        </w:tc>
      </w:tr>
      <w:tr>
        <w:trPr>
          <w:trHeight w:val="20"/>
        </w:trPr>
        <w:tc>
          <w:tcPr>
            <w:tcW w:w="45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86"/>
        </w:trPr>
        <w:tc>
          <w:tcPr>
            <w:tcW w:w="4500" w:type="dxa"/>
            <w:vAlign w:val="bottom"/>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gridSpan w:val="9"/>
          </w:tcPr>
          <w:p>
            <w:pPr>
              <w:jc w:val="right"/>
              <w:ind w:right="840"/>
              <w:spacing w:after="0"/>
              <w:rPr>
                <w:sz w:val="20"/>
                <w:szCs w:val="20"/>
                <w:color w:val="auto"/>
              </w:rPr>
            </w:pPr>
            <w:r>
              <w:rPr>
                <w:rFonts w:ascii="Arial" w:cs="Arial" w:eastAsia="Arial" w:hAnsi="Arial"/>
                <w:sz w:val="14"/>
                <w:szCs w:val="14"/>
                <w:b w:val="1"/>
                <w:bCs w:val="1"/>
                <w:color w:val="auto"/>
                <w:w w:val="91"/>
              </w:rPr>
              <w:t>Nine Months Ended September 30, 2020</w:t>
            </w: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0"/>
        </w:trPr>
        <w:tc>
          <w:tcPr>
            <w:tcW w:w="45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Total</w:t>
            </w:r>
          </w:p>
        </w:tc>
      </w:tr>
      <w:tr>
        <w:trPr>
          <w:trHeight w:val="215"/>
        </w:trPr>
        <w:tc>
          <w:tcPr>
            <w:tcW w:w="4500" w:type="dxa"/>
            <w:vAlign w:val="bottom"/>
          </w:tcPr>
          <w:p>
            <w:pPr>
              <w:spacing w:after="0"/>
              <w:rPr>
                <w:sz w:val="18"/>
                <w:szCs w:val="18"/>
                <w:color w:val="auto"/>
              </w:rPr>
            </w:pPr>
          </w:p>
        </w:tc>
        <w:tc>
          <w:tcPr>
            <w:tcW w:w="2080" w:type="dxa"/>
            <w:vAlign w:val="bottom"/>
            <w:tcBorders>
              <w:bottom w:val="single" w:sz="8" w:color="auto"/>
            </w:tcBorders>
            <w:gridSpan w:val="3"/>
          </w:tcPr>
          <w:p>
            <w:pPr>
              <w:jc w:val="right"/>
              <w:ind w:right="385"/>
              <w:spacing w:after="0"/>
              <w:rPr>
                <w:sz w:val="20"/>
                <w:szCs w:val="20"/>
                <w:color w:val="auto"/>
              </w:rPr>
            </w:pPr>
            <w:r>
              <w:rPr>
                <w:rFonts w:ascii="Arial" w:cs="Arial" w:eastAsia="Arial" w:hAnsi="Arial"/>
                <w:sz w:val="14"/>
                <w:szCs w:val="14"/>
                <w:b w:val="1"/>
                <w:bCs w:val="1"/>
                <w:color w:val="auto"/>
              </w:rPr>
              <w:t>Common Stock</w:t>
            </w:r>
          </w:p>
        </w:tc>
        <w:tc>
          <w:tcPr>
            <w:tcW w:w="24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220"/>
              <w:spacing w:after="0"/>
              <w:rPr>
                <w:sz w:val="20"/>
                <w:szCs w:val="20"/>
                <w:color w:val="auto"/>
              </w:rPr>
            </w:pPr>
            <w:r>
              <w:rPr>
                <w:rFonts w:ascii="Arial" w:cs="Arial" w:eastAsia="Arial" w:hAnsi="Arial"/>
                <w:sz w:val="14"/>
                <w:szCs w:val="14"/>
                <w:b w:val="1"/>
                <w:bCs w:val="1"/>
                <w:color w:val="auto"/>
              </w:rPr>
              <w:t>Additional</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4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w w:val="95"/>
              </w:rPr>
              <w:t>Accumulated</w:t>
            </w:r>
          </w:p>
        </w:tc>
        <w:tc>
          <w:tcPr>
            <w:tcW w:w="14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Stockholders'</w:t>
            </w:r>
          </w:p>
        </w:tc>
      </w:tr>
      <w:tr>
        <w:trPr>
          <w:trHeight w:val="190"/>
        </w:trPr>
        <w:tc>
          <w:tcPr>
            <w:tcW w:w="4500" w:type="dxa"/>
            <w:vAlign w:val="bottom"/>
          </w:tcPr>
          <w:p>
            <w:pPr>
              <w:spacing w:after="0"/>
              <w:rPr>
                <w:sz w:val="16"/>
                <w:szCs w:val="16"/>
                <w:color w:val="auto"/>
              </w:rPr>
            </w:pPr>
          </w:p>
        </w:tc>
        <w:tc>
          <w:tcPr>
            <w:tcW w:w="100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Shares</w:t>
            </w:r>
          </w:p>
        </w:tc>
        <w:tc>
          <w:tcPr>
            <w:tcW w:w="280" w:type="dxa"/>
            <w:vAlign w:val="bottom"/>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24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80"/>
              <w:spacing w:after="0"/>
              <w:rPr>
                <w:sz w:val="20"/>
                <w:szCs w:val="20"/>
                <w:color w:val="auto"/>
              </w:rPr>
            </w:pPr>
            <w:r>
              <w:rPr>
                <w:rFonts w:ascii="Arial" w:cs="Arial" w:eastAsia="Arial" w:hAnsi="Arial"/>
                <w:sz w:val="14"/>
                <w:szCs w:val="14"/>
                <w:b w:val="1"/>
                <w:bCs w:val="1"/>
                <w:color w:val="auto"/>
                <w:w w:val="97"/>
              </w:rPr>
              <w:t>Paid-In-Capital</w:t>
            </w:r>
          </w:p>
        </w:tc>
        <w:tc>
          <w:tcPr>
            <w:tcW w:w="24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Deficit</w:t>
            </w:r>
          </w:p>
        </w:tc>
        <w:tc>
          <w:tcPr>
            <w:tcW w:w="2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40"/>
              <w:spacing w:after="0"/>
              <w:rPr>
                <w:sz w:val="20"/>
                <w:szCs w:val="20"/>
                <w:color w:val="auto"/>
              </w:rPr>
            </w:pPr>
            <w:r>
              <w:rPr>
                <w:rFonts w:ascii="Arial" w:cs="Arial" w:eastAsia="Arial" w:hAnsi="Arial"/>
                <w:sz w:val="14"/>
                <w:szCs w:val="14"/>
                <w:b w:val="1"/>
                <w:bCs w:val="1"/>
                <w:color w:val="auto"/>
                <w:w w:val="98"/>
              </w:rPr>
              <w:t>Equity</w:t>
            </w:r>
          </w:p>
        </w:tc>
        <w:tc>
          <w:tcPr>
            <w:tcW w:w="100" w:type="dxa"/>
            <w:vAlign w:val="bottom"/>
          </w:tcPr>
          <w:p>
            <w:pPr>
              <w:spacing w:after="0"/>
              <w:rPr>
                <w:sz w:val="16"/>
                <w:szCs w:val="16"/>
                <w:color w:val="auto"/>
              </w:rPr>
            </w:pPr>
          </w:p>
        </w:tc>
      </w:tr>
      <w:tr>
        <w:trPr>
          <w:trHeight w:val="219"/>
        </w:trPr>
        <w:tc>
          <w:tcPr>
            <w:tcW w:w="4500" w:type="dxa"/>
            <w:vAlign w:val="bottom"/>
          </w:tcPr>
          <w:p>
            <w:pPr>
              <w:ind w:left="20"/>
              <w:spacing w:after="0"/>
              <w:rPr>
                <w:sz w:val="20"/>
                <w:szCs w:val="20"/>
                <w:color w:val="auto"/>
              </w:rPr>
            </w:pPr>
            <w:r>
              <w:rPr>
                <w:rFonts w:ascii="Arial" w:cs="Arial" w:eastAsia="Arial" w:hAnsi="Arial"/>
                <w:sz w:val="16"/>
                <w:szCs w:val="16"/>
                <w:color w:val="auto"/>
              </w:rPr>
              <w:t>Balance at December 31, 2019</w:t>
            </w:r>
          </w:p>
        </w:tc>
        <w:tc>
          <w:tcPr>
            <w:tcW w:w="1000" w:type="dxa"/>
            <w:vAlign w:val="bottom"/>
          </w:tcPr>
          <w:p>
            <w:pPr>
              <w:jc w:val="right"/>
              <w:spacing w:after="0"/>
              <w:rPr>
                <w:sz w:val="20"/>
                <w:szCs w:val="20"/>
                <w:color w:val="auto"/>
              </w:rPr>
            </w:pPr>
            <w:r>
              <w:rPr>
                <w:rFonts w:ascii="Arial" w:cs="Arial" w:eastAsia="Arial" w:hAnsi="Arial"/>
                <w:sz w:val="16"/>
                <w:szCs w:val="16"/>
                <w:color w:val="auto"/>
              </w:rPr>
              <w:t>44,413,372</w:t>
            </w:r>
          </w:p>
        </w:tc>
        <w:tc>
          <w:tcPr>
            <w:tcW w:w="1080" w:type="dxa"/>
            <w:vAlign w:val="bottom"/>
            <w:gridSpan w:val="2"/>
          </w:tcPr>
          <w:p>
            <w:pPr>
              <w:jc w:val="right"/>
              <w:ind w:right="645"/>
              <w:spacing w:after="0"/>
              <w:rPr>
                <w:sz w:val="20"/>
                <w:szCs w:val="20"/>
                <w:color w:val="auto"/>
              </w:rPr>
            </w:pPr>
            <w:r>
              <w:rPr>
                <w:rFonts w:ascii="Arial" w:cs="Arial" w:eastAsia="Arial" w:hAnsi="Arial"/>
                <w:sz w:val="16"/>
                <w:szCs w:val="16"/>
                <w:color w:val="auto"/>
              </w:rPr>
              <w:t>$</w:t>
            </w:r>
          </w:p>
        </w:tc>
        <w:tc>
          <w:tcPr>
            <w:tcW w:w="240" w:type="dxa"/>
            <w:vAlign w:val="bottom"/>
          </w:tcPr>
          <w:p>
            <w:pPr>
              <w:jc w:val="right"/>
              <w:spacing w:after="0"/>
              <w:rPr>
                <w:sz w:val="20"/>
                <w:szCs w:val="20"/>
                <w:color w:val="auto"/>
              </w:rPr>
            </w:pPr>
            <w:r>
              <w:rPr>
                <w:rFonts w:ascii="Arial" w:cs="Arial" w:eastAsia="Arial" w:hAnsi="Arial"/>
                <w:sz w:val="16"/>
                <w:szCs w:val="16"/>
                <w:color w:val="auto"/>
              </w:rPr>
              <w:t>44</w:t>
            </w:r>
          </w:p>
        </w:tc>
        <w:tc>
          <w:tcPr>
            <w:tcW w:w="3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248,770</w:t>
            </w:r>
          </w:p>
        </w:tc>
        <w:tc>
          <w:tcPr>
            <w:tcW w:w="40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(237,657 )</w:t>
            </w:r>
          </w:p>
        </w:tc>
        <w:tc>
          <w:tcPr>
            <w:tcW w:w="140" w:type="dxa"/>
            <w:vAlign w:val="bottom"/>
          </w:tcPr>
          <w:p>
            <w:pPr>
              <w:jc w:val="right"/>
              <w:ind w:right="14"/>
              <w:spacing w:after="0"/>
              <w:rPr>
                <w:sz w:val="20"/>
                <w:szCs w:val="20"/>
                <w:color w:val="auto"/>
              </w:rPr>
            </w:pPr>
            <w:r>
              <w:rPr>
                <w:rFonts w:ascii="Arial" w:cs="Arial" w:eastAsia="Arial" w:hAnsi="Arial"/>
                <w:sz w:val="10"/>
                <w:szCs w:val="10"/>
                <w:color w:val="auto"/>
                <w:w w:val="71"/>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11,157</w:t>
            </w:r>
          </w:p>
        </w:tc>
        <w:tc>
          <w:tcPr>
            <w:tcW w:w="100" w:type="dxa"/>
            <w:vAlign w:val="bottom"/>
          </w:tcPr>
          <w:p>
            <w:pPr>
              <w:spacing w:after="0"/>
              <w:rPr>
                <w:sz w:val="19"/>
                <w:szCs w:val="19"/>
                <w:color w:val="auto"/>
              </w:rPr>
            </w:pPr>
          </w:p>
        </w:tc>
      </w:tr>
      <w:tr>
        <w:trPr>
          <w:trHeight w:val="216"/>
        </w:trPr>
        <w:tc>
          <w:tcPr>
            <w:tcW w:w="450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Issuance of common shares under at-the-market</w:t>
            </w:r>
          </w:p>
        </w:tc>
        <w:tc>
          <w:tcPr>
            <w:tcW w:w="1000" w:type="dxa"/>
            <w:vAlign w:val="bottom"/>
            <w:shd w:val="clear" w:color="auto" w:fill="CFF0FC"/>
          </w:tcPr>
          <w:p>
            <w:pPr>
              <w:spacing w:after="0"/>
              <w:rPr>
                <w:sz w:val="18"/>
                <w:szCs w:val="18"/>
                <w:color w:val="auto"/>
              </w:rPr>
            </w:pPr>
          </w:p>
        </w:tc>
        <w:tc>
          <w:tcPr>
            <w:tcW w:w="280" w:type="dxa"/>
            <w:vAlign w:val="bottom"/>
            <w:tcBorders>
              <w:left w:val="single" w:sz="8" w:color="CFF0FC"/>
            </w:tcBorders>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tcBorders>
              <w:left w:val="single" w:sz="8" w:color="CFF0FC"/>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40" w:type="dxa"/>
            <w:vAlign w:val="bottom"/>
            <w:tcBorders>
              <w:left w:val="single" w:sz="8" w:color="CFF0FC"/>
            </w:tcBorders>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80" w:type="dxa"/>
            <w:vAlign w:val="bottom"/>
            <w:tcBorders>
              <w:left w:val="single" w:sz="8" w:color="CFF0FC"/>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tcBorders>
              <w:left w:val="single" w:sz="8" w:color="CFF0FC"/>
            </w:tcBorders>
            <w:shd w:val="clear" w:color="auto" w:fill="CFF0FC"/>
          </w:tcPr>
          <w:p>
            <w:pPr>
              <w:spacing w:after="0"/>
              <w:rPr>
                <w:sz w:val="18"/>
                <w:szCs w:val="18"/>
                <w:color w:val="auto"/>
              </w:rPr>
            </w:pPr>
          </w:p>
        </w:tc>
      </w:tr>
      <w:tr>
        <w:trPr>
          <w:trHeight w:val="226"/>
        </w:trPr>
        <w:tc>
          <w:tcPr>
            <w:tcW w:w="4500" w:type="dxa"/>
            <w:vAlign w:val="bottom"/>
            <w:tcBorders>
              <w:right w:val="single" w:sz="8" w:color="CFF0FC"/>
            </w:tcBorders>
            <w:shd w:val="clear" w:color="auto" w:fill="CFF0FC"/>
          </w:tcPr>
          <w:p>
            <w:pPr>
              <w:ind w:left="140"/>
              <w:spacing w:after="0"/>
              <w:rPr>
                <w:sz w:val="20"/>
                <w:szCs w:val="20"/>
                <w:color w:val="auto"/>
              </w:rPr>
            </w:pPr>
            <w:r>
              <w:rPr>
                <w:rFonts w:ascii="Arial" w:cs="Arial" w:eastAsia="Arial" w:hAnsi="Arial"/>
                <w:sz w:val="16"/>
                <w:szCs w:val="16"/>
                <w:color w:val="auto"/>
              </w:rPr>
              <w:t>sales agreement</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455,186</w:t>
            </w:r>
          </w:p>
        </w:tc>
        <w:tc>
          <w:tcPr>
            <w:tcW w:w="280" w:type="dxa"/>
            <w:vAlign w:val="bottom"/>
            <w:tcBorders>
              <w:left w:val="single" w:sz="8" w:color="CFF0FC"/>
            </w:tcBorders>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260" w:type="dxa"/>
            <w:vAlign w:val="bottom"/>
            <w:tcBorders>
              <w:left w:val="single" w:sz="8" w:color="CFF0FC"/>
              <w:right w:val="single" w:sz="8" w:color="CFF0FC"/>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1,192</w:t>
            </w:r>
          </w:p>
        </w:tc>
        <w:tc>
          <w:tcPr>
            <w:tcW w:w="240" w:type="dxa"/>
            <w:vAlign w:val="bottom"/>
            <w:tcBorders>
              <w:left w:val="single" w:sz="8" w:color="CFF0FC"/>
            </w:tcBorders>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tcBorders>
              <w:right w:val="single" w:sz="8" w:color="CFF0FC"/>
            </w:tcBorders>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1,193</w:t>
            </w:r>
          </w:p>
        </w:tc>
        <w:tc>
          <w:tcPr>
            <w:tcW w:w="100" w:type="dxa"/>
            <w:vAlign w:val="bottom"/>
            <w:tcBorders>
              <w:left w:val="single" w:sz="8" w:color="CFF0FC"/>
            </w:tcBorders>
            <w:shd w:val="clear" w:color="auto" w:fill="CFF0FC"/>
          </w:tcPr>
          <w:p>
            <w:pPr>
              <w:spacing w:after="0"/>
              <w:rPr>
                <w:sz w:val="19"/>
                <w:szCs w:val="19"/>
                <w:color w:val="auto"/>
              </w:rPr>
            </w:pPr>
          </w:p>
        </w:tc>
      </w:tr>
      <w:tr>
        <w:trPr>
          <w:trHeight w:val="220"/>
        </w:trPr>
        <w:tc>
          <w:tcPr>
            <w:tcW w:w="4500" w:type="dxa"/>
            <w:vAlign w:val="bottom"/>
          </w:tcPr>
          <w:p>
            <w:pPr>
              <w:ind w:left="20"/>
              <w:spacing w:after="0"/>
              <w:rPr>
                <w:sz w:val="20"/>
                <w:szCs w:val="20"/>
                <w:color w:val="auto"/>
              </w:rPr>
            </w:pPr>
            <w:r>
              <w:rPr>
                <w:rFonts w:ascii="Arial" w:cs="Arial" w:eastAsia="Arial" w:hAnsi="Arial"/>
                <w:sz w:val="16"/>
                <w:szCs w:val="16"/>
                <w:color w:val="auto"/>
              </w:rPr>
              <w:t>Share-based compensation expense</w:t>
            </w: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1,001</w:t>
            </w: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1,001</w:t>
            </w:r>
          </w:p>
        </w:tc>
        <w:tc>
          <w:tcPr>
            <w:tcW w:w="100" w:type="dxa"/>
            <w:vAlign w:val="bottom"/>
          </w:tcPr>
          <w:p>
            <w:pPr>
              <w:spacing w:after="0"/>
              <w:rPr>
                <w:sz w:val="19"/>
                <w:szCs w:val="19"/>
                <w:color w:val="auto"/>
              </w:rPr>
            </w:pPr>
          </w:p>
        </w:tc>
      </w:tr>
      <w:tr>
        <w:trPr>
          <w:trHeight w:val="229"/>
        </w:trPr>
        <w:tc>
          <w:tcPr>
            <w:tcW w:w="450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Net loss</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left w:val="single" w:sz="8" w:color="CFF0FC"/>
            </w:tcBorders>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left w:val="single" w:sz="8" w:color="CFF0FC"/>
              <w:right w:val="single" w:sz="8" w:color="CFF0FC"/>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left w:val="single" w:sz="8" w:color="CFF0FC"/>
            </w:tcBorders>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(2,911 )</w:t>
            </w:r>
          </w:p>
        </w:tc>
        <w:tc>
          <w:tcPr>
            <w:tcW w:w="1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(2,911 )</w:t>
            </w:r>
          </w:p>
        </w:tc>
      </w:tr>
      <w:tr>
        <w:trPr>
          <w:trHeight w:val="23"/>
        </w:trPr>
        <w:tc>
          <w:tcPr>
            <w:tcW w:w="4500" w:type="dxa"/>
            <w:vAlign w:val="bottom"/>
            <w:tcBorders>
              <w:right w:val="single" w:sz="8" w:color="auto"/>
            </w:tcBorders>
            <w:shd w:val="clear" w:color="auto" w:fill="CFF0FC"/>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80" w:type="dxa"/>
            <w:vAlign w:val="bottom"/>
            <w:tcBorders>
              <w:left w:val="single" w:sz="8" w:color="CFF0FC"/>
            </w:tcBorders>
            <w:shd w:val="clear" w:color="auto" w:fill="CFF0FC"/>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60" w:type="dxa"/>
            <w:vAlign w:val="bottom"/>
            <w:tcBorders>
              <w:left w:val="single" w:sz="8" w:color="CFF0FC"/>
              <w:right w:val="single" w:sz="8" w:color="auto"/>
            </w:tcBorders>
            <w:shd w:val="clear" w:color="auto" w:fill="CFF0FC"/>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tcBorders>
              <w:left w:val="single" w:sz="8" w:color="CFF0FC"/>
            </w:tcBorders>
            <w:shd w:val="clear" w:color="auto" w:fill="CFF0FC"/>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tcBorders>
              <w:left w:val="single" w:sz="8" w:color="CFF0FC"/>
              <w:right w:val="single" w:sz="8" w:color="auto"/>
            </w:tcBorders>
            <w:shd w:val="clear" w:color="auto" w:fill="CFF0FC"/>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tcBorders>
              <w:left w:val="single" w:sz="8" w:color="CFF0FC"/>
            </w:tcBorders>
            <w:shd w:val="clear" w:color="auto" w:fill="CFF0FC"/>
          </w:tcPr>
          <w:p>
            <w:pPr>
              <w:spacing w:after="0"/>
              <w:rPr>
                <w:sz w:val="2"/>
                <w:szCs w:val="2"/>
                <w:color w:val="auto"/>
              </w:rPr>
            </w:pPr>
          </w:p>
        </w:tc>
      </w:tr>
      <w:tr>
        <w:trPr>
          <w:trHeight w:val="220"/>
        </w:trPr>
        <w:tc>
          <w:tcPr>
            <w:tcW w:w="4500" w:type="dxa"/>
            <w:vAlign w:val="bottom"/>
          </w:tcPr>
          <w:p>
            <w:pPr>
              <w:ind w:left="20"/>
              <w:spacing w:after="0"/>
              <w:rPr>
                <w:sz w:val="20"/>
                <w:szCs w:val="20"/>
                <w:color w:val="auto"/>
              </w:rPr>
            </w:pPr>
            <w:r>
              <w:rPr>
                <w:rFonts w:ascii="Arial" w:cs="Arial" w:eastAsia="Arial" w:hAnsi="Arial"/>
                <w:sz w:val="16"/>
                <w:szCs w:val="16"/>
                <w:color w:val="auto"/>
              </w:rPr>
              <w:t>Balance at March 31, 2020</w:t>
            </w:r>
          </w:p>
        </w:tc>
        <w:tc>
          <w:tcPr>
            <w:tcW w:w="1000" w:type="dxa"/>
            <w:vAlign w:val="bottom"/>
          </w:tcPr>
          <w:p>
            <w:pPr>
              <w:jc w:val="right"/>
              <w:spacing w:after="0"/>
              <w:rPr>
                <w:sz w:val="20"/>
                <w:szCs w:val="20"/>
                <w:color w:val="auto"/>
              </w:rPr>
            </w:pPr>
            <w:r>
              <w:rPr>
                <w:rFonts w:ascii="Arial" w:cs="Arial" w:eastAsia="Arial" w:hAnsi="Arial"/>
                <w:sz w:val="16"/>
                <w:szCs w:val="16"/>
                <w:color w:val="auto"/>
              </w:rPr>
              <w:t>44,868,558</w:t>
            </w: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45</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250,963</w:t>
            </w: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(240,568 )</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10,440</w:t>
            </w:r>
          </w:p>
        </w:tc>
        <w:tc>
          <w:tcPr>
            <w:tcW w:w="100" w:type="dxa"/>
            <w:vAlign w:val="bottom"/>
          </w:tcPr>
          <w:p>
            <w:pPr>
              <w:spacing w:after="0"/>
              <w:rPr>
                <w:sz w:val="19"/>
                <w:szCs w:val="19"/>
                <w:color w:val="auto"/>
              </w:rPr>
            </w:pPr>
          </w:p>
        </w:tc>
      </w:tr>
      <w:tr>
        <w:trPr>
          <w:trHeight w:val="216"/>
        </w:trPr>
        <w:tc>
          <w:tcPr>
            <w:tcW w:w="450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Issuance of common shares under at-the-market</w:t>
            </w:r>
          </w:p>
        </w:tc>
        <w:tc>
          <w:tcPr>
            <w:tcW w:w="1000" w:type="dxa"/>
            <w:vAlign w:val="bottom"/>
            <w:shd w:val="clear" w:color="auto" w:fill="CFF0FC"/>
          </w:tcPr>
          <w:p>
            <w:pPr>
              <w:spacing w:after="0"/>
              <w:rPr>
                <w:sz w:val="18"/>
                <w:szCs w:val="18"/>
                <w:color w:val="auto"/>
              </w:rPr>
            </w:pPr>
          </w:p>
        </w:tc>
        <w:tc>
          <w:tcPr>
            <w:tcW w:w="280" w:type="dxa"/>
            <w:vAlign w:val="bottom"/>
            <w:tcBorders>
              <w:left w:val="single" w:sz="8" w:color="CFF0FC"/>
            </w:tcBorders>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tcBorders>
              <w:left w:val="single" w:sz="8" w:color="CFF0FC"/>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40" w:type="dxa"/>
            <w:vAlign w:val="bottom"/>
            <w:tcBorders>
              <w:left w:val="single" w:sz="8" w:color="CFF0FC"/>
            </w:tcBorders>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80" w:type="dxa"/>
            <w:vAlign w:val="bottom"/>
            <w:tcBorders>
              <w:left w:val="single" w:sz="8" w:color="CFF0FC"/>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tcBorders>
              <w:left w:val="single" w:sz="8" w:color="CFF0FC"/>
            </w:tcBorders>
            <w:shd w:val="clear" w:color="auto" w:fill="CFF0FC"/>
          </w:tcPr>
          <w:p>
            <w:pPr>
              <w:spacing w:after="0"/>
              <w:rPr>
                <w:sz w:val="18"/>
                <w:szCs w:val="18"/>
                <w:color w:val="auto"/>
              </w:rPr>
            </w:pPr>
          </w:p>
        </w:tc>
      </w:tr>
      <w:tr>
        <w:trPr>
          <w:trHeight w:val="226"/>
        </w:trPr>
        <w:tc>
          <w:tcPr>
            <w:tcW w:w="4500" w:type="dxa"/>
            <w:vAlign w:val="bottom"/>
            <w:tcBorders>
              <w:right w:val="single" w:sz="8" w:color="CFF0FC"/>
            </w:tcBorders>
            <w:shd w:val="clear" w:color="auto" w:fill="CFF0FC"/>
          </w:tcPr>
          <w:p>
            <w:pPr>
              <w:ind w:left="140"/>
              <w:spacing w:after="0"/>
              <w:rPr>
                <w:sz w:val="20"/>
                <w:szCs w:val="20"/>
                <w:color w:val="auto"/>
              </w:rPr>
            </w:pPr>
            <w:r>
              <w:rPr>
                <w:rFonts w:ascii="Arial" w:cs="Arial" w:eastAsia="Arial" w:hAnsi="Arial"/>
                <w:sz w:val="16"/>
                <w:szCs w:val="16"/>
                <w:color w:val="auto"/>
              </w:rPr>
              <w:t>sales agreement</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800,170</w:t>
            </w:r>
          </w:p>
        </w:tc>
        <w:tc>
          <w:tcPr>
            <w:tcW w:w="280" w:type="dxa"/>
            <w:vAlign w:val="bottom"/>
            <w:tcBorders>
              <w:left w:val="single" w:sz="8" w:color="CFF0FC"/>
            </w:tcBorders>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260" w:type="dxa"/>
            <w:vAlign w:val="bottom"/>
            <w:tcBorders>
              <w:left w:val="single" w:sz="8" w:color="CFF0FC"/>
              <w:right w:val="single" w:sz="8" w:color="CFF0FC"/>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1,606</w:t>
            </w:r>
          </w:p>
        </w:tc>
        <w:tc>
          <w:tcPr>
            <w:tcW w:w="240" w:type="dxa"/>
            <w:vAlign w:val="bottom"/>
            <w:tcBorders>
              <w:left w:val="single" w:sz="8" w:color="CFF0FC"/>
            </w:tcBorders>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tcBorders>
              <w:right w:val="single" w:sz="8" w:color="CFF0FC"/>
            </w:tcBorders>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1,607</w:t>
            </w:r>
          </w:p>
        </w:tc>
        <w:tc>
          <w:tcPr>
            <w:tcW w:w="100" w:type="dxa"/>
            <w:vAlign w:val="bottom"/>
            <w:tcBorders>
              <w:left w:val="single" w:sz="8" w:color="CFF0FC"/>
            </w:tcBorders>
            <w:shd w:val="clear" w:color="auto" w:fill="CFF0FC"/>
          </w:tcPr>
          <w:p>
            <w:pPr>
              <w:spacing w:after="0"/>
              <w:rPr>
                <w:sz w:val="19"/>
                <w:szCs w:val="19"/>
                <w:color w:val="auto"/>
              </w:rPr>
            </w:pPr>
          </w:p>
        </w:tc>
      </w:tr>
      <w:tr>
        <w:trPr>
          <w:trHeight w:val="220"/>
        </w:trPr>
        <w:tc>
          <w:tcPr>
            <w:tcW w:w="4500" w:type="dxa"/>
            <w:vAlign w:val="bottom"/>
          </w:tcPr>
          <w:p>
            <w:pPr>
              <w:ind w:left="20"/>
              <w:spacing w:after="0"/>
              <w:rPr>
                <w:sz w:val="20"/>
                <w:szCs w:val="20"/>
                <w:color w:val="auto"/>
              </w:rPr>
            </w:pPr>
            <w:r>
              <w:rPr>
                <w:rFonts w:ascii="Arial" w:cs="Arial" w:eastAsia="Arial" w:hAnsi="Arial"/>
                <w:sz w:val="16"/>
                <w:szCs w:val="16"/>
                <w:color w:val="auto"/>
              </w:rPr>
              <w:t>Exercise of stock options</w:t>
            </w:r>
          </w:p>
        </w:tc>
        <w:tc>
          <w:tcPr>
            <w:tcW w:w="1000" w:type="dxa"/>
            <w:vAlign w:val="bottom"/>
          </w:tcPr>
          <w:p>
            <w:pPr>
              <w:jc w:val="right"/>
              <w:spacing w:after="0"/>
              <w:rPr>
                <w:sz w:val="20"/>
                <w:szCs w:val="20"/>
                <w:color w:val="auto"/>
              </w:rPr>
            </w:pPr>
            <w:r>
              <w:rPr>
                <w:rFonts w:ascii="Arial" w:cs="Arial" w:eastAsia="Arial" w:hAnsi="Arial"/>
                <w:sz w:val="16"/>
                <w:szCs w:val="16"/>
                <w:color w:val="auto"/>
              </w:rPr>
              <w:t>58,333</w:t>
            </w: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72</w:t>
            </w: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72</w:t>
            </w:r>
          </w:p>
        </w:tc>
        <w:tc>
          <w:tcPr>
            <w:tcW w:w="100" w:type="dxa"/>
            <w:vAlign w:val="bottom"/>
          </w:tcPr>
          <w:p>
            <w:pPr>
              <w:spacing w:after="0"/>
              <w:rPr>
                <w:sz w:val="19"/>
                <w:szCs w:val="19"/>
                <w:color w:val="auto"/>
              </w:rPr>
            </w:pPr>
          </w:p>
        </w:tc>
      </w:tr>
      <w:tr>
        <w:trPr>
          <w:trHeight w:val="239"/>
        </w:trPr>
        <w:tc>
          <w:tcPr>
            <w:tcW w:w="450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Vesting and settlement of restricted stock units</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512,550</w:t>
            </w:r>
          </w:p>
        </w:tc>
        <w:tc>
          <w:tcPr>
            <w:tcW w:w="280" w:type="dxa"/>
            <w:vAlign w:val="bottom"/>
            <w:tcBorders>
              <w:left w:val="single" w:sz="8" w:color="CFF0FC"/>
            </w:tcBorders>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left w:val="single" w:sz="8" w:color="CFF0FC"/>
              <w:right w:val="single" w:sz="8" w:color="CFF0FC"/>
            </w:tcBorders>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left w:val="single" w:sz="8" w:color="CFF0FC"/>
            </w:tcBorders>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40" w:type="dxa"/>
            <w:vAlign w:val="bottom"/>
            <w:tcBorders>
              <w:right w:val="single" w:sz="8" w:color="CFF0FC"/>
            </w:tcBorders>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r>
      <w:tr>
        <w:trPr>
          <w:trHeight w:val="206"/>
        </w:trPr>
        <w:tc>
          <w:tcPr>
            <w:tcW w:w="4500" w:type="dxa"/>
            <w:vAlign w:val="bottom"/>
          </w:tcPr>
          <w:p>
            <w:pPr>
              <w:ind w:left="20"/>
              <w:spacing w:after="0"/>
              <w:rPr>
                <w:sz w:val="20"/>
                <w:szCs w:val="20"/>
                <w:color w:val="auto"/>
              </w:rPr>
            </w:pPr>
            <w:r>
              <w:rPr>
                <w:rFonts w:ascii="Arial" w:cs="Arial" w:eastAsia="Arial" w:hAnsi="Arial"/>
                <w:sz w:val="16"/>
                <w:szCs w:val="16"/>
                <w:color w:val="auto"/>
              </w:rPr>
              <w:t>Issuance of common shares under employee</w:t>
            </w: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500" w:type="dxa"/>
            <w:vAlign w:val="bottom"/>
          </w:tcPr>
          <w:p>
            <w:pPr>
              <w:ind w:left="140"/>
              <w:spacing w:after="0"/>
              <w:rPr>
                <w:sz w:val="20"/>
                <w:szCs w:val="20"/>
                <w:color w:val="auto"/>
              </w:rPr>
            </w:pPr>
            <w:r>
              <w:rPr>
                <w:rFonts w:ascii="Arial" w:cs="Arial" w:eastAsia="Arial" w:hAnsi="Arial"/>
                <w:sz w:val="16"/>
                <w:szCs w:val="16"/>
                <w:color w:val="auto"/>
              </w:rPr>
              <w:t>stock purchase plan</w:t>
            </w:r>
          </w:p>
        </w:tc>
        <w:tc>
          <w:tcPr>
            <w:tcW w:w="1000" w:type="dxa"/>
            <w:vAlign w:val="bottom"/>
          </w:tcPr>
          <w:p>
            <w:pPr>
              <w:jc w:val="right"/>
              <w:spacing w:after="0"/>
              <w:rPr>
                <w:sz w:val="20"/>
                <w:szCs w:val="20"/>
                <w:color w:val="auto"/>
              </w:rPr>
            </w:pPr>
            <w:r>
              <w:rPr>
                <w:rFonts w:ascii="Arial" w:cs="Arial" w:eastAsia="Arial" w:hAnsi="Arial"/>
                <w:sz w:val="16"/>
                <w:szCs w:val="16"/>
                <w:color w:val="auto"/>
              </w:rPr>
              <w:t>35,359</w:t>
            </w: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31</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18"/>
                <w:szCs w:val="18"/>
                <w:color w:val="auto"/>
              </w:rPr>
            </w:pPr>
          </w:p>
        </w:tc>
      </w:tr>
      <w:tr>
        <w:trPr>
          <w:trHeight w:val="239"/>
        </w:trPr>
        <w:tc>
          <w:tcPr>
            <w:tcW w:w="450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Share-based compensation expense</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left w:val="single" w:sz="8" w:color="CFF0FC"/>
            </w:tcBorders>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left w:val="single" w:sz="8" w:color="CFF0FC"/>
              <w:right w:val="single" w:sz="8" w:color="CFF0FC"/>
            </w:tcBorders>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891</w:t>
            </w:r>
          </w:p>
        </w:tc>
        <w:tc>
          <w:tcPr>
            <w:tcW w:w="240" w:type="dxa"/>
            <w:vAlign w:val="bottom"/>
            <w:tcBorders>
              <w:left w:val="single" w:sz="8" w:color="CFF0FC"/>
            </w:tcBorders>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40" w:type="dxa"/>
            <w:vAlign w:val="bottom"/>
            <w:tcBorders>
              <w:right w:val="single" w:sz="8" w:color="CFF0FC"/>
            </w:tcBorders>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891</w:t>
            </w:r>
          </w:p>
        </w:tc>
        <w:tc>
          <w:tcPr>
            <w:tcW w:w="100" w:type="dxa"/>
            <w:vAlign w:val="bottom"/>
            <w:tcBorders>
              <w:left w:val="single" w:sz="8" w:color="CFF0FC"/>
            </w:tcBorders>
            <w:shd w:val="clear" w:color="auto" w:fill="CFF0FC"/>
          </w:tcPr>
          <w:p>
            <w:pPr>
              <w:spacing w:after="0"/>
              <w:rPr>
                <w:sz w:val="20"/>
                <w:szCs w:val="20"/>
                <w:color w:val="auto"/>
              </w:rPr>
            </w:pPr>
          </w:p>
        </w:tc>
      </w:tr>
      <w:tr>
        <w:trPr>
          <w:trHeight w:val="220"/>
        </w:trPr>
        <w:tc>
          <w:tcPr>
            <w:tcW w:w="4500" w:type="dxa"/>
            <w:vAlign w:val="bottom"/>
          </w:tcPr>
          <w:p>
            <w:pPr>
              <w:ind w:left="20"/>
              <w:spacing w:after="0"/>
              <w:rPr>
                <w:sz w:val="20"/>
                <w:szCs w:val="20"/>
                <w:color w:val="auto"/>
              </w:rPr>
            </w:pPr>
            <w:r>
              <w:rPr>
                <w:rFonts w:ascii="Arial" w:cs="Arial" w:eastAsia="Arial" w:hAnsi="Arial"/>
                <w:sz w:val="16"/>
                <w:szCs w:val="16"/>
                <w:color w:val="auto"/>
              </w:rPr>
              <w:t>Net loss</w:t>
            </w: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(5,754 )</w:t>
            </w:r>
          </w:p>
        </w:tc>
        <w:tc>
          <w:tcPr>
            <w:tcW w:w="140" w:type="dxa"/>
            <w:vAlign w:val="bottom"/>
          </w:tcPr>
          <w:p>
            <w:pPr>
              <w:spacing w:after="0"/>
              <w:rPr>
                <w:sz w:val="19"/>
                <w:szCs w:val="19"/>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6"/>
                <w:szCs w:val="16"/>
                <w:color w:val="auto"/>
              </w:rPr>
              <w:t>(5,754 )</w:t>
            </w:r>
          </w:p>
        </w:tc>
      </w:tr>
      <w:tr>
        <w:trPr>
          <w:trHeight w:val="23"/>
        </w:trPr>
        <w:tc>
          <w:tcPr>
            <w:tcW w:w="4500" w:type="dxa"/>
            <w:vAlign w:val="bottom"/>
            <w:tcBorders>
              <w:right w:val="single" w:sz="8" w:color="auto"/>
            </w:tcBorders>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6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0"/>
        </w:trPr>
        <w:tc>
          <w:tcPr>
            <w:tcW w:w="450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Balance at June 30, 2020</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46,274,970</w:t>
            </w:r>
          </w:p>
        </w:tc>
        <w:tc>
          <w:tcPr>
            <w:tcW w:w="280" w:type="dxa"/>
            <w:vAlign w:val="bottom"/>
            <w:tcBorders>
              <w:left w:val="single" w:sz="8" w:color="CFF0FC"/>
            </w:tcBorders>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w:t>
            </w:r>
          </w:p>
        </w:tc>
        <w:tc>
          <w:tcPr>
            <w:tcW w:w="260" w:type="dxa"/>
            <w:vAlign w:val="bottom"/>
            <w:tcBorders>
              <w:left w:val="single" w:sz="8" w:color="CFF0FC"/>
              <w:right w:val="single" w:sz="8" w:color="CFF0FC"/>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253,563</w:t>
            </w:r>
          </w:p>
        </w:tc>
        <w:tc>
          <w:tcPr>
            <w:tcW w:w="240" w:type="dxa"/>
            <w:vAlign w:val="bottom"/>
            <w:tcBorders>
              <w:left w:val="single" w:sz="8" w:color="CFF0FC"/>
            </w:tcBorders>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(246,322 )</w:t>
            </w: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7,287</w:t>
            </w:r>
          </w:p>
        </w:tc>
        <w:tc>
          <w:tcPr>
            <w:tcW w:w="100" w:type="dxa"/>
            <w:vAlign w:val="bottom"/>
            <w:tcBorders>
              <w:left w:val="single" w:sz="8" w:color="CFF0FC"/>
            </w:tcBorders>
            <w:shd w:val="clear" w:color="auto" w:fill="CFF0FC"/>
          </w:tcPr>
          <w:p>
            <w:pPr>
              <w:spacing w:after="0"/>
              <w:rPr>
                <w:sz w:val="19"/>
                <w:szCs w:val="19"/>
                <w:color w:val="auto"/>
              </w:rPr>
            </w:pPr>
          </w:p>
        </w:tc>
      </w:tr>
      <w:tr>
        <w:trPr>
          <w:trHeight w:val="206"/>
        </w:trPr>
        <w:tc>
          <w:tcPr>
            <w:tcW w:w="4500" w:type="dxa"/>
            <w:vAlign w:val="bottom"/>
          </w:tcPr>
          <w:p>
            <w:pPr>
              <w:ind w:left="20"/>
              <w:spacing w:after="0"/>
              <w:rPr>
                <w:sz w:val="20"/>
                <w:szCs w:val="20"/>
                <w:color w:val="auto"/>
              </w:rPr>
            </w:pPr>
            <w:r>
              <w:rPr>
                <w:rFonts w:ascii="Arial" w:cs="Arial" w:eastAsia="Arial" w:hAnsi="Arial"/>
                <w:sz w:val="16"/>
                <w:szCs w:val="16"/>
                <w:color w:val="auto"/>
              </w:rPr>
              <w:t>Issuance of common shares under at-the-market</w:t>
            </w: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500" w:type="dxa"/>
            <w:vAlign w:val="bottom"/>
          </w:tcPr>
          <w:p>
            <w:pPr>
              <w:ind w:left="140"/>
              <w:spacing w:after="0"/>
              <w:rPr>
                <w:sz w:val="20"/>
                <w:szCs w:val="20"/>
                <w:color w:val="auto"/>
              </w:rPr>
            </w:pPr>
            <w:r>
              <w:rPr>
                <w:rFonts w:ascii="Arial" w:cs="Arial" w:eastAsia="Arial" w:hAnsi="Arial"/>
                <w:sz w:val="16"/>
                <w:szCs w:val="16"/>
                <w:color w:val="auto"/>
              </w:rPr>
              <w:t>sales agreement</w:t>
            </w:r>
          </w:p>
        </w:tc>
        <w:tc>
          <w:tcPr>
            <w:tcW w:w="1000" w:type="dxa"/>
            <w:vAlign w:val="bottom"/>
          </w:tcPr>
          <w:p>
            <w:pPr>
              <w:jc w:val="right"/>
              <w:spacing w:after="0"/>
              <w:rPr>
                <w:sz w:val="20"/>
                <w:szCs w:val="20"/>
                <w:color w:val="auto"/>
              </w:rPr>
            </w:pPr>
            <w:r>
              <w:rPr>
                <w:rFonts w:ascii="Arial" w:cs="Arial" w:eastAsia="Arial" w:hAnsi="Arial"/>
                <w:sz w:val="16"/>
                <w:szCs w:val="16"/>
                <w:color w:val="auto"/>
              </w:rPr>
              <w:t>1,382,564</w:t>
            </w: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2</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2,283</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2,285</w:t>
            </w:r>
          </w:p>
        </w:tc>
        <w:tc>
          <w:tcPr>
            <w:tcW w:w="100" w:type="dxa"/>
            <w:vAlign w:val="bottom"/>
          </w:tcPr>
          <w:p>
            <w:pPr>
              <w:spacing w:after="0"/>
              <w:rPr>
                <w:sz w:val="18"/>
                <w:szCs w:val="18"/>
                <w:color w:val="auto"/>
              </w:rPr>
            </w:pPr>
          </w:p>
        </w:tc>
      </w:tr>
      <w:tr>
        <w:trPr>
          <w:trHeight w:val="239"/>
        </w:trPr>
        <w:tc>
          <w:tcPr>
            <w:tcW w:w="450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Exercise of stock options</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194,883</w:t>
            </w:r>
          </w:p>
        </w:tc>
        <w:tc>
          <w:tcPr>
            <w:tcW w:w="280" w:type="dxa"/>
            <w:vAlign w:val="bottom"/>
            <w:tcBorders>
              <w:left w:val="single" w:sz="8" w:color="CFF0FC"/>
            </w:tcBorders>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left w:val="single" w:sz="8" w:color="CFF0FC"/>
              <w:right w:val="single" w:sz="8" w:color="CFF0FC"/>
            </w:tcBorders>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144</w:t>
            </w:r>
          </w:p>
        </w:tc>
        <w:tc>
          <w:tcPr>
            <w:tcW w:w="240" w:type="dxa"/>
            <w:vAlign w:val="bottom"/>
            <w:tcBorders>
              <w:left w:val="single" w:sz="8" w:color="CFF0FC"/>
            </w:tcBorders>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40" w:type="dxa"/>
            <w:vAlign w:val="bottom"/>
            <w:tcBorders>
              <w:right w:val="single" w:sz="8" w:color="CFF0FC"/>
            </w:tcBorders>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144</w:t>
            </w:r>
          </w:p>
        </w:tc>
        <w:tc>
          <w:tcPr>
            <w:tcW w:w="100" w:type="dxa"/>
            <w:vAlign w:val="bottom"/>
            <w:tcBorders>
              <w:left w:val="single" w:sz="8" w:color="CFF0FC"/>
            </w:tcBorders>
            <w:shd w:val="clear" w:color="auto" w:fill="CFF0FC"/>
          </w:tcPr>
          <w:p>
            <w:pPr>
              <w:spacing w:after="0"/>
              <w:rPr>
                <w:sz w:val="20"/>
                <w:szCs w:val="20"/>
                <w:color w:val="auto"/>
              </w:rPr>
            </w:pPr>
          </w:p>
        </w:tc>
      </w:tr>
      <w:tr>
        <w:trPr>
          <w:trHeight w:val="220"/>
        </w:trPr>
        <w:tc>
          <w:tcPr>
            <w:tcW w:w="4500" w:type="dxa"/>
            <w:vAlign w:val="bottom"/>
          </w:tcPr>
          <w:p>
            <w:pPr>
              <w:ind w:left="20"/>
              <w:spacing w:after="0"/>
              <w:rPr>
                <w:sz w:val="20"/>
                <w:szCs w:val="20"/>
                <w:color w:val="auto"/>
              </w:rPr>
            </w:pPr>
            <w:r>
              <w:rPr>
                <w:rFonts w:ascii="Arial" w:cs="Arial" w:eastAsia="Arial" w:hAnsi="Arial"/>
                <w:sz w:val="16"/>
                <w:szCs w:val="16"/>
                <w:color w:val="auto"/>
              </w:rPr>
              <w:t>Vesting and settlement of restricted stock units</w:t>
            </w:r>
          </w:p>
        </w:tc>
        <w:tc>
          <w:tcPr>
            <w:tcW w:w="1000" w:type="dxa"/>
            <w:vAlign w:val="bottom"/>
          </w:tcPr>
          <w:p>
            <w:pPr>
              <w:jc w:val="right"/>
              <w:spacing w:after="0"/>
              <w:rPr>
                <w:sz w:val="20"/>
                <w:szCs w:val="20"/>
                <w:color w:val="auto"/>
              </w:rPr>
            </w:pPr>
            <w:r>
              <w:rPr>
                <w:rFonts w:ascii="Arial" w:cs="Arial" w:eastAsia="Arial" w:hAnsi="Arial"/>
                <w:sz w:val="16"/>
                <w:szCs w:val="16"/>
                <w:color w:val="auto"/>
              </w:rPr>
              <w:t>375,025</w:t>
            </w: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39"/>
        </w:trPr>
        <w:tc>
          <w:tcPr>
            <w:tcW w:w="450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Share-based compensation expense</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left w:val="single" w:sz="8" w:color="CFF0FC"/>
            </w:tcBorders>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left w:val="single" w:sz="8" w:color="CFF0FC"/>
              <w:right w:val="single" w:sz="8" w:color="CFF0FC"/>
            </w:tcBorders>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841</w:t>
            </w:r>
          </w:p>
        </w:tc>
        <w:tc>
          <w:tcPr>
            <w:tcW w:w="240" w:type="dxa"/>
            <w:vAlign w:val="bottom"/>
            <w:tcBorders>
              <w:left w:val="single" w:sz="8" w:color="CFF0FC"/>
            </w:tcBorders>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40" w:type="dxa"/>
            <w:vAlign w:val="bottom"/>
            <w:tcBorders>
              <w:right w:val="single" w:sz="8" w:color="CFF0FC"/>
            </w:tcBorders>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841</w:t>
            </w:r>
          </w:p>
        </w:tc>
        <w:tc>
          <w:tcPr>
            <w:tcW w:w="100" w:type="dxa"/>
            <w:vAlign w:val="bottom"/>
            <w:tcBorders>
              <w:left w:val="single" w:sz="8" w:color="CFF0FC"/>
            </w:tcBorders>
            <w:shd w:val="clear" w:color="auto" w:fill="CFF0FC"/>
          </w:tcPr>
          <w:p>
            <w:pPr>
              <w:spacing w:after="0"/>
              <w:rPr>
                <w:sz w:val="20"/>
                <w:szCs w:val="20"/>
                <w:color w:val="auto"/>
              </w:rPr>
            </w:pPr>
          </w:p>
        </w:tc>
      </w:tr>
      <w:tr>
        <w:trPr>
          <w:trHeight w:val="220"/>
        </w:trPr>
        <w:tc>
          <w:tcPr>
            <w:tcW w:w="4500" w:type="dxa"/>
            <w:vAlign w:val="bottom"/>
          </w:tcPr>
          <w:p>
            <w:pPr>
              <w:ind w:left="20"/>
              <w:spacing w:after="0"/>
              <w:rPr>
                <w:sz w:val="20"/>
                <w:szCs w:val="20"/>
                <w:color w:val="auto"/>
              </w:rPr>
            </w:pPr>
            <w:r>
              <w:rPr>
                <w:rFonts w:ascii="Arial" w:cs="Arial" w:eastAsia="Arial" w:hAnsi="Arial"/>
                <w:sz w:val="16"/>
                <w:szCs w:val="16"/>
                <w:color w:val="auto"/>
              </w:rPr>
              <w:t>Net loss</w:t>
            </w: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(2,433 )</w:t>
            </w:r>
          </w:p>
        </w:tc>
        <w:tc>
          <w:tcPr>
            <w:tcW w:w="140" w:type="dxa"/>
            <w:vAlign w:val="bottom"/>
          </w:tcPr>
          <w:p>
            <w:pPr>
              <w:spacing w:after="0"/>
              <w:rPr>
                <w:sz w:val="19"/>
                <w:szCs w:val="19"/>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6"/>
                <w:szCs w:val="16"/>
                <w:color w:val="auto"/>
              </w:rPr>
              <w:t>(2,433 )</w:t>
            </w:r>
          </w:p>
        </w:tc>
      </w:tr>
      <w:tr>
        <w:trPr>
          <w:trHeight w:val="23"/>
        </w:trPr>
        <w:tc>
          <w:tcPr>
            <w:tcW w:w="4500" w:type="dxa"/>
            <w:vAlign w:val="bottom"/>
            <w:tcBorders>
              <w:right w:val="single" w:sz="8" w:color="auto"/>
            </w:tcBorders>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6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gridSpan w:val="2"/>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43"/>
        </w:trPr>
        <w:tc>
          <w:tcPr>
            <w:tcW w:w="450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Balance at September 30, 2020</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48,227,442</w:t>
            </w:r>
          </w:p>
        </w:tc>
        <w:tc>
          <w:tcPr>
            <w:tcW w:w="280" w:type="dxa"/>
            <w:vAlign w:val="bottom"/>
            <w:tcBorders>
              <w:left w:val="single" w:sz="8" w:color="CFF0FC"/>
            </w:tcBorders>
            <w:shd w:val="clear" w:color="auto" w:fill="CFF0FC"/>
          </w:tcPr>
          <w:p>
            <w:pPr>
              <w:spacing w:after="0"/>
              <w:rPr>
                <w:sz w:val="21"/>
                <w:szCs w:val="21"/>
                <w:color w:val="auto"/>
              </w:rPr>
            </w:pPr>
          </w:p>
        </w:tc>
        <w:tc>
          <w:tcPr>
            <w:tcW w:w="800" w:type="dxa"/>
            <w:vAlign w:val="bottom"/>
            <w:shd w:val="clear" w:color="auto" w:fill="CFF0FC"/>
          </w:tcPr>
          <w:p>
            <w:pPr>
              <w:jc w:val="right"/>
              <w:ind w:right="645"/>
              <w:spacing w:after="0"/>
              <w:rPr>
                <w:sz w:val="20"/>
                <w:szCs w:val="20"/>
                <w:color w:val="auto"/>
              </w:rPr>
            </w:pPr>
            <w:r>
              <w:rPr>
                <w:rFonts w:ascii="Arial" w:cs="Arial" w:eastAsia="Arial" w:hAnsi="Arial"/>
                <w:sz w:val="15"/>
                <w:szCs w:val="15"/>
                <w:color w:val="auto"/>
                <w:w w:val="71"/>
              </w:rPr>
              <w:t>$</w:t>
            </w:r>
          </w:p>
        </w:tc>
        <w:tc>
          <w:tcPr>
            <w:tcW w:w="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w:t>
            </w:r>
          </w:p>
        </w:tc>
        <w:tc>
          <w:tcPr>
            <w:tcW w:w="260" w:type="dxa"/>
            <w:vAlign w:val="bottom"/>
            <w:tcBorders>
              <w:left w:val="single" w:sz="8" w:color="CFF0FC"/>
              <w:right w:val="single" w:sz="8" w:color="CFF0FC"/>
            </w:tcBorders>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256,831</w:t>
            </w:r>
          </w:p>
        </w:tc>
        <w:tc>
          <w:tcPr>
            <w:tcW w:w="240" w:type="dxa"/>
            <w:vAlign w:val="bottom"/>
            <w:tcBorders>
              <w:left w:val="single" w:sz="8" w:color="CFF0FC"/>
            </w:tcBorders>
            <w:shd w:val="clear" w:color="auto" w:fill="CFF0FC"/>
          </w:tcPr>
          <w:p>
            <w:pPr>
              <w:spacing w:after="0"/>
              <w:rPr>
                <w:sz w:val="21"/>
                <w:szCs w:val="21"/>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(248,755 )</w:t>
            </w:r>
          </w:p>
        </w:tc>
        <w:tc>
          <w:tcPr>
            <w:tcW w:w="140" w:type="dxa"/>
            <w:vAlign w:val="bottom"/>
            <w:shd w:val="clear" w:color="auto" w:fill="CFF0FC"/>
          </w:tcPr>
          <w:p>
            <w:pPr>
              <w:jc w:val="right"/>
              <w:ind w:right="14"/>
              <w:spacing w:after="0"/>
              <w:rPr>
                <w:sz w:val="20"/>
                <w:szCs w:val="20"/>
                <w:color w:val="auto"/>
              </w:rPr>
            </w:pPr>
            <w:r>
              <w:rPr>
                <w:rFonts w:ascii="Arial" w:cs="Arial" w:eastAsia="Arial" w:hAnsi="Arial"/>
                <w:sz w:val="10"/>
                <w:szCs w:val="10"/>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8,124</w:t>
            </w:r>
          </w:p>
        </w:tc>
        <w:tc>
          <w:tcPr>
            <w:tcW w:w="100" w:type="dxa"/>
            <w:vAlign w:val="bottom"/>
            <w:tcBorders>
              <w:left w:val="single" w:sz="8" w:color="CFF0FC"/>
            </w:tcBorders>
            <w:shd w:val="clear" w:color="auto" w:fill="CFF0FC"/>
          </w:tcPr>
          <w:p>
            <w:pPr>
              <w:spacing w:after="0"/>
              <w:rPr>
                <w:sz w:val="21"/>
                <w:szCs w:val="21"/>
                <w:color w:val="auto"/>
              </w:rPr>
            </w:pPr>
          </w:p>
        </w:tc>
      </w:tr>
      <w:tr>
        <w:trPr>
          <w:trHeight w:val="20"/>
        </w:trPr>
        <w:tc>
          <w:tcPr>
            <w:tcW w:w="450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left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left w:val="single" w:sz="8" w:color="CFF0FC"/>
              <w:right w:val="single" w:sz="8" w:color="auto"/>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left w:val="single" w:sz="8" w:color="CFF0FC"/>
            </w:tcBorders>
            <w:shd w:val="clear" w:color="auto" w:fill="CFF0FC"/>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left w:val="single" w:sz="8" w:color="CFF0FC"/>
              <w:right w:val="single" w:sz="8" w:color="auto"/>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left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3528060</wp:posOffset>
            </wp:positionH>
            <wp:positionV relativeFrom="paragraph">
              <wp:posOffset>-4034155</wp:posOffset>
            </wp:positionV>
            <wp:extent cx="145415" cy="57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45415" cy="571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-4034155</wp:posOffset>
            </wp:positionV>
            <wp:extent cx="145415" cy="57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45415" cy="571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-4034155</wp:posOffset>
            </wp:positionV>
            <wp:extent cx="146050" cy="57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-4034155</wp:posOffset>
            </wp:positionV>
            <wp:extent cx="137160" cy="57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-4034155</wp:posOffset>
            </wp:positionV>
            <wp:extent cx="51435" cy="57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-2473960</wp:posOffset>
            </wp:positionV>
            <wp:extent cx="171450" cy="57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-2473960</wp:posOffset>
            </wp:positionV>
            <wp:extent cx="163195" cy="57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-2473960</wp:posOffset>
            </wp:positionV>
            <wp:extent cx="154305" cy="57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-2473960</wp:posOffset>
            </wp:positionV>
            <wp:extent cx="154305" cy="57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-2473960</wp:posOffset>
            </wp:positionV>
            <wp:extent cx="68580" cy="57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-25400</wp:posOffset>
            </wp:positionV>
            <wp:extent cx="17145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-8255</wp:posOffset>
            </wp:positionV>
            <wp:extent cx="17145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-25400</wp:posOffset>
            </wp:positionV>
            <wp:extent cx="16319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-8255</wp:posOffset>
            </wp:positionV>
            <wp:extent cx="16319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63195"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-25400</wp:posOffset>
            </wp:positionV>
            <wp:extent cx="15430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-8255</wp:posOffset>
            </wp:positionV>
            <wp:extent cx="15430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-25400</wp:posOffset>
            </wp:positionV>
            <wp:extent cx="15430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-8255</wp:posOffset>
            </wp:positionV>
            <wp:extent cx="15430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808"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CLEARSIDE BIOMEDICAL,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Cash Flows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56" w:lineRule="exact"/>
        <w:rPr>
          <w:sz w:val="20"/>
          <w:szCs w:val="20"/>
          <w:color w:val="auto"/>
        </w:rPr>
      </w:pPr>
    </w:p>
    <w:p>
      <w:pPr>
        <w:jc w:val="center"/>
        <w:ind w:left="7520"/>
        <w:spacing w:after="0"/>
        <w:rPr>
          <w:sz w:val="20"/>
          <w:szCs w:val="20"/>
          <w:color w:val="auto"/>
        </w:rPr>
      </w:pPr>
      <w:r>
        <w:rPr>
          <w:rFonts w:ascii="Arial" w:cs="Arial" w:eastAsia="Arial" w:hAnsi="Arial"/>
          <w:sz w:val="14"/>
          <w:szCs w:val="14"/>
          <w:b w:val="1"/>
          <w:bCs w:val="1"/>
          <w:color w:val="auto"/>
        </w:rPr>
        <w:t>Nine Months Ended</w:t>
      </w:r>
    </w:p>
    <w:p>
      <w:pPr>
        <w:spacing w:after="0" w:line="25" w:lineRule="exact"/>
        <w:rPr>
          <w:sz w:val="20"/>
          <w:szCs w:val="20"/>
          <w:color w:val="auto"/>
        </w:rPr>
      </w:pPr>
    </w:p>
    <w:p>
      <w:pPr>
        <w:jc w:val="center"/>
        <w:ind w:left="752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4857115</wp:posOffset>
            </wp:positionH>
            <wp:positionV relativeFrom="paragraph">
              <wp:posOffset>17145</wp:posOffset>
            </wp:positionV>
            <wp:extent cx="221170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211705" cy="8255"/>
                    </a:xfrm>
                    <a:prstGeom prst="rect">
                      <a:avLst/>
                    </a:prstGeom>
                    <a:noFill/>
                  </pic:spPr>
                </pic:pic>
              </a:graphicData>
            </a:graphic>
          </wp:anchor>
        </w:drawing>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40" w:type="dxa"/>
            <w:vAlign w:val="bottom"/>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2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76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1000" w:type="dxa"/>
            <w:vAlign w:val="bottom"/>
            <w:shd w:val="clear" w:color="auto" w:fill="CFF0FC"/>
          </w:tcPr>
          <w:p>
            <w:pPr>
              <w:spacing w:after="0"/>
              <w:rPr>
                <w:sz w:val="22"/>
                <w:szCs w:val="22"/>
                <w:color w:val="auto"/>
              </w:rPr>
            </w:pPr>
          </w:p>
        </w:tc>
        <w:tc>
          <w:tcPr>
            <w:tcW w:w="62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500" w:type="dxa"/>
            <w:vAlign w:val="bottom"/>
            <w:shd w:val="clear" w:color="auto" w:fill="CFF0FC"/>
          </w:tcPr>
          <w:p>
            <w:pPr>
              <w:spacing w:after="0"/>
              <w:rPr>
                <w:sz w:val="22"/>
                <w:szCs w:val="22"/>
                <w:color w:val="auto"/>
              </w:rPr>
            </w:pPr>
          </w:p>
        </w:tc>
        <w:tc>
          <w:tcPr>
            <w:tcW w:w="110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640" w:type="dxa"/>
            <w:vAlign w:val="bottom"/>
          </w:tcPr>
          <w:p>
            <w:pPr>
              <w:ind w:left="20"/>
              <w:spacing w:after="0"/>
              <w:rPr>
                <w:sz w:val="20"/>
                <w:szCs w:val="20"/>
                <w:color w:val="auto"/>
              </w:rPr>
            </w:pPr>
            <w:r>
              <w:rPr>
                <w:rFonts w:ascii="Arial" w:cs="Arial" w:eastAsia="Arial" w:hAnsi="Arial"/>
                <w:sz w:val="18"/>
                <w:szCs w:val="18"/>
                <w:color w:val="auto"/>
              </w:rPr>
              <w:t>Net loss</w:t>
            </w:r>
          </w:p>
        </w:tc>
        <w:tc>
          <w:tcPr>
            <w:tcW w:w="1000" w:type="dxa"/>
            <w:vAlign w:val="bottom"/>
          </w:tcPr>
          <w:p>
            <w:pPr>
              <w:jc w:val="right"/>
              <w:ind w:right="795"/>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w w:val="91"/>
              </w:rPr>
              <w:t>(18,333 )</w:t>
            </w: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(11,098 )</w:t>
            </w:r>
          </w:p>
        </w:tc>
        <w:tc>
          <w:tcPr>
            <w:tcW w:w="0" w:type="dxa"/>
            <w:vAlign w:val="bottom"/>
          </w:tcPr>
          <w:p>
            <w:pPr>
              <w:spacing w:after="0"/>
              <w:rPr>
                <w:sz w:val="1"/>
                <w:szCs w:val="1"/>
                <w:color w:val="auto"/>
              </w:rPr>
            </w:pPr>
          </w:p>
        </w:tc>
      </w:tr>
      <w:tr>
        <w:trPr>
          <w:trHeight w:val="263"/>
        </w:trPr>
        <w:tc>
          <w:tcPr>
            <w:tcW w:w="7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000" w:type="dxa"/>
            <w:vAlign w:val="bottom"/>
            <w:shd w:val="clear" w:color="auto" w:fill="CFF0FC"/>
          </w:tcPr>
          <w:p>
            <w:pPr>
              <w:spacing w:after="0"/>
              <w:rPr>
                <w:sz w:val="22"/>
                <w:szCs w:val="22"/>
                <w:color w:val="auto"/>
              </w:rPr>
            </w:pPr>
          </w:p>
        </w:tc>
        <w:tc>
          <w:tcPr>
            <w:tcW w:w="62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500" w:type="dxa"/>
            <w:vAlign w:val="bottom"/>
            <w:shd w:val="clear" w:color="auto" w:fill="CFF0FC"/>
          </w:tcPr>
          <w:p>
            <w:pPr>
              <w:spacing w:after="0"/>
              <w:rPr>
                <w:sz w:val="22"/>
                <w:szCs w:val="22"/>
                <w:color w:val="auto"/>
              </w:rPr>
            </w:pPr>
          </w:p>
        </w:tc>
        <w:tc>
          <w:tcPr>
            <w:tcW w:w="110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640" w:type="dxa"/>
            <w:vAlign w:val="bottom"/>
          </w:tcPr>
          <w:p>
            <w:pPr>
              <w:ind w:left="200"/>
              <w:spacing w:after="0"/>
              <w:rPr>
                <w:sz w:val="20"/>
                <w:szCs w:val="20"/>
                <w:color w:val="auto"/>
              </w:rPr>
            </w:pPr>
            <w:r>
              <w:rPr>
                <w:rFonts w:ascii="Arial" w:cs="Arial" w:eastAsia="Arial" w:hAnsi="Arial"/>
                <w:sz w:val="18"/>
                <w:szCs w:val="18"/>
                <w:color w:val="auto"/>
              </w:rPr>
              <w:t>Depreciation</w:t>
            </w:r>
          </w:p>
        </w:tc>
        <w:tc>
          <w:tcPr>
            <w:tcW w:w="10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133</w:t>
            </w:r>
          </w:p>
        </w:tc>
        <w:tc>
          <w:tcPr>
            <w:tcW w:w="2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76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Share-based compensation expense</w:t>
            </w:r>
          </w:p>
        </w:tc>
        <w:tc>
          <w:tcPr>
            <w:tcW w:w="1000" w:type="dxa"/>
            <w:vAlign w:val="bottom"/>
            <w:shd w:val="clear" w:color="auto" w:fill="CFF0FC"/>
          </w:tcPr>
          <w:p>
            <w:pPr>
              <w:spacing w:after="0"/>
              <w:rPr>
                <w:sz w:val="22"/>
                <w:szCs w:val="2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3,801</w:t>
            </w:r>
          </w:p>
        </w:tc>
        <w:tc>
          <w:tcPr>
            <w:tcW w:w="280" w:type="dxa"/>
            <w:vAlign w:val="bottom"/>
            <w:shd w:val="clear" w:color="auto" w:fill="CFF0FC"/>
          </w:tcPr>
          <w:p>
            <w:pPr>
              <w:spacing w:after="0"/>
              <w:rPr>
                <w:sz w:val="22"/>
                <w:szCs w:val="22"/>
                <w:color w:val="auto"/>
              </w:rPr>
            </w:pPr>
          </w:p>
        </w:tc>
        <w:tc>
          <w:tcPr>
            <w:tcW w:w="500" w:type="dxa"/>
            <w:vAlign w:val="bottom"/>
            <w:shd w:val="clear" w:color="auto" w:fill="CFF0FC"/>
          </w:tcPr>
          <w:p>
            <w:pPr>
              <w:spacing w:after="0"/>
              <w:rPr>
                <w:sz w:val="22"/>
                <w:szCs w:val="22"/>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2,733</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640" w:type="dxa"/>
            <w:vAlign w:val="bottom"/>
          </w:tcPr>
          <w:p>
            <w:pPr>
              <w:ind w:left="200"/>
              <w:spacing w:after="0"/>
              <w:rPr>
                <w:sz w:val="20"/>
                <w:szCs w:val="20"/>
                <w:color w:val="auto"/>
              </w:rPr>
            </w:pPr>
            <w:r>
              <w:rPr>
                <w:rFonts w:ascii="Arial" w:cs="Arial" w:eastAsia="Arial" w:hAnsi="Arial"/>
                <w:sz w:val="18"/>
                <w:szCs w:val="18"/>
                <w:color w:val="auto"/>
              </w:rPr>
              <w:t>Gain on extinguishment of debt</w:t>
            </w:r>
          </w:p>
        </w:tc>
        <w:tc>
          <w:tcPr>
            <w:tcW w:w="100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(998 )</w:t>
            </w:r>
          </w:p>
        </w:tc>
        <w:tc>
          <w:tcPr>
            <w:tcW w:w="500" w:type="dxa"/>
            <w:vAlign w:val="bottom"/>
          </w:tcPr>
          <w:p>
            <w:pPr>
              <w:spacing w:after="0"/>
              <w:rPr>
                <w:sz w:val="21"/>
                <w:szCs w:val="21"/>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76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Non-cash interest expense</w:t>
            </w:r>
          </w:p>
        </w:tc>
        <w:tc>
          <w:tcPr>
            <w:tcW w:w="1000" w:type="dxa"/>
            <w:vAlign w:val="bottom"/>
            <w:shd w:val="clear" w:color="auto" w:fill="CFF0FC"/>
          </w:tcPr>
          <w:p>
            <w:pPr>
              <w:spacing w:after="0"/>
              <w:rPr>
                <w:sz w:val="22"/>
                <w:szCs w:val="22"/>
                <w:color w:val="auto"/>
              </w:rPr>
            </w:pPr>
          </w:p>
        </w:tc>
        <w:tc>
          <w:tcPr>
            <w:tcW w:w="9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FF0FC"/>
          </w:tcPr>
          <w:p>
            <w:pPr>
              <w:spacing w:after="0"/>
              <w:rPr>
                <w:sz w:val="22"/>
                <w:szCs w:val="22"/>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640" w:type="dxa"/>
            <w:vAlign w:val="bottom"/>
          </w:tcPr>
          <w:p>
            <w:pPr>
              <w:ind w:left="200"/>
              <w:spacing w:after="0"/>
              <w:rPr>
                <w:sz w:val="20"/>
                <w:szCs w:val="20"/>
                <w:color w:val="auto"/>
              </w:rPr>
            </w:pPr>
            <w:r>
              <w:rPr>
                <w:rFonts w:ascii="Arial" w:cs="Arial" w:eastAsia="Arial" w:hAnsi="Arial"/>
                <w:sz w:val="18"/>
                <w:szCs w:val="18"/>
                <w:color w:val="auto"/>
              </w:rPr>
              <w:t>Accretion of debt discount</w:t>
            </w:r>
          </w:p>
        </w:tc>
        <w:tc>
          <w:tcPr>
            <w:tcW w:w="1000" w:type="dxa"/>
            <w:vAlign w:val="bottom"/>
          </w:tcPr>
          <w:p>
            <w:pPr>
              <w:spacing w:after="0"/>
              <w:rPr>
                <w:sz w:val="21"/>
                <w:szCs w:val="21"/>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76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Changes in operating assets and liabilities:</w:t>
            </w:r>
          </w:p>
        </w:tc>
        <w:tc>
          <w:tcPr>
            <w:tcW w:w="1000" w:type="dxa"/>
            <w:vAlign w:val="bottom"/>
            <w:shd w:val="clear" w:color="auto" w:fill="CFF0FC"/>
          </w:tcPr>
          <w:p>
            <w:pPr>
              <w:spacing w:after="0"/>
              <w:rPr>
                <w:sz w:val="22"/>
                <w:szCs w:val="22"/>
                <w:color w:val="auto"/>
              </w:rPr>
            </w:pPr>
          </w:p>
        </w:tc>
        <w:tc>
          <w:tcPr>
            <w:tcW w:w="62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500" w:type="dxa"/>
            <w:vAlign w:val="bottom"/>
            <w:shd w:val="clear" w:color="auto" w:fill="CFF0FC"/>
          </w:tcPr>
          <w:p>
            <w:pPr>
              <w:spacing w:after="0"/>
              <w:rPr>
                <w:sz w:val="22"/>
                <w:szCs w:val="22"/>
                <w:color w:val="auto"/>
              </w:rPr>
            </w:pPr>
          </w:p>
        </w:tc>
        <w:tc>
          <w:tcPr>
            <w:tcW w:w="110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640" w:type="dxa"/>
            <w:vAlign w:val="bottom"/>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100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(475 )</w:t>
            </w:r>
          </w:p>
        </w:tc>
        <w:tc>
          <w:tcPr>
            <w:tcW w:w="5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1,441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76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Other assets and liabilities</w:t>
            </w:r>
          </w:p>
        </w:tc>
        <w:tc>
          <w:tcPr>
            <w:tcW w:w="1000" w:type="dxa"/>
            <w:vAlign w:val="bottom"/>
            <w:shd w:val="clear" w:color="auto" w:fill="CFF0FC"/>
          </w:tcPr>
          <w:p>
            <w:pPr>
              <w:spacing w:after="0"/>
              <w:rPr>
                <w:sz w:val="22"/>
                <w:szCs w:val="22"/>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(115 )</w:t>
            </w:r>
          </w:p>
        </w:tc>
        <w:tc>
          <w:tcPr>
            <w:tcW w:w="500" w:type="dxa"/>
            <w:vAlign w:val="bottom"/>
            <w:shd w:val="clear" w:color="auto" w:fill="CFF0FC"/>
          </w:tcPr>
          <w:p>
            <w:pPr>
              <w:spacing w:after="0"/>
              <w:rPr>
                <w:sz w:val="22"/>
                <w:szCs w:val="22"/>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(105 )</w:t>
            </w:r>
          </w:p>
        </w:tc>
        <w:tc>
          <w:tcPr>
            <w:tcW w:w="0" w:type="dxa"/>
            <w:vAlign w:val="bottom"/>
          </w:tcPr>
          <w:p>
            <w:pPr>
              <w:spacing w:after="0"/>
              <w:rPr>
                <w:sz w:val="1"/>
                <w:szCs w:val="1"/>
                <w:color w:val="auto"/>
              </w:rPr>
            </w:pPr>
          </w:p>
        </w:tc>
      </w:tr>
      <w:tr>
        <w:trPr>
          <w:trHeight w:val="250"/>
        </w:trPr>
        <w:tc>
          <w:tcPr>
            <w:tcW w:w="7640" w:type="dxa"/>
            <w:vAlign w:val="bottom"/>
          </w:tcPr>
          <w:p>
            <w:pPr>
              <w:ind w:left="380"/>
              <w:spacing w:after="0"/>
              <w:rPr>
                <w:sz w:val="20"/>
                <w:szCs w:val="20"/>
                <w:color w:val="auto"/>
              </w:rPr>
            </w:pPr>
            <w:r>
              <w:rPr>
                <w:rFonts w:ascii="Arial" w:cs="Arial" w:eastAsia="Arial" w:hAnsi="Arial"/>
                <w:sz w:val="18"/>
                <w:szCs w:val="18"/>
                <w:color w:val="auto"/>
              </w:rPr>
              <w:t>Accounts payable and accrued liabilities</w:t>
            </w:r>
          </w:p>
        </w:tc>
        <w:tc>
          <w:tcPr>
            <w:tcW w:w="10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200</w:t>
            </w:r>
          </w:p>
        </w:tc>
        <w:tc>
          <w:tcPr>
            <w:tcW w:w="2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(1,979 )</w:t>
            </w:r>
          </w:p>
        </w:tc>
        <w:tc>
          <w:tcPr>
            <w:tcW w:w="0" w:type="dxa"/>
            <w:vAlign w:val="bottom"/>
          </w:tcPr>
          <w:p>
            <w:pPr>
              <w:spacing w:after="0"/>
              <w:rPr>
                <w:sz w:val="1"/>
                <w:szCs w:val="1"/>
                <w:color w:val="auto"/>
              </w:rPr>
            </w:pPr>
          </w:p>
        </w:tc>
      </w:tr>
      <w:tr>
        <w:trPr>
          <w:trHeight w:val="20"/>
        </w:trPr>
        <w:tc>
          <w:tcPr>
            <w:tcW w:w="76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7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cash used in operating activities</w:t>
            </w:r>
          </w:p>
        </w:tc>
        <w:tc>
          <w:tcPr>
            <w:tcW w:w="1000" w:type="dxa"/>
            <w:vAlign w:val="bottom"/>
            <w:shd w:val="clear" w:color="auto" w:fill="CFF0FC"/>
          </w:tcPr>
          <w:p>
            <w:pPr>
              <w:spacing w:after="0"/>
              <w:rPr>
                <w:sz w:val="22"/>
                <w:szCs w:val="22"/>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w w:val="91"/>
              </w:rPr>
              <w:t>(15,787 )</w:t>
            </w:r>
          </w:p>
        </w:tc>
        <w:tc>
          <w:tcPr>
            <w:tcW w:w="500" w:type="dxa"/>
            <w:vAlign w:val="bottom"/>
            <w:shd w:val="clear" w:color="auto" w:fill="CFF0FC"/>
          </w:tcPr>
          <w:p>
            <w:pPr>
              <w:spacing w:after="0"/>
              <w:rPr>
                <w:sz w:val="22"/>
                <w:szCs w:val="22"/>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(8,684 )</w:t>
            </w:r>
          </w:p>
        </w:tc>
        <w:tc>
          <w:tcPr>
            <w:tcW w:w="0" w:type="dxa"/>
            <w:vAlign w:val="bottom"/>
          </w:tcPr>
          <w:p>
            <w:pPr>
              <w:spacing w:after="0"/>
              <w:rPr>
                <w:sz w:val="1"/>
                <w:szCs w:val="1"/>
                <w:color w:val="auto"/>
              </w:rPr>
            </w:pPr>
          </w:p>
        </w:tc>
      </w:tr>
      <w:tr>
        <w:trPr>
          <w:trHeight w:val="250"/>
        </w:trPr>
        <w:tc>
          <w:tcPr>
            <w:tcW w:w="7640" w:type="dxa"/>
            <w:vAlign w:val="bottom"/>
          </w:tcPr>
          <w:p>
            <w:pPr>
              <w:ind w:left="20"/>
              <w:spacing w:after="0"/>
              <w:rPr>
                <w:sz w:val="20"/>
                <w:szCs w:val="20"/>
                <w:color w:val="auto"/>
              </w:rPr>
            </w:pPr>
            <w:r>
              <w:rPr>
                <w:rFonts w:ascii="Arial" w:cs="Arial" w:eastAsia="Arial" w:hAnsi="Arial"/>
                <w:sz w:val="18"/>
                <w:szCs w:val="18"/>
                <w:b w:val="1"/>
                <w:bCs w:val="1"/>
                <w:color w:val="auto"/>
              </w:rPr>
              <w:t>Investing activities</w:t>
            </w:r>
          </w:p>
        </w:tc>
        <w:tc>
          <w:tcPr>
            <w:tcW w:w="10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7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Acquisition of property and equipment</w:t>
            </w:r>
          </w:p>
        </w:tc>
        <w:tc>
          <w:tcPr>
            <w:tcW w:w="1000" w:type="dxa"/>
            <w:vAlign w:val="bottom"/>
            <w:shd w:val="clear" w:color="auto" w:fill="CFF0FC"/>
          </w:tcPr>
          <w:p>
            <w:pPr>
              <w:spacing w:after="0"/>
              <w:rPr>
                <w:sz w:val="22"/>
                <w:szCs w:val="2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2"/>
                <w:szCs w:val="22"/>
                <w:color w:val="auto"/>
              </w:rPr>
            </w:pPr>
          </w:p>
        </w:tc>
        <w:tc>
          <w:tcPr>
            <w:tcW w:w="500" w:type="dxa"/>
            <w:vAlign w:val="bottom"/>
            <w:shd w:val="clear" w:color="auto" w:fill="CFF0FC"/>
          </w:tcPr>
          <w:p>
            <w:pPr>
              <w:spacing w:after="0"/>
              <w:rPr>
                <w:sz w:val="22"/>
                <w:szCs w:val="22"/>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(55 )</w:t>
            </w:r>
          </w:p>
        </w:tc>
        <w:tc>
          <w:tcPr>
            <w:tcW w:w="0" w:type="dxa"/>
            <w:vAlign w:val="bottom"/>
          </w:tcPr>
          <w:p>
            <w:pPr>
              <w:spacing w:after="0"/>
              <w:rPr>
                <w:sz w:val="1"/>
                <w:szCs w:val="1"/>
                <w:color w:val="auto"/>
              </w:rPr>
            </w:pPr>
          </w:p>
        </w:tc>
      </w:tr>
      <w:tr>
        <w:trPr>
          <w:trHeight w:val="20"/>
        </w:trPr>
        <w:tc>
          <w:tcPr>
            <w:tcW w:w="764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640" w:type="dxa"/>
            <w:vAlign w:val="bottom"/>
          </w:tcPr>
          <w:p>
            <w:pPr>
              <w:ind w:left="20"/>
              <w:spacing w:after="0"/>
              <w:rPr>
                <w:sz w:val="20"/>
                <w:szCs w:val="20"/>
                <w:color w:val="auto"/>
              </w:rPr>
            </w:pPr>
            <w:r>
              <w:rPr>
                <w:rFonts w:ascii="Arial" w:cs="Arial" w:eastAsia="Arial" w:hAnsi="Arial"/>
                <w:sz w:val="18"/>
                <w:szCs w:val="18"/>
                <w:color w:val="auto"/>
              </w:rPr>
              <w:t>Net cash provided by (used in) investing activities</w:t>
            </w:r>
          </w:p>
        </w:tc>
        <w:tc>
          <w:tcPr>
            <w:tcW w:w="10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(55 )</w:t>
            </w:r>
          </w:p>
        </w:tc>
        <w:tc>
          <w:tcPr>
            <w:tcW w:w="0" w:type="dxa"/>
            <w:vAlign w:val="bottom"/>
          </w:tcPr>
          <w:p>
            <w:pPr>
              <w:spacing w:after="0"/>
              <w:rPr>
                <w:sz w:val="1"/>
                <w:szCs w:val="1"/>
                <w:color w:val="auto"/>
              </w:rPr>
            </w:pPr>
          </w:p>
        </w:tc>
      </w:tr>
      <w:tr>
        <w:trPr>
          <w:trHeight w:val="263"/>
        </w:trPr>
        <w:tc>
          <w:tcPr>
            <w:tcW w:w="76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1000" w:type="dxa"/>
            <w:vAlign w:val="bottom"/>
            <w:shd w:val="clear" w:color="auto" w:fill="CFF0FC"/>
          </w:tcPr>
          <w:p>
            <w:pPr>
              <w:spacing w:after="0"/>
              <w:rPr>
                <w:sz w:val="22"/>
                <w:szCs w:val="22"/>
                <w:color w:val="auto"/>
              </w:rPr>
            </w:pPr>
          </w:p>
        </w:tc>
        <w:tc>
          <w:tcPr>
            <w:tcW w:w="62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500" w:type="dxa"/>
            <w:vAlign w:val="bottom"/>
            <w:shd w:val="clear" w:color="auto" w:fill="CFF0FC"/>
          </w:tcPr>
          <w:p>
            <w:pPr>
              <w:spacing w:after="0"/>
              <w:rPr>
                <w:sz w:val="22"/>
                <w:szCs w:val="22"/>
                <w:color w:val="auto"/>
              </w:rPr>
            </w:pPr>
          </w:p>
        </w:tc>
        <w:tc>
          <w:tcPr>
            <w:tcW w:w="110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640" w:type="dxa"/>
            <w:vAlign w:val="bottom"/>
          </w:tcPr>
          <w:p>
            <w:pPr>
              <w:ind w:left="20"/>
              <w:spacing w:after="0"/>
              <w:rPr>
                <w:sz w:val="20"/>
                <w:szCs w:val="20"/>
                <w:color w:val="auto"/>
              </w:rPr>
            </w:pPr>
            <w:r>
              <w:rPr>
                <w:rFonts w:ascii="Arial" w:cs="Arial" w:eastAsia="Arial" w:hAnsi="Arial"/>
                <w:sz w:val="18"/>
                <w:szCs w:val="18"/>
                <w:color w:val="auto"/>
              </w:rPr>
              <w:t>Proceeds from registered direct offering, net of issuance costs</w:t>
            </w:r>
          </w:p>
        </w:tc>
        <w:tc>
          <w:tcPr>
            <w:tcW w:w="10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11,078</w:t>
            </w:r>
          </w:p>
        </w:tc>
        <w:tc>
          <w:tcPr>
            <w:tcW w:w="2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7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Proceeds from at-the-market sales agreement, net of issuance costs</w:t>
            </w:r>
          </w:p>
        </w:tc>
        <w:tc>
          <w:tcPr>
            <w:tcW w:w="1000" w:type="dxa"/>
            <w:vAlign w:val="bottom"/>
            <w:shd w:val="clear" w:color="auto" w:fill="CFF0FC"/>
          </w:tcPr>
          <w:p>
            <w:pPr>
              <w:spacing w:after="0"/>
              <w:rPr>
                <w:sz w:val="22"/>
                <w:szCs w:val="2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12,208</w:t>
            </w:r>
          </w:p>
        </w:tc>
        <w:tc>
          <w:tcPr>
            <w:tcW w:w="280" w:type="dxa"/>
            <w:vAlign w:val="bottom"/>
            <w:shd w:val="clear" w:color="auto" w:fill="CFF0FC"/>
          </w:tcPr>
          <w:p>
            <w:pPr>
              <w:spacing w:after="0"/>
              <w:rPr>
                <w:sz w:val="22"/>
                <w:szCs w:val="22"/>
                <w:color w:val="auto"/>
              </w:rPr>
            </w:pPr>
          </w:p>
        </w:tc>
        <w:tc>
          <w:tcPr>
            <w:tcW w:w="500" w:type="dxa"/>
            <w:vAlign w:val="bottom"/>
            <w:shd w:val="clear" w:color="auto" w:fill="CFF0FC"/>
          </w:tcPr>
          <w:p>
            <w:pPr>
              <w:spacing w:after="0"/>
              <w:rPr>
                <w:sz w:val="22"/>
                <w:szCs w:val="22"/>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5,084</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640" w:type="dxa"/>
            <w:vAlign w:val="bottom"/>
          </w:tcPr>
          <w:p>
            <w:pPr>
              <w:ind w:left="20"/>
              <w:spacing w:after="0"/>
              <w:rPr>
                <w:sz w:val="20"/>
                <w:szCs w:val="20"/>
                <w:color w:val="auto"/>
              </w:rPr>
            </w:pPr>
            <w:r>
              <w:rPr>
                <w:rFonts w:ascii="Arial" w:cs="Arial" w:eastAsia="Arial" w:hAnsi="Arial"/>
                <w:sz w:val="18"/>
                <w:szCs w:val="18"/>
                <w:color w:val="auto"/>
              </w:rPr>
              <w:t>Proceeds from exercise of stock options</w:t>
            </w:r>
          </w:p>
        </w:tc>
        <w:tc>
          <w:tcPr>
            <w:tcW w:w="10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220</w:t>
            </w:r>
          </w:p>
        </w:tc>
        <w:tc>
          <w:tcPr>
            <w:tcW w:w="2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7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Proceeds from shares issued under employee stock purchase plan</w:t>
            </w:r>
          </w:p>
        </w:tc>
        <w:tc>
          <w:tcPr>
            <w:tcW w:w="1000" w:type="dxa"/>
            <w:vAlign w:val="bottom"/>
            <w:shd w:val="clear" w:color="auto" w:fill="CFF0FC"/>
          </w:tcPr>
          <w:p>
            <w:pPr>
              <w:spacing w:after="0"/>
              <w:rPr>
                <w:sz w:val="22"/>
                <w:szCs w:val="2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w:t>
            </w:r>
          </w:p>
        </w:tc>
        <w:tc>
          <w:tcPr>
            <w:tcW w:w="280" w:type="dxa"/>
            <w:vAlign w:val="bottom"/>
            <w:shd w:val="clear" w:color="auto" w:fill="CFF0FC"/>
          </w:tcPr>
          <w:p>
            <w:pPr>
              <w:spacing w:after="0"/>
              <w:rPr>
                <w:sz w:val="22"/>
                <w:szCs w:val="22"/>
                <w:color w:val="auto"/>
              </w:rPr>
            </w:pPr>
          </w:p>
        </w:tc>
        <w:tc>
          <w:tcPr>
            <w:tcW w:w="500" w:type="dxa"/>
            <w:vAlign w:val="bottom"/>
            <w:shd w:val="clear" w:color="auto" w:fill="CFF0FC"/>
          </w:tcPr>
          <w:p>
            <w:pPr>
              <w:spacing w:after="0"/>
              <w:rPr>
                <w:sz w:val="22"/>
                <w:szCs w:val="22"/>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640" w:type="dxa"/>
            <w:vAlign w:val="bottom"/>
          </w:tcPr>
          <w:p>
            <w:pPr>
              <w:ind w:left="20"/>
              <w:spacing w:after="0"/>
              <w:rPr>
                <w:sz w:val="20"/>
                <w:szCs w:val="20"/>
                <w:color w:val="auto"/>
              </w:rPr>
            </w:pPr>
            <w:r>
              <w:rPr>
                <w:rFonts w:ascii="Arial" w:cs="Arial" w:eastAsia="Arial" w:hAnsi="Arial"/>
                <w:sz w:val="18"/>
                <w:szCs w:val="18"/>
                <w:color w:val="auto"/>
              </w:rPr>
              <w:t>Proceeds from long-term debt</w:t>
            </w:r>
          </w:p>
        </w:tc>
        <w:tc>
          <w:tcPr>
            <w:tcW w:w="1000" w:type="dxa"/>
            <w:vAlign w:val="bottom"/>
          </w:tcPr>
          <w:p>
            <w:pPr>
              <w:spacing w:after="0"/>
              <w:rPr>
                <w:sz w:val="21"/>
                <w:szCs w:val="21"/>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991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7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Payments made on long-term debt</w:t>
            </w:r>
          </w:p>
        </w:tc>
        <w:tc>
          <w:tcPr>
            <w:tcW w:w="1000" w:type="dxa"/>
            <w:vAlign w:val="bottom"/>
            <w:shd w:val="clear" w:color="auto" w:fill="CFF0FC"/>
          </w:tcPr>
          <w:p>
            <w:pPr>
              <w:spacing w:after="0"/>
              <w:rPr>
                <w:sz w:val="22"/>
                <w:szCs w:val="22"/>
                <w:color w:val="auto"/>
              </w:rPr>
            </w:pPr>
          </w:p>
        </w:tc>
        <w:tc>
          <w:tcPr>
            <w:tcW w:w="9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FF0FC"/>
          </w:tcPr>
          <w:p>
            <w:pPr>
              <w:spacing w:after="0"/>
              <w:rPr>
                <w:sz w:val="22"/>
                <w:szCs w:val="22"/>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(5,340 )</w:t>
            </w:r>
          </w:p>
        </w:tc>
        <w:tc>
          <w:tcPr>
            <w:tcW w:w="0" w:type="dxa"/>
            <w:vAlign w:val="bottom"/>
          </w:tcPr>
          <w:p>
            <w:pPr>
              <w:spacing w:after="0"/>
              <w:rPr>
                <w:sz w:val="1"/>
                <w:szCs w:val="1"/>
                <w:color w:val="auto"/>
              </w:rPr>
            </w:pPr>
          </w:p>
        </w:tc>
      </w:tr>
      <w:tr>
        <w:trPr>
          <w:trHeight w:val="250"/>
        </w:trPr>
        <w:tc>
          <w:tcPr>
            <w:tcW w:w="764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1000" w:type="dxa"/>
            <w:vAlign w:val="bottom"/>
            <w:tcBorders>
              <w:top w:val="single" w:sz="8" w:color="auto"/>
              <w:bottom w:val="single" w:sz="8" w:color="auto"/>
            </w:tcBorders>
          </w:tcPr>
          <w:p>
            <w:pPr>
              <w:spacing w:after="0"/>
              <w:rPr>
                <w:sz w:val="21"/>
                <w:szCs w:val="21"/>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23,617</w:t>
            </w:r>
          </w:p>
        </w:tc>
        <w:tc>
          <w:tcPr>
            <w:tcW w:w="280" w:type="dxa"/>
            <w:vAlign w:val="bottom"/>
            <w:tcBorders>
              <w:top w:val="single" w:sz="8" w:color="CFF0FC"/>
            </w:tcBorders>
          </w:tcPr>
          <w:p>
            <w:pPr>
              <w:spacing w:after="0"/>
              <w:rPr>
                <w:sz w:val="21"/>
                <w:szCs w:val="21"/>
                <w:color w:val="auto"/>
              </w:rPr>
            </w:pPr>
          </w:p>
        </w:tc>
        <w:tc>
          <w:tcPr>
            <w:tcW w:w="500" w:type="dxa"/>
            <w:vAlign w:val="bottom"/>
            <w:tcBorders>
              <w:top w:val="single" w:sz="8" w:color="auto"/>
              <w:bottom w:val="single" w:sz="8" w:color="auto"/>
            </w:tcBorders>
          </w:tcPr>
          <w:p>
            <w:pPr>
              <w:spacing w:after="0"/>
              <w:rPr>
                <w:sz w:val="21"/>
                <w:szCs w:val="21"/>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983</w:t>
            </w:r>
          </w:p>
        </w:tc>
        <w:tc>
          <w:tcPr>
            <w:tcW w:w="100" w:type="dxa"/>
            <w:vAlign w:val="bottom"/>
            <w:tcBorders>
              <w:top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7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1000" w:type="dxa"/>
            <w:vAlign w:val="bottom"/>
            <w:shd w:val="clear" w:color="auto" w:fill="CFF0FC"/>
          </w:tcPr>
          <w:p>
            <w:pPr>
              <w:spacing w:after="0"/>
              <w:rPr>
                <w:sz w:val="22"/>
                <w:szCs w:val="2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7,830</w:t>
            </w:r>
          </w:p>
        </w:tc>
        <w:tc>
          <w:tcPr>
            <w:tcW w:w="280" w:type="dxa"/>
            <w:vAlign w:val="bottom"/>
            <w:shd w:val="clear" w:color="auto" w:fill="CFF0FC"/>
          </w:tcPr>
          <w:p>
            <w:pPr>
              <w:spacing w:after="0"/>
              <w:rPr>
                <w:sz w:val="22"/>
                <w:szCs w:val="22"/>
                <w:color w:val="auto"/>
              </w:rPr>
            </w:pPr>
          </w:p>
        </w:tc>
        <w:tc>
          <w:tcPr>
            <w:tcW w:w="500" w:type="dxa"/>
            <w:vAlign w:val="bottom"/>
            <w:shd w:val="clear" w:color="auto" w:fill="CFF0FC"/>
          </w:tcPr>
          <w:p>
            <w:pPr>
              <w:spacing w:after="0"/>
              <w:rPr>
                <w:sz w:val="22"/>
                <w:szCs w:val="22"/>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(7,756 )</w:t>
            </w:r>
          </w:p>
        </w:tc>
        <w:tc>
          <w:tcPr>
            <w:tcW w:w="0" w:type="dxa"/>
            <w:vAlign w:val="bottom"/>
          </w:tcPr>
          <w:p>
            <w:pPr>
              <w:spacing w:after="0"/>
              <w:rPr>
                <w:sz w:val="1"/>
                <w:szCs w:val="1"/>
                <w:color w:val="auto"/>
              </w:rPr>
            </w:pPr>
          </w:p>
        </w:tc>
      </w:tr>
      <w:tr>
        <w:trPr>
          <w:trHeight w:val="250"/>
        </w:trPr>
        <w:tc>
          <w:tcPr>
            <w:tcW w:w="7640" w:type="dxa"/>
            <w:vAlign w:val="bottom"/>
          </w:tcPr>
          <w:p>
            <w:pPr>
              <w:ind w:left="20"/>
              <w:spacing w:after="0"/>
              <w:rPr>
                <w:sz w:val="20"/>
                <w:szCs w:val="20"/>
                <w:color w:val="auto"/>
              </w:rPr>
            </w:pPr>
            <w:r>
              <w:rPr>
                <w:rFonts w:ascii="Arial" w:cs="Arial" w:eastAsia="Arial" w:hAnsi="Arial"/>
                <w:sz w:val="18"/>
                <w:szCs w:val="18"/>
                <w:color w:val="auto"/>
              </w:rPr>
              <w:t>Cash, cash equivalents and restricted cash, beginning of period</w:t>
            </w:r>
          </w:p>
        </w:tc>
        <w:tc>
          <w:tcPr>
            <w:tcW w:w="100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17,647</w:t>
            </w:r>
          </w:p>
        </w:tc>
        <w:tc>
          <w:tcPr>
            <w:tcW w:w="280" w:type="dxa"/>
            <w:vAlign w:val="bottom"/>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22,955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0"/>
        </w:trPr>
        <w:tc>
          <w:tcPr>
            <w:tcW w:w="76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Cash, cash equivalents and restricted cash, end of period</w:t>
            </w:r>
          </w:p>
        </w:tc>
        <w:tc>
          <w:tcPr>
            <w:tcW w:w="1000" w:type="dxa"/>
            <w:vAlign w:val="bottom"/>
            <w:tcBorders>
              <w:bottom w:val="single" w:sz="8" w:color="auto"/>
            </w:tcBorders>
            <w:shd w:val="clear" w:color="auto" w:fill="CFF0FC"/>
          </w:tcPr>
          <w:p>
            <w:pPr>
              <w:jc w:val="right"/>
              <w:ind w:right="795"/>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25,477</w:t>
            </w:r>
          </w:p>
        </w:tc>
        <w:tc>
          <w:tcPr>
            <w:tcW w:w="280" w:type="dxa"/>
            <w:vAlign w:val="bottom"/>
            <w:tcBorders>
              <w:bottom w:val="single" w:sz="8" w:color="CFF0FC"/>
            </w:tcBorders>
            <w:shd w:val="clear" w:color="auto" w:fill="CFF0FC"/>
          </w:tcPr>
          <w:p>
            <w:pPr>
              <w:spacing w:after="0"/>
              <w:rPr>
                <w:sz w:val="24"/>
                <w:szCs w:val="24"/>
                <w:color w:val="auto"/>
              </w:rPr>
            </w:pPr>
          </w:p>
        </w:tc>
        <w:tc>
          <w:tcPr>
            <w:tcW w:w="500" w:type="dxa"/>
            <w:vAlign w:val="bottom"/>
            <w:tcBorders>
              <w:bottom w:val="single" w:sz="8" w:color="auto"/>
            </w:tcBorders>
            <w:shd w:val="clear" w:color="auto" w:fill="CFF0FC"/>
          </w:tcPr>
          <w:p>
            <w:pPr>
              <w:jc w:val="right"/>
              <w:ind w:right="3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15,199</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7640" w:type="dxa"/>
            <w:vAlign w:val="bottom"/>
          </w:tcPr>
          <w:p>
            <w:pPr>
              <w:ind w:left="20"/>
              <w:spacing w:after="0"/>
              <w:rPr>
                <w:sz w:val="20"/>
                <w:szCs w:val="20"/>
                <w:color w:val="auto"/>
              </w:rPr>
            </w:pPr>
            <w:r>
              <w:rPr>
                <w:rFonts w:ascii="Arial" w:cs="Arial" w:eastAsia="Arial" w:hAnsi="Arial"/>
                <w:sz w:val="18"/>
                <w:szCs w:val="18"/>
                <w:b w:val="1"/>
                <w:bCs w:val="1"/>
                <w:color w:val="auto"/>
              </w:rPr>
              <w:t>Supplemental disclosure of noncash financing activities</w:t>
            </w:r>
          </w:p>
        </w:tc>
        <w:tc>
          <w:tcPr>
            <w:tcW w:w="10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7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Forgiveness of PPP Loan and accrued interest</w:t>
            </w:r>
          </w:p>
        </w:tc>
        <w:tc>
          <w:tcPr>
            <w:tcW w:w="1000" w:type="dxa"/>
            <w:vAlign w:val="bottom"/>
            <w:shd w:val="clear" w:color="auto" w:fill="CFF0FC"/>
          </w:tcPr>
          <w:p>
            <w:pPr>
              <w:jc w:val="right"/>
              <w:ind w:right="795"/>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998</w:t>
            </w:r>
          </w:p>
        </w:tc>
        <w:tc>
          <w:tcPr>
            <w:tcW w:w="280" w:type="dxa"/>
            <w:vAlign w:val="bottom"/>
            <w:shd w:val="clear" w:color="auto" w:fill="CFF0FC"/>
          </w:tcPr>
          <w:p>
            <w:pPr>
              <w:spacing w:after="0"/>
              <w:rPr>
                <w:sz w:val="22"/>
                <w:szCs w:val="22"/>
                <w:color w:val="auto"/>
              </w:rPr>
            </w:pPr>
          </w:p>
        </w:tc>
        <w:tc>
          <w:tcPr>
            <w:tcW w:w="500" w:type="dxa"/>
            <w:vAlign w:val="bottom"/>
            <w:shd w:val="clear" w:color="auto" w:fill="CFF0FC"/>
          </w:tcPr>
          <w:p>
            <w:pPr>
              <w:jc w:val="right"/>
              <w:ind w:right="31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59"/>
        </w:trPr>
        <w:tc>
          <w:tcPr>
            <w:tcW w:w="7640" w:type="dxa"/>
            <w:vAlign w:val="bottom"/>
          </w:tcPr>
          <w:p>
            <w:pPr>
              <w:spacing w:after="0"/>
              <w:rPr>
                <w:sz w:val="20"/>
                <w:szCs w:val="20"/>
                <w:color w:val="auto"/>
              </w:rPr>
            </w:pPr>
            <w:r>
              <w:rPr>
                <w:rFonts w:ascii="Arial" w:cs="Arial" w:eastAsia="Arial" w:hAnsi="Arial"/>
                <w:sz w:val="18"/>
                <w:szCs w:val="18"/>
                <w:b w:val="1"/>
                <w:bCs w:val="1"/>
                <w:color w:val="auto"/>
              </w:rPr>
              <w:t>Reconciliation of cash, cash equivalents and restricted cash:</w:t>
            </w:r>
          </w:p>
        </w:tc>
        <w:tc>
          <w:tcPr>
            <w:tcW w:w="1000" w:type="dxa"/>
            <w:vAlign w:val="bottom"/>
          </w:tcPr>
          <w:p>
            <w:pPr>
              <w:spacing w:after="0"/>
              <w:rPr>
                <w:sz w:val="24"/>
                <w:szCs w:val="24"/>
                <w:color w:val="auto"/>
              </w:rPr>
            </w:pPr>
          </w:p>
        </w:tc>
        <w:tc>
          <w:tcPr>
            <w:tcW w:w="1400" w:type="dxa"/>
            <w:vAlign w:val="bottom"/>
            <w:gridSpan w:val="3"/>
            <w:vMerge w:val="restart"/>
          </w:tcPr>
          <w:p>
            <w:pPr>
              <w:jc w:val="right"/>
              <w:ind w:right="70"/>
              <w:spacing w:after="0"/>
              <w:rPr>
                <w:sz w:val="20"/>
                <w:szCs w:val="20"/>
                <w:color w:val="auto"/>
              </w:rPr>
            </w:pPr>
            <w:r>
              <w:rPr>
                <w:rFonts w:ascii="Arial" w:cs="Arial" w:eastAsia="Arial" w:hAnsi="Arial"/>
                <w:sz w:val="16"/>
                <w:szCs w:val="16"/>
                <w:b w:val="1"/>
                <w:bCs w:val="1"/>
                <w:color w:val="auto"/>
              </w:rPr>
              <w:t>September 30,</w:t>
            </w: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7640" w:type="dxa"/>
            <w:vAlign w:val="bottom"/>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3"/>
            <w:vMerge w:val="continue"/>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7640" w:type="dxa"/>
            <w:vAlign w:val="bottom"/>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2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7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and cash equivalents</w:t>
            </w:r>
          </w:p>
        </w:tc>
        <w:tc>
          <w:tcPr>
            <w:tcW w:w="1000" w:type="dxa"/>
            <w:vAlign w:val="bottom"/>
            <w:shd w:val="clear" w:color="auto" w:fill="CFF0FC"/>
          </w:tcPr>
          <w:p>
            <w:pPr>
              <w:jc w:val="right"/>
              <w:ind w:right="795"/>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25,217</w:t>
            </w:r>
          </w:p>
        </w:tc>
        <w:tc>
          <w:tcPr>
            <w:tcW w:w="280" w:type="dxa"/>
            <w:vAlign w:val="bottom"/>
            <w:shd w:val="clear" w:color="auto" w:fill="CFF0FC"/>
          </w:tcPr>
          <w:p>
            <w:pPr>
              <w:spacing w:after="0"/>
              <w:rPr>
                <w:sz w:val="22"/>
                <w:szCs w:val="22"/>
                <w:color w:val="auto"/>
              </w:rPr>
            </w:pPr>
          </w:p>
        </w:tc>
        <w:tc>
          <w:tcPr>
            <w:tcW w:w="500" w:type="dxa"/>
            <w:vAlign w:val="bottom"/>
            <w:shd w:val="clear" w:color="auto" w:fill="CFF0FC"/>
          </w:tcPr>
          <w:p>
            <w:pPr>
              <w:jc w:val="right"/>
              <w:ind w:right="31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14,839</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640" w:type="dxa"/>
            <w:vAlign w:val="bottom"/>
          </w:tcPr>
          <w:p>
            <w:pPr>
              <w:ind w:left="20"/>
              <w:spacing w:after="0"/>
              <w:rPr>
                <w:sz w:val="20"/>
                <w:szCs w:val="20"/>
                <w:color w:val="auto"/>
              </w:rPr>
            </w:pPr>
            <w:r>
              <w:rPr>
                <w:rFonts w:ascii="Arial" w:cs="Arial" w:eastAsia="Arial" w:hAnsi="Arial"/>
                <w:sz w:val="18"/>
                <w:szCs w:val="18"/>
                <w:color w:val="auto"/>
              </w:rPr>
              <w:t>Restricted cash (including $100 for each period recorded in other current assets)</w:t>
            </w:r>
          </w:p>
        </w:tc>
        <w:tc>
          <w:tcPr>
            <w:tcW w:w="100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w:t>
            </w:r>
          </w:p>
        </w:tc>
        <w:tc>
          <w:tcPr>
            <w:tcW w:w="280" w:type="dxa"/>
            <w:vAlign w:val="bottom"/>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0"/>
        </w:trPr>
        <w:tc>
          <w:tcPr>
            <w:tcW w:w="76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Cash, cash equivalents and restricted cash at end of period</w:t>
            </w:r>
          </w:p>
        </w:tc>
        <w:tc>
          <w:tcPr>
            <w:tcW w:w="1000" w:type="dxa"/>
            <w:vAlign w:val="bottom"/>
            <w:tcBorders>
              <w:bottom w:val="single" w:sz="8" w:color="auto"/>
            </w:tcBorders>
            <w:shd w:val="clear" w:color="auto" w:fill="CFF0FC"/>
          </w:tcPr>
          <w:p>
            <w:pPr>
              <w:jc w:val="right"/>
              <w:ind w:right="795"/>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25,477</w:t>
            </w:r>
          </w:p>
        </w:tc>
        <w:tc>
          <w:tcPr>
            <w:tcW w:w="280" w:type="dxa"/>
            <w:vAlign w:val="bottom"/>
            <w:tcBorders>
              <w:bottom w:val="single" w:sz="8" w:color="CFF0FC"/>
            </w:tcBorders>
            <w:shd w:val="clear" w:color="auto" w:fill="CFF0FC"/>
          </w:tcPr>
          <w:p>
            <w:pPr>
              <w:spacing w:after="0"/>
              <w:rPr>
                <w:sz w:val="24"/>
                <w:szCs w:val="24"/>
                <w:color w:val="auto"/>
              </w:rPr>
            </w:pPr>
          </w:p>
        </w:tc>
        <w:tc>
          <w:tcPr>
            <w:tcW w:w="500" w:type="dxa"/>
            <w:vAlign w:val="bottom"/>
            <w:tcBorders>
              <w:bottom w:val="single" w:sz="8" w:color="auto"/>
            </w:tcBorders>
            <w:shd w:val="clear" w:color="auto" w:fill="CFF0FC"/>
          </w:tcPr>
          <w:p>
            <w:pPr>
              <w:jc w:val="right"/>
              <w:ind w:right="3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15,199</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5876925</wp:posOffset>
            </wp:positionH>
            <wp:positionV relativeFrom="paragraph">
              <wp:posOffset>-3442335</wp:posOffset>
            </wp:positionV>
            <wp:extent cx="180340" cy="57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8034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-3442335</wp:posOffset>
            </wp:positionV>
            <wp:extent cx="68580" cy="57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-2131060</wp:posOffset>
            </wp:positionV>
            <wp:extent cx="180340" cy="57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8034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-2131060</wp:posOffset>
            </wp:positionV>
            <wp:extent cx="68580" cy="57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-1456690</wp:posOffset>
            </wp:positionV>
            <wp:extent cx="18034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80340" cy="889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-1439545</wp:posOffset>
            </wp:positionV>
            <wp:extent cx="18034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8034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-1456690</wp:posOffset>
            </wp:positionV>
            <wp:extent cx="6858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-1439545</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-24765</wp:posOffset>
            </wp:positionV>
            <wp:extent cx="18034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8034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-8255</wp:posOffset>
            </wp:positionV>
            <wp:extent cx="18034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8034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CLEARSIDE BIOMEDICAL, INC.</w:t>
      </w: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The Company</w:t>
      </w:r>
    </w:p>
    <w:p>
      <w:pPr>
        <w:spacing w:after="0" w:line="135" w:lineRule="exact"/>
        <w:rPr>
          <w:sz w:val="20"/>
          <w:szCs w:val="20"/>
          <w:color w:val="auto"/>
        </w:rPr>
      </w:pPr>
    </w:p>
    <w:p>
      <w:pPr>
        <w:ind w:right="80" w:firstLine="509"/>
        <w:spacing w:after="0" w:line="239" w:lineRule="auto"/>
        <w:rPr>
          <w:sz w:val="20"/>
          <w:szCs w:val="20"/>
          <w:color w:val="auto"/>
        </w:rPr>
      </w:pPr>
      <w:r>
        <w:rPr>
          <w:rFonts w:ascii="Arial" w:cs="Arial" w:eastAsia="Arial" w:hAnsi="Arial"/>
          <w:sz w:val="18"/>
          <w:szCs w:val="18"/>
          <w:color w:val="auto"/>
        </w:rPr>
        <w:t>Clearside Biomedical, Inc. (the “Company”) is a biopharmaceutical company focused on revolutionizing the delivery of therapies to the back of the eye through the suprachoroidal space (SCS</w:t>
      </w:r>
      <w:r>
        <w:rPr>
          <w:rFonts w:ascii="Arial" w:cs="Arial" w:eastAsia="Arial" w:hAnsi="Arial"/>
          <w:sz w:val="24"/>
          <w:szCs w:val="24"/>
          <w:color w:val="auto"/>
          <w:vertAlign w:val="superscript"/>
        </w:rPr>
        <w:t>®</w:t>
      </w:r>
      <w:r>
        <w:rPr>
          <w:rFonts w:ascii="Arial" w:cs="Arial" w:eastAsia="Arial" w:hAnsi="Arial"/>
          <w:sz w:val="18"/>
          <w:szCs w:val="18"/>
          <w:color w:val="auto"/>
        </w:rPr>
        <w:t>). Incorporated in the State of Delaware on May 26, 2011, the Company has its corporate headquarters in Alpharetta, Georgia.</w:t>
      </w:r>
    </w:p>
    <w:p>
      <w:pPr>
        <w:spacing w:after="0" w:line="109" w:lineRule="exact"/>
        <w:rPr>
          <w:sz w:val="20"/>
          <w:szCs w:val="20"/>
          <w:color w:val="auto"/>
        </w:rPr>
      </w:pPr>
    </w:p>
    <w:p>
      <w:pPr>
        <w:ind w:right="40" w:firstLine="509"/>
        <w:spacing w:after="0" w:line="309" w:lineRule="auto"/>
        <w:rPr>
          <w:sz w:val="20"/>
          <w:szCs w:val="20"/>
          <w:color w:val="auto"/>
        </w:rPr>
      </w:pPr>
      <w:r>
        <w:rPr>
          <w:rFonts w:ascii="Arial" w:cs="Arial" w:eastAsia="Arial" w:hAnsi="Arial"/>
          <w:sz w:val="16"/>
          <w:szCs w:val="16"/>
          <w:color w:val="auto"/>
        </w:rPr>
        <w:t>The Company’s activities since inception have primarily consisted of developing product and technology rights, raising capital and performing research and development activities. The Company has no current source of revenue to sustain present activities, and does not expect to generate meaningful revenue until and unless the Company's licensees successfully commercialize XIPERE™, its other licensees receive regulatory approval and successfully commercializes its product candidates or the Company commercializes its product candidates either on its own or with a third party. The Company is subject to a number of risks and uncertainties similar to those of other life science companies at a similar stage of development, including, among others, the need to obtain adequate additional financing, successful development efforts including regulatory approval of products, compliance with government regulations, successful commercialization of potential products, protection of proprietary technology and dependence on key individuals.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131" w:lineRule="exact"/>
        <w:rPr>
          <w:sz w:val="20"/>
          <w:szCs w:val="20"/>
          <w:color w:val="auto"/>
        </w:rPr>
      </w:pPr>
    </w:p>
    <w:p>
      <w:pPr>
        <w:ind w:right="20" w:firstLine="562"/>
        <w:spacing w:after="0" w:line="272" w:lineRule="auto"/>
        <w:rPr>
          <w:sz w:val="20"/>
          <w:szCs w:val="20"/>
          <w:color w:val="auto"/>
        </w:rPr>
      </w:pPr>
      <w:r>
        <w:rPr>
          <w:rFonts w:ascii="Arial" w:cs="Arial" w:eastAsia="Arial" w:hAnsi="Arial"/>
          <w:sz w:val="18"/>
          <w:szCs w:val="18"/>
          <w:color w:val="auto"/>
        </w:rPr>
        <w:t>The Company had cash and cash equivalents of $25.2 million as of September 30, 2021. On January 6, 2021, the Company entered into a securities purchase agreement with certain institutional purchasers that purchased 4.2 million shares of its common stock in a registered direct offering at a price of $2.851 per share. The Company raised net proceeds of $11.1 million after deducting offering expenses. During the nine months ended September 30, 2021, the Company sold 2.9 million shares of its common stock for net proceeds of $12.2 million under its at-the-market agreement with Cowen and Company, LLC.</w:t>
      </w:r>
    </w:p>
    <w:p>
      <w:pPr>
        <w:spacing w:after="0" w:line="83" w:lineRule="exact"/>
        <w:rPr>
          <w:sz w:val="20"/>
          <w:szCs w:val="20"/>
          <w:color w:val="auto"/>
        </w:rPr>
      </w:pPr>
    </w:p>
    <w:p>
      <w:pPr>
        <w:ind w:right="280" w:firstLine="562"/>
        <w:spacing w:after="0" w:line="272" w:lineRule="auto"/>
        <w:rPr>
          <w:sz w:val="20"/>
          <w:szCs w:val="20"/>
          <w:color w:val="auto"/>
        </w:rPr>
      </w:pPr>
      <w:r>
        <w:rPr>
          <w:rFonts w:ascii="Arial" w:cs="Arial" w:eastAsia="Arial" w:hAnsi="Arial"/>
          <w:sz w:val="18"/>
          <w:szCs w:val="18"/>
          <w:color w:val="auto"/>
        </w:rPr>
        <w:t>In August 2021, the Company entered into an amendment to the Arctic Vision License Agreement (as defined in Note 10 - License and Other Agreements) to expand the territories covered by the license to include India and the ASEAN Countries (Brunei, Cambodia, Indonesia, Laos, Malaysia, Myanmar, the Philippines, Singapore, Thailand, and Vietnam). In September 2021, the Company entered into a second amendment to the Arctic Vision License Agreement to expand the territories covered by the license to include Australia and New Zealand. The Company received an aggregate of $3.0 million in consideration for the expansion of the licensed territory.</w:t>
      </w:r>
    </w:p>
    <w:p>
      <w:pPr>
        <w:spacing w:after="0" w:line="83" w:lineRule="exact"/>
        <w:rPr>
          <w:sz w:val="20"/>
          <w:szCs w:val="20"/>
          <w:color w:val="auto"/>
        </w:rPr>
      </w:pPr>
    </w:p>
    <w:p>
      <w:pPr>
        <w:ind w:right="280" w:firstLine="562"/>
        <w:spacing w:after="0" w:line="272" w:lineRule="auto"/>
        <w:rPr>
          <w:sz w:val="20"/>
          <w:szCs w:val="20"/>
          <w:color w:val="auto"/>
        </w:rPr>
      </w:pPr>
      <w:r>
        <w:rPr>
          <w:rFonts w:ascii="Arial" w:cs="Arial" w:eastAsia="Arial" w:hAnsi="Arial"/>
          <w:sz w:val="18"/>
          <w:szCs w:val="18"/>
          <w:color w:val="auto"/>
        </w:rPr>
        <w:t>On October 25, 2021, the Company announced that the U.S. Food and Drug Administration (the "FDA") approved XIPERE (triamcinolone acetonide injectable suspension) for the treatment of macular edema associated with uveitis, a form of eye inflammation. The Company is entitled to an aggregate of $9.0 million in milestone payments related to the approval of XIPERE from Arctic Vision (Hong Kong) Limited and Bausch + Lomb. In addition, the Company is entitled to receive $10.0 million from Bausch upon completion of pre-launch activities for XIPERE. Bausch expects to launch XIPERE in the United States in the first quarter of 2022.</w:t>
      </w:r>
    </w:p>
    <w:p>
      <w:pPr>
        <w:spacing w:after="0" w:line="83" w:lineRule="exact"/>
        <w:rPr>
          <w:sz w:val="20"/>
          <w:szCs w:val="20"/>
          <w:color w:val="auto"/>
        </w:rPr>
      </w:pPr>
    </w:p>
    <w:p>
      <w:pPr>
        <w:ind w:right="120" w:firstLine="562"/>
        <w:spacing w:after="0" w:line="271" w:lineRule="auto"/>
        <w:rPr>
          <w:sz w:val="20"/>
          <w:szCs w:val="20"/>
          <w:color w:val="auto"/>
        </w:rPr>
      </w:pPr>
      <w:r>
        <w:rPr>
          <w:rFonts w:ascii="Arial" w:cs="Arial" w:eastAsia="Arial" w:hAnsi="Arial"/>
          <w:sz w:val="18"/>
          <w:szCs w:val="18"/>
          <w:color w:val="auto"/>
        </w:rPr>
        <w:t>The Company has funded its operations primarily through the sale of common stock and convertible preferred stock and the issuance of long-term debt. The Company will continue to need to obtain additional financing to fund future operations, including completing the development, partnering and potential commercialization of its primary product candidates. The Company will need to obtain financing to conduct additional trials for the regulatory approval of its product candidates if requested by regulatory bodies, and completing the development of any product candidates. If such products were to receive regulatory approval, the Company would need to obtain financing to prepare for the potential commercialization of its product candidates, if the Company decides to commercialize the products on its own.</w:t>
      </w:r>
    </w:p>
    <w:p>
      <w:pPr>
        <w:spacing w:after="0" w:line="83" w:lineRule="exact"/>
        <w:rPr>
          <w:sz w:val="20"/>
          <w:szCs w:val="20"/>
          <w:color w:val="auto"/>
        </w:rPr>
      </w:pPr>
    </w:p>
    <w:p>
      <w:pPr>
        <w:jc w:val="both"/>
        <w:ind w:firstLine="509"/>
        <w:spacing w:after="0" w:line="329" w:lineRule="auto"/>
        <w:rPr>
          <w:sz w:val="20"/>
          <w:szCs w:val="20"/>
          <w:color w:val="auto"/>
        </w:rPr>
      </w:pPr>
      <w:r>
        <w:rPr>
          <w:rFonts w:ascii="Arial" w:cs="Arial" w:eastAsia="Arial" w:hAnsi="Arial"/>
          <w:sz w:val="16"/>
          <w:szCs w:val="16"/>
          <w:color w:val="auto"/>
        </w:rPr>
        <w:t>The Company has suffered recurring losses and negative cash flows from operations since inception and anticipates incurring additional losses until such time, if ever, that it can generate significant revenue from its licensees' commercialization of XIPERE. In the absence of product or other revenues, the amount, timing, nature or source of which cannot be predicted, the Company’s losses will continue as it conducts its research and development activities.</w:t>
      </w:r>
    </w:p>
    <w:p>
      <w:pPr>
        <w:spacing w:after="0" w:line="40" w:lineRule="exact"/>
        <w:rPr>
          <w:sz w:val="20"/>
          <w:szCs w:val="20"/>
          <w:color w:val="auto"/>
        </w:rPr>
      </w:pPr>
    </w:p>
    <w:p>
      <w:pPr>
        <w:ind w:firstLine="509"/>
        <w:spacing w:after="0" w:line="299" w:lineRule="auto"/>
        <w:rPr>
          <w:sz w:val="20"/>
          <w:szCs w:val="20"/>
          <w:color w:val="auto"/>
        </w:rPr>
      </w:pPr>
      <w:r>
        <w:rPr>
          <w:rFonts w:ascii="Arial" w:cs="Arial" w:eastAsia="Arial" w:hAnsi="Arial"/>
          <w:sz w:val="16"/>
          <w:szCs w:val="16"/>
          <w:color w:val="auto"/>
        </w:rPr>
        <w:t>Based on its current plans and forecasted expenses, the Company expects that its cash and cash equivalents as of the filing date, November 10, 2021, will enable it to fund its planned operating expenses and capital expenditure requirements into 2023. This estimate assumes receipt of the $9.0 million of milestone payments that the Company is entitled receive from its licensees as a result of the FDA approval of XIPERE. In addition, the estimate assumes receipt of the $10.0 million milestone payment that the Company is entitled to receive from Bausch upon completion of pre-launch activities for XIPERE. The Company has based this estimate on assumptions that may prove to be wrong, and it could exhaust its capital resources sooner than expected. Until the Company can generate sufficient revenue, the Company will need to finance future cash needs through public or private equity offerings, license agreements, debt financings or restructurings, collaborations, strategic alliances and marketing or distribution arrangements.</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2. Significant Accounting Policies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31" w:lineRule="exact"/>
        <w:rPr>
          <w:sz w:val="20"/>
          <w:szCs w:val="20"/>
          <w:color w:val="auto"/>
        </w:rPr>
      </w:pPr>
    </w:p>
    <w:p>
      <w:pPr>
        <w:ind w:right="620" w:firstLine="509"/>
        <w:spacing w:after="0" w:line="293" w:lineRule="auto"/>
        <w:rPr>
          <w:sz w:val="20"/>
          <w:szCs w:val="20"/>
          <w:color w:val="auto"/>
        </w:rPr>
      </w:pPr>
      <w:r>
        <w:rPr>
          <w:rFonts w:ascii="Arial" w:cs="Arial" w:eastAsia="Arial" w:hAnsi="Arial"/>
          <w:sz w:val="18"/>
          <w:szCs w:val="18"/>
          <w:color w:val="auto"/>
        </w:rPr>
        <w:t>The Company’s financial statements have been prepared in conformity with accounting principles generally accepted in the United States of America (“U.S. GAAP”).</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Interim Financial Information</w:t>
      </w:r>
    </w:p>
    <w:p>
      <w:pPr>
        <w:spacing w:after="0" w:line="131" w:lineRule="exact"/>
        <w:rPr>
          <w:sz w:val="20"/>
          <w:szCs w:val="20"/>
          <w:color w:val="auto"/>
        </w:rPr>
      </w:pPr>
    </w:p>
    <w:p>
      <w:pPr>
        <w:ind w:right="40" w:firstLine="509"/>
        <w:spacing w:after="0" w:line="286" w:lineRule="auto"/>
        <w:rPr>
          <w:sz w:val="20"/>
          <w:szCs w:val="20"/>
          <w:color w:val="auto"/>
        </w:rPr>
      </w:pPr>
      <w:r>
        <w:rPr>
          <w:rFonts w:ascii="Arial" w:cs="Arial" w:eastAsia="Arial" w:hAnsi="Arial"/>
          <w:sz w:val="17"/>
          <w:szCs w:val="17"/>
          <w:color w:val="auto"/>
        </w:rPr>
        <w:t>The accompanying balance sheet as of September 30, 2021, statements of operations for the three and nine months ended September 30, 2021 and 2020, statements of stockholders’ equity for the three and nine months ended September 30, 2021 and 2020 and statements of cash flows for the nine months ended September 30, 2021 and 2020 are unaudited. The unaudited interim financial statements have been prepared on the same basis as the annual financial statements and, in the opinion of management, reflect all adjustments, which include normal recurring adjustments, necessary for the fair presentation of the Company’s financial position as of September 30, 2021, its results of its operations for the three and nine months ended September 30, 2021 and 2020, its changes in stockholders’ equity for the three and nine months ended September 30, 2021 and 2020 and its cash flows for the nine months ended September 30, 2021 and 2020. The financial data and other information disclosed in these notes related to the three and nine months ended September 30, 2021 and 2020 are unaudited. The results for the nine months ended September 30, 2021 are not indicative of results to be expected for the year ending December 31, 2021, any other interim periods or any future year or period. These unaudited financial statements should be read in conjunction with the audited financial statements and related footnotes, which are included in the Company’s Annual Report on Form 10-K for the year ended December 31, 2020.</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31" w:lineRule="exact"/>
        <w:rPr>
          <w:sz w:val="20"/>
          <w:szCs w:val="20"/>
          <w:color w:val="auto"/>
        </w:rPr>
      </w:pPr>
    </w:p>
    <w:p>
      <w:pPr>
        <w:ind w:right="40" w:firstLine="509"/>
        <w:spacing w:after="0" w:line="272"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reported amounts of income and expenses during the reporting periods. Significant items subject to such estimates and assumptions include revenue recognition, the accounting for useful lives to calculate depreciation and amortization, clinical trial expense accruals, share-based compensation expense and income tax valuation allowance. Actual results could differ from these estimates.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Effects of COVID-19</w:t>
      </w:r>
    </w:p>
    <w:p>
      <w:pPr>
        <w:spacing w:after="0" w:line="131" w:lineRule="exact"/>
        <w:rPr>
          <w:sz w:val="20"/>
          <w:szCs w:val="20"/>
          <w:color w:val="auto"/>
        </w:rPr>
      </w:pPr>
    </w:p>
    <w:p>
      <w:pPr>
        <w:ind w:firstLine="509"/>
        <w:spacing w:after="0" w:line="271" w:lineRule="auto"/>
        <w:rPr>
          <w:sz w:val="20"/>
          <w:szCs w:val="20"/>
          <w:color w:val="auto"/>
        </w:rPr>
      </w:pPr>
      <w:r>
        <w:rPr>
          <w:rFonts w:ascii="Arial" w:cs="Arial" w:eastAsia="Arial" w:hAnsi="Arial"/>
          <w:sz w:val="18"/>
          <w:szCs w:val="18"/>
          <w:color w:val="auto"/>
        </w:rPr>
        <w:t>The COVID-19 pandemic has created global volatility, economic uncertainty and general market disruption. Estimates and assumptions about future events and their effects cannot be determined with certainty and therefore require the exercise of judgment. As of the date of issuance of these financial statements, the Company is not aware of any specific event or circumstance that would require us to update its estimates, assumptions and judgments or revise the carrying value of its assets or liabilities. These estimates may change as new events occur and additional information is obtained and are recognized in the consolidated financial statements as soon as they become known. Actual results could differ from those estimates and any such differences may be material to our financial statements.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31" w:lineRule="exact"/>
        <w:rPr>
          <w:sz w:val="20"/>
          <w:szCs w:val="20"/>
          <w:color w:val="auto"/>
        </w:rPr>
      </w:pPr>
    </w:p>
    <w:p>
      <w:pPr>
        <w:ind w:right="40" w:firstLine="509"/>
        <w:spacing w:after="0" w:line="309" w:lineRule="auto"/>
        <w:rPr>
          <w:sz w:val="20"/>
          <w:szCs w:val="20"/>
          <w:color w:val="auto"/>
        </w:rPr>
      </w:pPr>
      <w:r>
        <w:rPr>
          <w:rFonts w:ascii="Arial" w:cs="Arial" w:eastAsia="Arial" w:hAnsi="Arial"/>
          <w:sz w:val="16"/>
          <w:szCs w:val="16"/>
          <w:color w:val="212529"/>
        </w:rPr>
        <w:t xml:space="preserve">The Company recognizes revenue from its contracts with customers under Financial Accounting Standards Board (“FASB”) Accounting Standards Codification (“ASC”) Topic 606, </w:t>
      </w:r>
      <w:r>
        <w:rPr>
          <w:rFonts w:ascii="Arial" w:cs="Arial" w:eastAsia="Arial" w:hAnsi="Arial"/>
          <w:sz w:val="16"/>
          <w:szCs w:val="16"/>
          <w:i w:val="1"/>
          <w:iCs w:val="1"/>
          <w:color w:val="212529"/>
        </w:rPr>
        <w:t>Revenue from Contracts with Customers</w:t>
      </w:r>
      <w:r>
        <w:rPr>
          <w:rFonts w:ascii="Arial" w:cs="Arial" w:eastAsia="Arial" w:hAnsi="Arial"/>
          <w:sz w:val="16"/>
          <w:szCs w:val="16"/>
          <w:color w:val="212529"/>
        </w:rPr>
        <w:t xml:space="preserve"> (“ASC Topic 606”). The Company’s primary revenue arrangements are license agreements which typically include upfront payments, regulatory and commercial milestone payments and royalties based on future product sales. The arrangements may also include payments for the Company’s SCS Microinjector devices as well as payments for assistance and oversight of the customer’s use of the Company’s technology. In determining the amount of revenue to be recognized under these agreements, the Company performs the following steps: (i) identifies the promised goods and services to be transferred in the contract, (ii) identifies the performance obligations, (iii) determines the transaction price, (iv) allocates the transaction price to the performance obligations and (v) recognizes revenue as the performance obligations are satisfied.</w:t>
      </w:r>
    </w:p>
    <w:p>
      <w:pPr>
        <w:spacing w:after="0" w:line="56" w:lineRule="exact"/>
        <w:rPr>
          <w:sz w:val="20"/>
          <w:szCs w:val="20"/>
          <w:color w:val="auto"/>
        </w:rPr>
      </w:pPr>
    </w:p>
    <w:p>
      <w:pPr>
        <w:ind w:right="420" w:firstLine="578"/>
        <w:spacing w:after="0" w:line="266" w:lineRule="auto"/>
        <w:rPr>
          <w:sz w:val="20"/>
          <w:szCs w:val="20"/>
          <w:color w:val="auto"/>
        </w:rPr>
      </w:pPr>
      <w:r>
        <w:rPr>
          <w:rFonts w:ascii="Arial" w:cs="Arial" w:eastAsia="Arial" w:hAnsi="Arial"/>
          <w:sz w:val="18"/>
          <w:szCs w:val="18"/>
          <w:color w:val="auto"/>
        </w:rPr>
        <w:t>The Company receives payments from its customers based on billing schedules established in each contract. Upfront and other payments may require deferral of revenue recognition to a future period until the Company performs its obligations under the arrangement. Amounts are recorded as accounts receivable when the Company’s right to consideration is unconditional. The Company does not assess whether a contract has a significant financing component if the expectation at contract inception is such that the period between payment by the customer and the transfer of the promised goods or services to the customer will be one year or less.</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18" w:right="35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13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Research and development costs are charged to expense as incurred and include:</w:t>
      </w:r>
    </w:p>
    <w:p>
      <w:pPr>
        <w:spacing w:after="0" w:line="131" w:lineRule="exact"/>
        <w:rPr>
          <w:sz w:val="20"/>
          <w:szCs w:val="20"/>
          <w:color w:val="auto"/>
        </w:rPr>
      </w:pPr>
    </w:p>
    <w:p>
      <w:pPr>
        <w:ind w:left="960" w:right="740"/>
        <w:spacing w:after="0" w:line="293" w:lineRule="auto"/>
        <w:rPr>
          <w:sz w:val="20"/>
          <w:szCs w:val="20"/>
          <w:color w:val="auto"/>
        </w:rPr>
      </w:pPr>
      <w:r>
        <w:rPr>
          <w:rFonts w:ascii="Arial" w:cs="Arial" w:eastAsia="Arial" w:hAnsi="Arial"/>
          <w:sz w:val="18"/>
          <w:szCs w:val="18"/>
          <w:color w:val="auto"/>
        </w:rPr>
        <w:t>employee-related expenses, including salaries, benefits, travel and share-based compensation expense for research and development personnel;</w:t>
      </w:r>
    </w:p>
    <w:p>
      <w:pPr>
        <w:spacing w:after="0" w:line="62" w:lineRule="exact"/>
        <w:rPr>
          <w:sz w:val="20"/>
          <w:szCs w:val="20"/>
          <w:color w:val="auto"/>
        </w:rPr>
      </w:pPr>
    </w:p>
    <w:p>
      <w:pPr>
        <w:ind w:left="960" w:right="120"/>
        <w:spacing w:after="0" w:line="293" w:lineRule="auto"/>
        <w:rPr>
          <w:sz w:val="20"/>
          <w:szCs w:val="20"/>
          <w:color w:val="auto"/>
        </w:rPr>
      </w:pPr>
      <w:r>
        <w:rPr>
          <w:rFonts w:ascii="Arial" w:cs="Arial" w:eastAsia="Arial" w:hAnsi="Arial"/>
          <w:sz w:val="18"/>
          <w:szCs w:val="18"/>
          <w:color w:val="auto"/>
        </w:rPr>
        <w:t>expenses incurred under agreements with contract research organizations, contract manufacturing organizations and consultants that conduct preclinical studies and clinical trials;</w:t>
      </w:r>
    </w:p>
    <w:p>
      <w:pPr>
        <w:spacing w:after="0" w:line="62" w:lineRule="exact"/>
        <w:rPr>
          <w:sz w:val="20"/>
          <w:szCs w:val="20"/>
          <w:color w:val="auto"/>
        </w:rPr>
      </w:pPr>
    </w:p>
    <w:p>
      <w:pPr>
        <w:ind w:left="960"/>
        <w:spacing w:after="0"/>
        <w:rPr>
          <w:sz w:val="20"/>
          <w:szCs w:val="20"/>
          <w:color w:val="auto"/>
        </w:rPr>
      </w:pPr>
      <w:r>
        <w:rPr>
          <w:rFonts w:ascii="Arial" w:cs="Arial" w:eastAsia="Arial" w:hAnsi="Arial"/>
          <w:sz w:val="18"/>
          <w:szCs w:val="18"/>
          <w:color w:val="auto"/>
        </w:rPr>
        <w:t>costs associated with preclinical and clinical development activities;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costs associated with submitting regulatory approval applications for the Company’s product candidates;</w:t>
      </w:r>
    </w:p>
    <w:p>
      <w:pPr>
        <w:spacing w:after="0" w:line="131" w:lineRule="exact"/>
        <w:rPr>
          <w:sz w:val="20"/>
          <w:szCs w:val="20"/>
          <w:color w:val="auto"/>
        </w:rPr>
      </w:pPr>
    </w:p>
    <w:p>
      <w:pPr>
        <w:ind w:left="960" w:right="540"/>
        <w:spacing w:after="0" w:line="293" w:lineRule="auto"/>
        <w:rPr>
          <w:sz w:val="20"/>
          <w:szCs w:val="20"/>
          <w:color w:val="auto"/>
        </w:rPr>
      </w:pPr>
      <w:r>
        <w:rPr>
          <w:rFonts w:ascii="Arial" w:cs="Arial" w:eastAsia="Arial" w:hAnsi="Arial"/>
          <w:sz w:val="18"/>
          <w:szCs w:val="18"/>
          <w:color w:val="auto"/>
        </w:rPr>
        <w:t>costs associated with training physicians on the suprachoroidal injection procedure and educating and providing them with appropriate product candidate information;</w:t>
      </w:r>
    </w:p>
    <w:p>
      <w:pPr>
        <w:spacing w:after="0" w:line="62" w:lineRule="exact"/>
        <w:rPr>
          <w:sz w:val="20"/>
          <w:szCs w:val="20"/>
          <w:color w:val="auto"/>
        </w:rPr>
      </w:pPr>
    </w:p>
    <w:p>
      <w:pPr>
        <w:ind w:left="960"/>
        <w:spacing w:after="0"/>
        <w:rPr>
          <w:sz w:val="20"/>
          <w:szCs w:val="20"/>
          <w:color w:val="auto"/>
        </w:rPr>
      </w:pPr>
      <w:r>
        <w:rPr>
          <w:rFonts w:ascii="Arial" w:cs="Arial" w:eastAsia="Arial" w:hAnsi="Arial"/>
          <w:sz w:val="18"/>
          <w:szCs w:val="18"/>
          <w:color w:val="auto"/>
        </w:rPr>
        <w:t>costs associated with technology and intellectual property licenses;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costs for the Company’s research and development facility; and</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depreciation expense for assets used in research and development activities.</w:t>
      </w:r>
    </w:p>
    <w:p>
      <w:pPr>
        <w:spacing w:after="0" w:line="131" w:lineRule="exact"/>
        <w:rPr>
          <w:sz w:val="20"/>
          <w:szCs w:val="20"/>
          <w:color w:val="auto"/>
        </w:rPr>
      </w:pPr>
    </w:p>
    <w:p>
      <w:pPr>
        <w:ind w:right="40" w:firstLine="509"/>
        <w:spacing w:after="0" w:line="275" w:lineRule="auto"/>
        <w:rPr>
          <w:sz w:val="20"/>
          <w:szCs w:val="20"/>
          <w:color w:val="auto"/>
        </w:rPr>
      </w:pPr>
      <w:r>
        <w:rPr>
          <w:rFonts w:ascii="Arial" w:cs="Arial" w:eastAsia="Arial" w:hAnsi="Arial"/>
          <w:sz w:val="18"/>
          <w:szCs w:val="18"/>
          <w:color w:val="auto"/>
        </w:rPr>
        <w:t>Costs for certain development activities, such as clinical trials, are recognized based on an evaluation of the progress to completion of specific tasks using data such as patient enrollment, clinical site activations, or information provided to the Company by its vendors on their actual costs incurred. Payments for these activities are based on the terms of the individual arrangements, which may differ from the patterns of costs incurred, and are reflected in the financial statements as prepaid or accrued expense.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131" w:lineRule="exact"/>
        <w:rPr>
          <w:sz w:val="20"/>
          <w:szCs w:val="20"/>
          <w:color w:val="auto"/>
        </w:rPr>
      </w:pPr>
    </w:p>
    <w:p>
      <w:pPr>
        <w:ind w:firstLine="562"/>
        <w:spacing w:after="0" w:line="292" w:lineRule="auto"/>
        <w:rPr>
          <w:sz w:val="20"/>
          <w:szCs w:val="20"/>
          <w:color w:val="auto"/>
        </w:rPr>
      </w:pPr>
      <w:r>
        <w:rPr>
          <w:rFonts w:ascii="Arial" w:cs="Arial" w:eastAsia="Arial" w:hAnsi="Arial"/>
          <w:sz w:val="17"/>
          <w:szCs w:val="17"/>
          <w:color w:val="auto"/>
        </w:rPr>
        <w:t>Compensation cost related to share-based awards granted to employees is measured based on the estimated fair value of the award at the grant date. The Company estimates the fair value of stock options using a Black-Scholes option pricing model. Compensation expense for options granted to non-employees is determined as the fair value of consideration received or the fair value of the equity instruments issued, whichever is more reliably measured. The fair value of restricted stock units granted is measured based on the market value of the Company’s common stock on the date of grant. Share-based compensation costs are expensed on a straight-line basis over the relevant vesting period.</w:t>
      </w:r>
    </w:p>
    <w:p>
      <w:pPr>
        <w:spacing w:after="0" w:line="66" w:lineRule="exact"/>
        <w:rPr>
          <w:sz w:val="20"/>
          <w:szCs w:val="20"/>
          <w:color w:val="auto"/>
        </w:rPr>
      </w:pPr>
    </w:p>
    <w:p>
      <w:pPr>
        <w:ind w:right="60" w:firstLine="509"/>
        <w:spacing w:after="0" w:line="275" w:lineRule="auto"/>
        <w:rPr>
          <w:sz w:val="20"/>
          <w:szCs w:val="20"/>
          <w:color w:val="auto"/>
        </w:rPr>
      </w:pPr>
      <w:r>
        <w:rPr>
          <w:rFonts w:ascii="Arial" w:cs="Arial" w:eastAsia="Arial" w:hAnsi="Arial"/>
          <w:sz w:val="18"/>
          <w:szCs w:val="18"/>
          <w:color w:val="auto"/>
        </w:rPr>
        <w:t>Compensation cost related to shares purchased through the Company’s employee stock purchase plan, which is considered compensatory, is based on the estimated fair value of the shares on the offering date, including consideration of the discount and the look back period. The Company estimates the fair value of the shares using a Black-Scholes option pricing model. Compensation expense is recognized over the six-month withholding period prior to the purchase date.</w:t>
      </w:r>
    </w:p>
    <w:p>
      <w:pPr>
        <w:spacing w:after="0" w:line="77" w:lineRule="exact"/>
        <w:rPr>
          <w:sz w:val="20"/>
          <w:szCs w:val="20"/>
          <w:color w:val="auto"/>
        </w:rPr>
      </w:pPr>
    </w:p>
    <w:p>
      <w:pPr>
        <w:ind w:right="260" w:firstLine="509"/>
        <w:spacing w:after="0" w:line="293" w:lineRule="auto"/>
        <w:rPr>
          <w:sz w:val="20"/>
          <w:szCs w:val="20"/>
          <w:color w:val="auto"/>
        </w:rPr>
      </w:pPr>
      <w:r>
        <w:rPr>
          <w:rFonts w:ascii="Arial" w:cs="Arial" w:eastAsia="Arial" w:hAnsi="Arial"/>
          <w:sz w:val="18"/>
          <w:szCs w:val="18"/>
          <w:color w:val="auto"/>
        </w:rPr>
        <w:t>All share-based compensation costs are recorded in general and administrative or research and development costs in the statements of operations based upon the underlying employees’ roles within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Equivalents</w:t>
      </w:r>
    </w:p>
    <w:p>
      <w:pPr>
        <w:spacing w:after="0" w:line="13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Cash equivalents consist of short-term, highly liquid investments with an original term of three months or less at the date of purchase.</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 Arising From Cash Deposits in Excess of Insured Limits</w:t>
      </w:r>
    </w:p>
    <w:p>
      <w:pPr>
        <w:spacing w:after="0" w:line="131" w:lineRule="exact"/>
        <w:rPr>
          <w:sz w:val="20"/>
          <w:szCs w:val="20"/>
          <w:color w:val="auto"/>
        </w:rPr>
      </w:pPr>
    </w:p>
    <w:p>
      <w:pPr>
        <w:ind w:right="180" w:firstLine="509"/>
        <w:spacing w:after="0" w:line="293" w:lineRule="auto"/>
        <w:rPr>
          <w:sz w:val="20"/>
          <w:szCs w:val="20"/>
          <w:color w:val="auto"/>
        </w:rPr>
      </w:pPr>
      <w:r>
        <w:rPr>
          <w:rFonts w:ascii="Arial" w:cs="Arial" w:eastAsia="Arial" w:hAnsi="Arial"/>
          <w:sz w:val="18"/>
          <w:szCs w:val="18"/>
          <w:color w:val="auto"/>
        </w:rPr>
        <w:t>The Company maintains its cash in bank deposits that at times may exceed federally insured limits. The Company has not experienced any loss in such accounts. The Company believes it is not exposed to any significant risks with respect to its cash balances.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31" w:lineRule="exact"/>
        <w:rPr>
          <w:sz w:val="20"/>
          <w:szCs w:val="20"/>
          <w:color w:val="auto"/>
        </w:rPr>
      </w:pPr>
    </w:p>
    <w:p>
      <w:pPr>
        <w:ind w:firstLine="562"/>
        <w:spacing w:after="0" w:line="311" w:lineRule="auto"/>
        <w:rPr>
          <w:sz w:val="20"/>
          <w:szCs w:val="20"/>
          <w:color w:val="auto"/>
        </w:rPr>
      </w:pPr>
      <w:r>
        <w:rPr>
          <w:rFonts w:ascii="Arial" w:cs="Arial" w:eastAsia="Arial" w:hAnsi="Arial"/>
          <w:sz w:val="16"/>
          <w:szCs w:val="16"/>
          <w:color w:val="auto"/>
        </w:rPr>
        <w:t>In December 2019, the FASB issued Accounting Standards Update ("ASU") 2019-12, Income Taxes (Topic 740): Simplifying the Accounting for Income Taxes (“ASU 2019-12”), which simplifies the accounting for income taxes by removing certain exceptions related to the approach for intraperiod tax allocation, the methodology for calculating income taxes in an interim period and the recognition of deferred tax liabilities for outside basis differences. The new ASU also simplifies aspects of the accounting for franchise taxes and enacted changes in tax laws or rates. These changes aim to improve the overall usefulness of disclosures to financial statement users and reduce unnecessary costs to companies when preparing the disclosures. The Company adopted ASU 2019-12 on January 1, 2021, and the adoption did not have a material impact on its financial statements and related disclosures.</w:t>
      </w:r>
    </w:p>
    <w:p>
      <w:pPr>
        <w:spacing w:after="0" w:line="2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84" w:right="37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3. Property and Equipment, Net</w:t>
      </w:r>
    </w:p>
    <w:p>
      <w:pPr>
        <w:spacing w:after="0" w:line="13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Property and equipment, net consisted of the following (dollar amounts in thousands):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240" w:type="dxa"/>
            <w:vAlign w:val="bottom"/>
          </w:tcPr>
          <w:p>
            <w:pPr>
              <w:spacing w:after="0"/>
              <w:rPr>
                <w:sz w:val="17"/>
                <w:szCs w:val="17"/>
                <w:color w:val="auto"/>
              </w:rPr>
            </w:pPr>
          </w:p>
        </w:tc>
        <w:tc>
          <w:tcPr>
            <w:tcW w:w="1200" w:type="dxa"/>
            <w:vAlign w:val="bottom"/>
          </w:tcPr>
          <w:p>
            <w:pPr>
              <w:jc w:val="center"/>
              <w:ind w:left="93"/>
              <w:spacing w:after="0"/>
              <w:rPr>
                <w:sz w:val="20"/>
                <w:szCs w:val="20"/>
                <w:color w:val="auto"/>
              </w:rPr>
            </w:pPr>
            <w:r>
              <w:rPr>
                <w:rFonts w:ascii="Arial" w:cs="Arial" w:eastAsia="Arial" w:hAnsi="Arial"/>
                <w:sz w:val="16"/>
                <w:szCs w:val="16"/>
                <w:b w:val="1"/>
                <w:bCs w:val="1"/>
                <w:color w:val="auto"/>
                <w:w w:val="91"/>
              </w:rPr>
              <w:t>Estimated</w:t>
            </w: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40" w:type="dxa"/>
            <w:vAlign w:val="bottom"/>
          </w:tcPr>
          <w:p>
            <w:pPr>
              <w:spacing w:after="0"/>
              <w:rPr>
                <w:sz w:val="17"/>
                <w:szCs w:val="17"/>
                <w:color w:val="auto"/>
              </w:rPr>
            </w:pPr>
          </w:p>
        </w:tc>
        <w:tc>
          <w:tcPr>
            <w:tcW w:w="1200" w:type="dxa"/>
            <w:vAlign w:val="bottom"/>
          </w:tcPr>
          <w:p>
            <w:pPr>
              <w:jc w:val="center"/>
              <w:ind w:left="93"/>
              <w:spacing w:after="0"/>
              <w:rPr>
                <w:sz w:val="20"/>
                <w:szCs w:val="20"/>
                <w:color w:val="auto"/>
              </w:rPr>
            </w:pPr>
            <w:r>
              <w:rPr>
                <w:rFonts w:ascii="Arial" w:cs="Arial" w:eastAsia="Arial" w:hAnsi="Arial"/>
                <w:sz w:val="16"/>
                <w:szCs w:val="16"/>
                <w:b w:val="1"/>
                <w:bCs w:val="1"/>
                <w:color w:val="auto"/>
                <w:w w:val="91"/>
              </w:rPr>
              <w:t>Useful Lives</w:t>
            </w: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gridSpan w:val="3"/>
          </w:tcPr>
          <w:p>
            <w:pPr>
              <w:jc w:val="right"/>
              <w:ind w:right="440"/>
              <w:spacing w:after="0"/>
              <w:rPr>
                <w:sz w:val="20"/>
                <w:szCs w:val="20"/>
                <w:color w:val="auto"/>
              </w:rPr>
            </w:pPr>
            <w:r>
              <w:rPr>
                <w:rFonts w:ascii="Arial" w:cs="Arial" w:eastAsia="Arial" w:hAnsi="Arial"/>
                <w:sz w:val="16"/>
                <w:szCs w:val="16"/>
                <w:b w:val="1"/>
                <w:bCs w:val="1"/>
                <w:color w:val="auto"/>
                <w:w w:val="91"/>
              </w:rPr>
              <w:t>September 30,</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w w:val="92"/>
              </w:rPr>
              <w:t>December 31,</w:t>
            </w:r>
          </w:p>
        </w:tc>
        <w:tc>
          <w:tcPr>
            <w:tcW w:w="0" w:type="dxa"/>
            <w:vAlign w:val="bottom"/>
          </w:tcPr>
          <w:p>
            <w:pPr>
              <w:spacing w:after="0"/>
              <w:rPr>
                <w:sz w:val="1"/>
                <w:szCs w:val="1"/>
                <w:color w:val="auto"/>
              </w:rPr>
            </w:pPr>
          </w:p>
        </w:tc>
      </w:tr>
      <w:tr>
        <w:trPr>
          <w:trHeight w:val="223"/>
        </w:trPr>
        <w:tc>
          <w:tcPr>
            <w:tcW w:w="6240" w:type="dxa"/>
            <w:vAlign w:val="bottom"/>
          </w:tcPr>
          <w:p>
            <w:pPr>
              <w:spacing w:after="0"/>
              <w:rPr>
                <w:sz w:val="19"/>
                <w:szCs w:val="19"/>
                <w:color w:val="auto"/>
              </w:rPr>
            </w:pPr>
          </w:p>
        </w:tc>
        <w:tc>
          <w:tcPr>
            <w:tcW w:w="1200" w:type="dxa"/>
            <w:vAlign w:val="bottom"/>
            <w:tcBorders>
              <w:bottom w:val="single" w:sz="8" w:color="auto"/>
            </w:tcBorders>
          </w:tcPr>
          <w:p>
            <w:pPr>
              <w:jc w:val="center"/>
              <w:ind w:left="93"/>
              <w:spacing w:after="0"/>
              <w:rPr>
                <w:sz w:val="20"/>
                <w:szCs w:val="20"/>
                <w:color w:val="auto"/>
              </w:rPr>
            </w:pPr>
            <w:r>
              <w:rPr>
                <w:rFonts w:ascii="Arial" w:cs="Arial" w:eastAsia="Arial" w:hAnsi="Arial"/>
                <w:sz w:val="16"/>
                <w:szCs w:val="16"/>
                <w:b w:val="1"/>
                <w:bCs w:val="1"/>
                <w:color w:val="auto"/>
                <w:w w:val="92"/>
              </w:rPr>
              <w:t>(Years)</w:t>
            </w:r>
          </w:p>
        </w:tc>
        <w:tc>
          <w:tcPr>
            <w:tcW w:w="160" w:type="dxa"/>
            <w:vAlign w:val="bottom"/>
            <w:tcBorders>
              <w:bottom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71"/>
              <w:spacing w:after="0"/>
              <w:rPr>
                <w:sz w:val="20"/>
                <w:szCs w:val="20"/>
                <w:color w:val="auto"/>
              </w:rPr>
            </w:pPr>
            <w:r>
              <w:rPr>
                <w:rFonts w:ascii="Arial" w:cs="Arial" w:eastAsia="Arial" w:hAnsi="Arial"/>
                <w:sz w:val="16"/>
                <w:szCs w:val="16"/>
                <w:b w:val="1"/>
                <w:bCs w:val="1"/>
                <w:color w:val="auto"/>
              </w:rPr>
              <w:t>2021</w:t>
            </w:r>
          </w:p>
        </w:tc>
        <w:tc>
          <w:tcPr>
            <w:tcW w:w="3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92"/>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6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Furniture and fixtures</w:t>
            </w:r>
          </w:p>
        </w:tc>
        <w:tc>
          <w:tcPr>
            <w:tcW w:w="1200" w:type="dxa"/>
            <w:vAlign w:val="bottom"/>
            <w:shd w:val="clear" w:color="auto" w:fill="CFF0FC"/>
          </w:tcPr>
          <w:p>
            <w:pPr>
              <w:jc w:val="center"/>
              <w:ind w:left="93"/>
              <w:spacing w:after="0"/>
              <w:rPr>
                <w:sz w:val="20"/>
                <w:szCs w:val="20"/>
                <w:color w:val="auto"/>
              </w:rPr>
            </w:pPr>
            <w:r>
              <w:rPr>
                <w:rFonts w:ascii="Arial" w:cs="Arial" w:eastAsia="Arial" w:hAnsi="Arial"/>
                <w:sz w:val="18"/>
                <w:szCs w:val="18"/>
                <w:color w:val="auto"/>
                <w:w w:val="99"/>
              </w:rPr>
              <w:t>5</w:t>
            </w:r>
          </w:p>
        </w:tc>
        <w:tc>
          <w:tcPr>
            <w:tcW w:w="7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337</w:t>
            </w:r>
          </w:p>
        </w:tc>
        <w:tc>
          <w:tcPr>
            <w:tcW w:w="28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337</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6240" w:type="dxa"/>
            <w:vAlign w:val="bottom"/>
          </w:tcPr>
          <w:p>
            <w:pPr>
              <w:ind w:left="20"/>
              <w:spacing w:after="0"/>
              <w:rPr>
                <w:sz w:val="20"/>
                <w:szCs w:val="20"/>
                <w:color w:val="auto"/>
              </w:rPr>
            </w:pPr>
            <w:r>
              <w:rPr>
                <w:rFonts w:ascii="Arial" w:cs="Arial" w:eastAsia="Arial" w:hAnsi="Arial"/>
                <w:sz w:val="18"/>
                <w:szCs w:val="18"/>
                <w:color w:val="auto"/>
              </w:rPr>
              <w:t>Machinery and equipment</w:t>
            </w:r>
          </w:p>
        </w:tc>
        <w:tc>
          <w:tcPr>
            <w:tcW w:w="1200" w:type="dxa"/>
            <w:vAlign w:val="bottom"/>
          </w:tcPr>
          <w:p>
            <w:pPr>
              <w:jc w:val="center"/>
              <w:ind w:left="93"/>
              <w:spacing w:after="0"/>
              <w:rPr>
                <w:sz w:val="20"/>
                <w:szCs w:val="20"/>
                <w:color w:val="auto"/>
              </w:rPr>
            </w:pPr>
            <w:r>
              <w:rPr>
                <w:rFonts w:ascii="Arial" w:cs="Arial" w:eastAsia="Arial" w:hAnsi="Arial"/>
                <w:sz w:val="18"/>
                <w:szCs w:val="18"/>
                <w:color w:val="auto"/>
                <w:w w:val="99"/>
              </w:rPr>
              <w:t>5</w:t>
            </w:r>
          </w:p>
        </w:tc>
        <w:tc>
          <w:tcPr>
            <w:tcW w:w="1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176</w:t>
            </w: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6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Computer equipment</w:t>
            </w:r>
          </w:p>
        </w:tc>
        <w:tc>
          <w:tcPr>
            <w:tcW w:w="1200" w:type="dxa"/>
            <w:vAlign w:val="bottom"/>
            <w:shd w:val="clear" w:color="auto" w:fill="CFF0FC"/>
          </w:tcPr>
          <w:p>
            <w:pPr>
              <w:jc w:val="center"/>
              <w:ind w:left="93"/>
              <w:spacing w:after="0"/>
              <w:rPr>
                <w:sz w:val="20"/>
                <w:szCs w:val="20"/>
                <w:color w:val="auto"/>
              </w:rPr>
            </w:pPr>
            <w:r>
              <w:rPr>
                <w:rFonts w:ascii="Arial" w:cs="Arial" w:eastAsia="Arial" w:hAnsi="Arial"/>
                <w:sz w:val="18"/>
                <w:szCs w:val="18"/>
                <w:color w:val="auto"/>
                <w:w w:val="99"/>
              </w:rPr>
              <w:t>3</w:t>
            </w:r>
          </w:p>
        </w:tc>
        <w:tc>
          <w:tcPr>
            <w:tcW w:w="160" w:type="dxa"/>
            <w:vAlign w:val="bottom"/>
            <w:shd w:val="clear" w:color="auto" w:fill="CFF0FC"/>
          </w:tcPr>
          <w:p>
            <w:pPr>
              <w:spacing w:after="0"/>
              <w:rPr>
                <w:sz w:val="22"/>
                <w:szCs w:val="22"/>
                <w:color w:val="auto"/>
              </w:rPr>
            </w:pPr>
          </w:p>
        </w:tc>
        <w:tc>
          <w:tcPr>
            <w:tcW w:w="42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1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13</w:t>
            </w:r>
          </w:p>
        </w:tc>
        <w:tc>
          <w:tcPr>
            <w:tcW w:w="28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6240" w:type="dxa"/>
            <w:vAlign w:val="bottom"/>
          </w:tcPr>
          <w:p>
            <w:pPr>
              <w:ind w:left="20"/>
              <w:spacing w:after="0"/>
              <w:rPr>
                <w:sz w:val="20"/>
                <w:szCs w:val="20"/>
                <w:color w:val="auto"/>
              </w:rPr>
            </w:pPr>
            <w:r>
              <w:rPr>
                <w:rFonts w:ascii="Arial" w:cs="Arial" w:eastAsia="Arial" w:hAnsi="Arial"/>
                <w:sz w:val="18"/>
                <w:szCs w:val="18"/>
                <w:color w:val="auto"/>
              </w:rPr>
              <w:t>Leasehold improvements</w:t>
            </w:r>
          </w:p>
        </w:tc>
        <w:tc>
          <w:tcPr>
            <w:tcW w:w="1200" w:type="dxa"/>
            <w:vAlign w:val="bottom"/>
          </w:tcPr>
          <w:p>
            <w:pPr>
              <w:jc w:val="center"/>
              <w:ind w:left="93"/>
              <w:spacing w:after="0"/>
              <w:rPr>
                <w:sz w:val="20"/>
                <w:szCs w:val="20"/>
                <w:color w:val="auto"/>
              </w:rPr>
            </w:pPr>
            <w:r>
              <w:rPr>
                <w:rFonts w:ascii="Arial" w:cs="Arial" w:eastAsia="Arial" w:hAnsi="Arial"/>
                <w:sz w:val="18"/>
                <w:szCs w:val="18"/>
                <w:color w:val="auto"/>
                <w:w w:val="89"/>
              </w:rPr>
              <w:t>Lesser of</w:t>
            </w:r>
          </w:p>
        </w:tc>
        <w:tc>
          <w:tcPr>
            <w:tcW w:w="1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6240" w:type="dxa"/>
            <w:vAlign w:val="bottom"/>
          </w:tcPr>
          <w:p>
            <w:pPr>
              <w:spacing w:after="0"/>
              <w:rPr>
                <w:sz w:val="19"/>
                <w:szCs w:val="19"/>
                <w:color w:val="auto"/>
              </w:rPr>
            </w:pPr>
          </w:p>
        </w:tc>
        <w:tc>
          <w:tcPr>
            <w:tcW w:w="1200" w:type="dxa"/>
            <w:vAlign w:val="bottom"/>
          </w:tcPr>
          <w:p>
            <w:pPr>
              <w:jc w:val="center"/>
              <w:ind w:left="73"/>
              <w:spacing w:after="0"/>
              <w:rPr>
                <w:sz w:val="20"/>
                <w:szCs w:val="20"/>
                <w:color w:val="auto"/>
              </w:rPr>
            </w:pPr>
            <w:r>
              <w:rPr>
                <w:rFonts w:ascii="Arial" w:cs="Arial" w:eastAsia="Arial" w:hAnsi="Arial"/>
                <w:sz w:val="18"/>
                <w:szCs w:val="18"/>
                <w:color w:val="auto"/>
                <w:w w:val="94"/>
              </w:rPr>
              <w:t>useful life or</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40" w:type="dxa"/>
            <w:vAlign w:val="bottom"/>
          </w:tcPr>
          <w:p>
            <w:pPr>
              <w:spacing w:after="0"/>
              <w:rPr>
                <w:sz w:val="19"/>
                <w:szCs w:val="19"/>
                <w:color w:val="auto"/>
              </w:rPr>
            </w:pPr>
          </w:p>
        </w:tc>
        <w:tc>
          <w:tcPr>
            <w:tcW w:w="1200" w:type="dxa"/>
            <w:vAlign w:val="bottom"/>
          </w:tcPr>
          <w:p>
            <w:pPr>
              <w:jc w:val="center"/>
              <w:ind w:left="93"/>
              <w:spacing w:after="0"/>
              <w:rPr>
                <w:sz w:val="20"/>
                <w:szCs w:val="20"/>
                <w:color w:val="auto"/>
              </w:rPr>
            </w:pPr>
            <w:r>
              <w:rPr>
                <w:rFonts w:ascii="Arial" w:cs="Arial" w:eastAsia="Arial" w:hAnsi="Arial"/>
                <w:sz w:val="18"/>
                <w:szCs w:val="18"/>
                <w:color w:val="auto"/>
                <w:w w:val="93"/>
              </w:rPr>
              <w:t>remaining</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667</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667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40" w:type="dxa"/>
            <w:vAlign w:val="bottom"/>
          </w:tcPr>
          <w:p>
            <w:pPr>
              <w:spacing w:after="0"/>
              <w:rPr>
                <w:sz w:val="20"/>
                <w:szCs w:val="20"/>
                <w:color w:val="auto"/>
              </w:rPr>
            </w:pPr>
          </w:p>
        </w:tc>
        <w:tc>
          <w:tcPr>
            <w:tcW w:w="1200" w:type="dxa"/>
            <w:vAlign w:val="bottom"/>
          </w:tcPr>
          <w:p>
            <w:pPr>
              <w:jc w:val="center"/>
              <w:ind w:left="93"/>
              <w:spacing w:after="0"/>
              <w:rPr>
                <w:sz w:val="20"/>
                <w:szCs w:val="20"/>
                <w:color w:val="auto"/>
              </w:rPr>
            </w:pPr>
            <w:r>
              <w:rPr>
                <w:rFonts w:ascii="Arial" w:cs="Arial" w:eastAsia="Arial" w:hAnsi="Arial"/>
                <w:sz w:val="18"/>
                <w:szCs w:val="18"/>
                <w:color w:val="auto"/>
                <w:w w:val="88"/>
              </w:rPr>
              <w:t>lease term</w:t>
            </w: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2"/>
            <w:vMerge w:val="continue"/>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624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1,193</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240" w:type="dxa"/>
            <w:vAlign w:val="bottom"/>
          </w:tcPr>
          <w:p>
            <w:pPr>
              <w:ind w:left="20"/>
              <w:spacing w:after="0"/>
              <w:rPr>
                <w:sz w:val="20"/>
                <w:szCs w:val="20"/>
                <w:color w:val="auto"/>
              </w:rPr>
            </w:pPr>
            <w:r>
              <w:rPr>
                <w:rFonts w:ascii="Arial" w:cs="Arial" w:eastAsia="Arial" w:hAnsi="Arial"/>
                <w:sz w:val="18"/>
                <w:szCs w:val="18"/>
                <w:color w:val="auto"/>
              </w:rPr>
              <w:t>Less: Accumulated depreciation</w:t>
            </w:r>
          </w:p>
        </w:tc>
        <w:tc>
          <w:tcPr>
            <w:tcW w:w="1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gridSpan w:val="3"/>
          </w:tcPr>
          <w:p>
            <w:pPr>
              <w:jc w:val="right"/>
              <w:ind w:right="200"/>
              <w:spacing w:after="0"/>
              <w:rPr>
                <w:sz w:val="20"/>
                <w:szCs w:val="20"/>
                <w:color w:val="auto"/>
              </w:rPr>
            </w:pPr>
            <w:r>
              <w:rPr>
                <w:rFonts w:ascii="Arial" w:cs="Arial" w:eastAsia="Arial" w:hAnsi="Arial"/>
                <w:sz w:val="18"/>
                <w:szCs w:val="18"/>
                <w:color w:val="auto"/>
              </w:rPr>
              <w:t>(910 )</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(777 )</w:t>
            </w:r>
          </w:p>
        </w:tc>
        <w:tc>
          <w:tcPr>
            <w:tcW w:w="0" w:type="dxa"/>
            <w:vAlign w:val="bottom"/>
          </w:tcPr>
          <w:p>
            <w:pPr>
              <w:spacing w:after="0"/>
              <w:rPr>
                <w:sz w:val="1"/>
                <w:szCs w:val="1"/>
                <w:color w:val="auto"/>
              </w:rPr>
            </w:pPr>
          </w:p>
        </w:tc>
      </w:tr>
      <w:tr>
        <w:trPr>
          <w:trHeight w:val="290"/>
        </w:trPr>
        <w:tc>
          <w:tcPr>
            <w:tcW w:w="6240" w:type="dxa"/>
            <w:vAlign w:val="bottom"/>
            <w:tcBorders>
              <w:bottom w:val="single" w:sz="8" w:color="CFF0FC"/>
            </w:tcBorders>
            <w:shd w:val="clear" w:color="auto" w:fill="CFF0FC"/>
          </w:tcPr>
          <w:p>
            <w:pPr>
              <w:spacing w:after="0"/>
              <w:rPr>
                <w:sz w:val="24"/>
                <w:szCs w:val="24"/>
                <w:color w:val="auto"/>
              </w:rPr>
            </w:pPr>
          </w:p>
        </w:tc>
        <w:tc>
          <w:tcPr>
            <w:tcW w:w="1200" w:type="dxa"/>
            <w:vAlign w:val="bottom"/>
            <w:tcBorders>
              <w:bottom w:val="single" w:sz="8" w:color="CFF0FC"/>
            </w:tcBorders>
            <w:shd w:val="clear" w:color="auto" w:fill="CFF0FC"/>
          </w:tcPr>
          <w:p>
            <w:pPr>
              <w:spacing w:after="0"/>
              <w:rPr>
                <w:sz w:val="24"/>
                <w:szCs w:val="24"/>
                <w:color w:val="auto"/>
              </w:rPr>
            </w:pPr>
          </w:p>
        </w:tc>
        <w:tc>
          <w:tcPr>
            <w:tcW w:w="580" w:type="dxa"/>
            <w:vAlign w:val="bottom"/>
            <w:tcBorders>
              <w:bottom w:val="single" w:sz="8" w:color="CFF0FC"/>
            </w:tcBorders>
            <w:gridSpan w:val="2"/>
            <w:shd w:val="clear" w:color="auto" w:fill="CFF0FC"/>
          </w:tcPr>
          <w:p>
            <w:pPr>
              <w:spacing w:after="0"/>
              <w:rPr>
                <w:sz w:val="24"/>
                <w:szCs w:val="24"/>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283</w:t>
            </w:r>
          </w:p>
        </w:tc>
        <w:tc>
          <w:tcPr>
            <w:tcW w:w="28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416</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662"/>
        </w:trPr>
        <w:tc>
          <w:tcPr>
            <w:tcW w:w="6240" w:type="dxa"/>
            <w:vAlign w:val="bottom"/>
          </w:tcPr>
          <w:p>
            <w:pPr>
              <w:spacing w:after="0"/>
              <w:rPr>
                <w:sz w:val="20"/>
                <w:szCs w:val="20"/>
                <w:color w:val="auto"/>
              </w:rPr>
            </w:pPr>
            <w:r>
              <w:rPr>
                <w:rFonts w:ascii="Arial" w:cs="Arial" w:eastAsia="Arial" w:hAnsi="Arial"/>
                <w:sz w:val="18"/>
                <w:szCs w:val="18"/>
                <w:b w:val="1"/>
                <w:bCs w:val="1"/>
                <w:color w:val="auto"/>
              </w:rPr>
              <w:t>4. Accrued Liabilities</w:t>
            </w: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6240" w:type="dxa"/>
            <w:vAlign w:val="bottom"/>
          </w:tcPr>
          <w:p>
            <w:pPr>
              <w:ind w:left="520"/>
              <w:spacing w:after="0"/>
              <w:rPr>
                <w:sz w:val="20"/>
                <w:szCs w:val="20"/>
                <w:color w:val="auto"/>
              </w:rPr>
            </w:pPr>
            <w:r>
              <w:rPr>
                <w:rFonts w:ascii="Arial" w:cs="Arial" w:eastAsia="Arial" w:hAnsi="Arial"/>
                <w:sz w:val="18"/>
                <w:szCs w:val="18"/>
                <w:color w:val="auto"/>
              </w:rPr>
              <w:t>Accrued liabilities consisted of the following (in thousands):</w:t>
            </w: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6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0" w:type="dxa"/>
            <w:vAlign w:val="bottom"/>
            <w:gridSpan w:val="5"/>
          </w:tcPr>
          <w:p>
            <w:pPr>
              <w:jc w:val="right"/>
              <w:ind w:right="880"/>
              <w:spacing w:after="0"/>
              <w:rPr>
                <w:sz w:val="20"/>
                <w:szCs w:val="20"/>
                <w:color w:val="auto"/>
              </w:rPr>
            </w:pPr>
            <w:r>
              <w:rPr>
                <w:rFonts w:ascii="Arial" w:cs="Arial" w:eastAsia="Arial" w:hAnsi="Arial"/>
                <w:sz w:val="16"/>
                <w:szCs w:val="16"/>
                <w:b w:val="1"/>
                <w:bCs w:val="1"/>
                <w:color w:val="auto"/>
              </w:rPr>
              <w:t>September 30,</w:t>
            </w:r>
          </w:p>
        </w:tc>
        <w:tc>
          <w:tcPr>
            <w:tcW w:w="240" w:type="dxa"/>
            <w:vAlign w:val="bottom"/>
          </w:tcPr>
          <w:p>
            <w:pPr>
              <w:spacing w:after="0"/>
              <w:rPr>
                <w:sz w:val="24"/>
                <w:szCs w:val="24"/>
                <w:color w:val="auto"/>
              </w:rPr>
            </w:pPr>
          </w:p>
        </w:tc>
        <w:tc>
          <w:tcPr>
            <w:tcW w:w="1400" w:type="dxa"/>
            <w:vAlign w:val="bottom"/>
            <w:gridSpan w:val="3"/>
          </w:tcPr>
          <w:p>
            <w:pPr>
              <w:jc w:val="right"/>
              <w:ind w:right="400"/>
              <w:spacing w:after="0"/>
              <w:rPr>
                <w:sz w:val="20"/>
                <w:szCs w:val="20"/>
                <w:color w:val="auto"/>
              </w:rPr>
            </w:pPr>
            <w:r>
              <w:rPr>
                <w:rFonts w:ascii="Arial" w:cs="Arial" w:eastAsia="Arial" w:hAnsi="Arial"/>
                <w:sz w:val="16"/>
                <w:szCs w:val="16"/>
                <w:b w:val="1"/>
                <w:bCs w:val="1"/>
                <w:color w:val="auto"/>
                <w:w w:val="94"/>
              </w:rPr>
              <w:t>December 31,</w:t>
            </w:r>
          </w:p>
        </w:tc>
        <w:tc>
          <w:tcPr>
            <w:tcW w:w="0" w:type="dxa"/>
            <w:vAlign w:val="bottom"/>
          </w:tcPr>
          <w:p>
            <w:pPr>
              <w:spacing w:after="0"/>
              <w:rPr>
                <w:sz w:val="1"/>
                <w:szCs w:val="1"/>
                <w:color w:val="auto"/>
              </w:rPr>
            </w:pPr>
          </w:p>
        </w:tc>
      </w:tr>
      <w:tr>
        <w:trPr>
          <w:trHeight w:val="242"/>
        </w:trPr>
        <w:tc>
          <w:tcPr>
            <w:tcW w:w="6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560" w:type="dxa"/>
            <w:vAlign w:val="bottom"/>
            <w:tcBorders>
              <w:bottom w:val="single" w:sz="8" w:color="auto"/>
            </w:tcBorders>
            <w:gridSpan w:val="4"/>
          </w:tcPr>
          <w:p>
            <w:pPr>
              <w:jc w:val="right"/>
              <w:ind w:right="531"/>
              <w:spacing w:after="0"/>
              <w:rPr>
                <w:sz w:val="20"/>
                <w:szCs w:val="20"/>
                <w:color w:val="auto"/>
              </w:rPr>
            </w:pPr>
            <w:r>
              <w:rPr>
                <w:rFonts w:ascii="Arial" w:cs="Arial" w:eastAsia="Arial" w:hAnsi="Arial"/>
                <w:sz w:val="16"/>
                <w:szCs w:val="16"/>
                <w:b w:val="1"/>
                <w:bCs w:val="1"/>
                <w:color w:val="auto"/>
              </w:rPr>
              <w:t>2021</w:t>
            </w:r>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532"/>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6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Accrued research and development</w:t>
            </w:r>
          </w:p>
        </w:tc>
        <w:tc>
          <w:tcPr>
            <w:tcW w:w="1200" w:type="dxa"/>
            <w:vAlign w:val="bottom"/>
            <w:shd w:val="clear" w:color="auto" w:fill="CFF0FC"/>
          </w:tcPr>
          <w:p>
            <w:pPr>
              <w:spacing w:after="0"/>
              <w:rPr>
                <w:sz w:val="22"/>
                <w:szCs w:val="22"/>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1,594</w:t>
            </w:r>
          </w:p>
        </w:tc>
        <w:tc>
          <w:tcPr>
            <w:tcW w:w="32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40" w:type="dxa"/>
            <w:vAlign w:val="bottom"/>
            <w:shd w:val="clear" w:color="auto" w:fill="CFF0FC"/>
          </w:tcPr>
          <w:p>
            <w:pPr>
              <w:spacing w:after="0"/>
              <w:rPr>
                <w:sz w:val="22"/>
                <w:szCs w:val="22"/>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234</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6240" w:type="dxa"/>
            <w:vAlign w:val="bottom"/>
          </w:tcPr>
          <w:p>
            <w:pPr>
              <w:ind w:left="20"/>
              <w:spacing w:after="0"/>
              <w:rPr>
                <w:sz w:val="20"/>
                <w:szCs w:val="20"/>
                <w:color w:val="auto"/>
              </w:rPr>
            </w:pPr>
            <w:r>
              <w:rPr>
                <w:rFonts w:ascii="Arial" w:cs="Arial" w:eastAsia="Arial" w:hAnsi="Arial"/>
                <w:sz w:val="18"/>
                <w:szCs w:val="18"/>
                <w:color w:val="auto"/>
              </w:rPr>
              <w:t>Accrued employee costs</w:t>
            </w:r>
          </w:p>
        </w:tc>
        <w:tc>
          <w:tcPr>
            <w:tcW w:w="1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1,145</w:t>
            </w:r>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1,132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6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Accrued professional fees</w:t>
            </w:r>
          </w:p>
        </w:tc>
        <w:tc>
          <w:tcPr>
            <w:tcW w:w="120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42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w:t>
            </w:r>
          </w:p>
        </w:tc>
        <w:tc>
          <w:tcPr>
            <w:tcW w:w="32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6240" w:type="dxa"/>
            <w:vAlign w:val="bottom"/>
          </w:tcPr>
          <w:p>
            <w:pPr>
              <w:ind w:left="20"/>
              <w:spacing w:after="0"/>
              <w:rPr>
                <w:sz w:val="20"/>
                <w:szCs w:val="20"/>
                <w:color w:val="auto"/>
              </w:rPr>
            </w:pPr>
            <w:r>
              <w:rPr>
                <w:rFonts w:ascii="Arial" w:cs="Arial" w:eastAsia="Arial" w:hAnsi="Arial"/>
                <w:sz w:val="18"/>
                <w:szCs w:val="18"/>
                <w:color w:val="auto"/>
              </w:rPr>
              <w:t>Accrued expense</w:t>
            </w:r>
          </w:p>
        </w:tc>
        <w:tc>
          <w:tcPr>
            <w:tcW w:w="12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w:t>
            </w:r>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0"/>
        </w:trPr>
        <w:tc>
          <w:tcPr>
            <w:tcW w:w="6240" w:type="dxa"/>
            <w:vAlign w:val="bottom"/>
            <w:tcBorders>
              <w:bottom w:val="single" w:sz="8" w:color="CFF0FC"/>
            </w:tcBorders>
            <w:shd w:val="clear" w:color="auto" w:fill="CFF0FC"/>
          </w:tcPr>
          <w:p>
            <w:pPr>
              <w:spacing w:after="0"/>
              <w:rPr>
                <w:sz w:val="24"/>
                <w:szCs w:val="24"/>
                <w:color w:val="auto"/>
              </w:rPr>
            </w:pPr>
          </w:p>
        </w:tc>
        <w:tc>
          <w:tcPr>
            <w:tcW w:w="120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spacing w:after="0"/>
              <w:rPr>
                <w:sz w:val="24"/>
                <w:szCs w:val="24"/>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2,996</w:t>
            </w:r>
          </w:p>
        </w:tc>
        <w:tc>
          <w:tcPr>
            <w:tcW w:w="32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40" w:type="dxa"/>
            <w:vAlign w:val="bottom"/>
            <w:tcBorders>
              <w:bottom w:val="single" w:sz="8" w:color="auto"/>
            </w:tcBorders>
            <w:shd w:val="clear" w:color="auto" w:fill="CFF0FC"/>
          </w:tcPr>
          <w:p>
            <w:pPr>
              <w:spacing w:after="0"/>
              <w:rPr>
                <w:sz w:val="24"/>
                <w:szCs w:val="24"/>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1,582</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-1885315</wp:posOffset>
            </wp:positionV>
            <wp:extent cx="33464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34645"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-1868170</wp:posOffset>
            </wp:positionV>
            <wp:extent cx="33464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3464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-1885315</wp:posOffset>
            </wp:positionV>
            <wp:extent cx="6858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-1868170</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-24765</wp:posOffset>
            </wp:positionV>
            <wp:extent cx="37719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77190"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-7620</wp:posOffset>
            </wp:positionV>
            <wp:extent cx="37719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7719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w:t>
      </w:r>
      <w:r>
        <w:rPr>
          <w:rFonts w:ascii="Arial" w:cs="Arial" w:eastAsia="Arial" w:hAnsi="Arial"/>
          <w:sz w:val="18"/>
          <w:szCs w:val="18"/>
          <w:color w:val="auto"/>
        </w:rPr>
        <w:t>.</w:t>
      </w:r>
      <w:r>
        <w:rPr>
          <w:rFonts w:ascii="Arial" w:cs="Arial" w:eastAsia="Arial" w:hAnsi="Arial"/>
          <w:sz w:val="18"/>
          <w:szCs w:val="18"/>
          <w:b w:val="1"/>
          <w:bCs w:val="1"/>
          <w:color w:val="auto"/>
        </w:rPr>
        <w:t xml:space="preserve"> CARES Act Paycheck Protection Program Loan</w:t>
      </w:r>
    </w:p>
    <w:p>
      <w:pPr>
        <w:spacing w:after="0" w:line="135" w:lineRule="exact"/>
        <w:rPr>
          <w:sz w:val="20"/>
          <w:szCs w:val="20"/>
          <w:color w:val="auto"/>
        </w:rPr>
      </w:pPr>
    </w:p>
    <w:p>
      <w:pPr>
        <w:ind w:right="100" w:firstLine="469"/>
        <w:spacing w:after="0" w:line="275" w:lineRule="auto"/>
        <w:rPr>
          <w:sz w:val="20"/>
          <w:szCs w:val="20"/>
          <w:color w:val="auto"/>
        </w:rPr>
      </w:pPr>
      <w:r>
        <w:rPr>
          <w:rFonts w:ascii="Arial" w:cs="Arial" w:eastAsia="Arial" w:hAnsi="Arial"/>
          <w:sz w:val="18"/>
          <w:szCs w:val="18"/>
          <w:color w:val="auto"/>
        </w:rPr>
        <w:t>On April 20, 2020, the Company entered into a loan agreement with Silicon Valley Bank (the “PPP Lender”) under the terms of which the PPP Lender made a loan to the Company in an aggregate principal amount of $1.0 million (the “PPP Loan”) pursuant to the Paycheck Protection Program (the “PPP”) under the Coronavirus Aid, Relief, and Economic Security Act (the “CARES Act”). The PPP Loan is evidenced by a promissory note (the “Note”) containing the terms and conditions for repayment of the PPP Loan.</w:t>
      </w:r>
    </w:p>
    <w:p>
      <w:pPr>
        <w:spacing w:after="0" w:line="77" w:lineRule="exact"/>
        <w:rPr>
          <w:sz w:val="20"/>
          <w:szCs w:val="20"/>
          <w:color w:val="auto"/>
        </w:rPr>
      </w:pPr>
    </w:p>
    <w:p>
      <w:pPr>
        <w:ind w:right="180" w:firstLine="469"/>
        <w:spacing w:after="0" w:line="279" w:lineRule="auto"/>
        <w:rPr>
          <w:sz w:val="20"/>
          <w:szCs w:val="20"/>
          <w:color w:val="auto"/>
        </w:rPr>
      </w:pPr>
      <w:r>
        <w:rPr>
          <w:rFonts w:ascii="Arial" w:cs="Arial" w:eastAsia="Arial" w:hAnsi="Arial"/>
          <w:sz w:val="18"/>
          <w:szCs w:val="18"/>
          <w:color w:val="auto"/>
        </w:rPr>
        <w:t>Under the terms of the Note and the PPP Loan, interest accrued on the outstanding principal amount at the rate of 1.0% per annum. The term of the Note was until April 2022, with the Company obligated to make equal monthly payments of principal and interest, beginning in November 2020 and continuing until the maturity date.</w:t>
      </w:r>
    </w:p>
    <w:p>
      <w:pPr>
        <w:spacing w:after="0" w:line="75" w:lineRule="exact"/>
        <w:rPr>
          <w:sz w:val="20"/>
          <w:szCs w:val="20"/>
          <w:color w:val="auto"/>
        </w:rPr>
      </w:pPr>
    </w:p>
    <w:p>
      <w:pPr>
        <w:ind w:right="120" w:firstLine="469"/>
        <w:spacing w:after="0" w:line="275" w:lineRule="auto"/>
        <w:rPr>
          <w:sz w:val="20"/>
          <w:szCs w:val="20"/>
          <w:color w:val="auto"/>
        </w:rPr>
      </w:pPr>
      <w:r>
        <w:rPr>
          <w:rFonts w:ascii="Arial" w:cs="Arial" w:eastAsia="Arial" w:hAnsi="Arial"/>
          <w:sz w:val="18"/>
          <w:szCs w:val="18"/>
          <w:color w:val="auto"/>
        </w:rPr>
        <w:t xml:space="preserve">The CARES Act and the PPP provide a mechanism for forgiveness of up to the full amount borrowed. On January 11, 2021, the Company was notified by the PPP Lender that the PPP Loan had been forgiven in full, including approximately $7,000 of accrued interest. In accordance with ASC 405-20, </w:t>
      </w:r>
      <w:r>
        <w:rPr>
          <w:rFonts w:ascii="Arial" w:cs="Arial" w:eastAsia="Arial" w:hAnsi="Arial"/>
          <w:sz w:val="18"/>
          <w:szCs w:val="18"/>
          <w:i w:val="1"/>
          <w:iCs w:val="1"/>
          <w:color w:val="auto"/>
        </w:rPr>
        <w:t>Extinguishment of Liabilities</w:t>
      </w:r>
      <w:r>
        <w:rPr>
          <w:rFonts w:ascii="Arial" w:cs="Arial" w:eastAsia="Arial" w:hAnsi="Arial"/>
          <w:sz w:val="18"/>
          <w:szCs w:val="18"/>
          <w:color w:val="auto"/>
        </w:rPr>
        <w:t>, the income from the forgiveness of the amount borrowed and the accrued interest was recognized in the statement of operations in other income as a gain on extinguishment of debt.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Common Stock</w:t>
      </w:r>
    </w:p>
    <w:p>
      <w:pPr>
        <w:spacing w:after="0" w:line="135" w:lineRule="exact"/>
        <w:rPr>
          <w:sz w:val="20"/>
          <w:szCs w:val="20"/>
          <w:color w:val="auto"/>
        </w:rPr>
      </w:pPr>
    </w:p>
    <w:p>
      <w:pPr>
        <w:ind w:right="60" w:firstLine="509"/>
        <w:spacing w:after="0" w:line="359" w:lineRule="auto"/>
        <w:rPr>
          <w:sz w:val="20"/>
          <w:szCs w:val="20"/>
          <w:color w:val="auto"/>
        </w:rPr>
      </w:pPr>
      <w:r>
        <w:rPr>
          <w:rFonts w:ascii="Arial" w:cs="Arial" w:eastAsia="Arial" w:hAnsi="Arial"/>
          <w:sz w:val="16"/>
          <w:szCs w:val="16"/>
          <w:color w:val="auto"/>
        </w:rPr>
        <w:t>The Company’s amended and restated certificate of incorporation authorizes the Company to issue 100,000,000 shares of $0.001 par value common stock. As of September 30, 2021 and December 31, 2020, there were 59,626,519 and 51,860,941 shares of common stock outstanding, respectively.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Stock Purchase Warrants</w:t>
      </w:r>
    </w:p>
    <w:p>
      <w:pPr>
        <w:spacing w:after="0" w:line="135" w:lineRule="exact"/>
        <w:rPr>
          <w:sz w:val="20"/>
          <w:szCs w:val="20"/>
          <w:color w:val="auto"/>
        </w:rPr>
      </w:pPr>
    </w:p>
    <w:p>
      <w:pPr>
        <w:ind w:right="120" w:firstLine="509"/>
        <w:spacing w:after="0" w:line="299" w:lineRule="auto"/>
        <w:rPr>
          <w:sz w:val="20"/>
          <w:szCs w:val="20"/>
          <w:color w:val="auto"/>
        </w:rPr>
      </w:pPr>
      <w:r>
        <w:rPr>
          <w:rFonts w:ascii="Arial" w:cs="Arial" w:eastAsia="Arial" w:hAnsi="Arial"/>
          <w:sz w:val="16"/>
          <w:szCs w:val="16"/>
          <w:color w:val="auto"/>
        </w:rPr>
        <w:t>In September 2016, in connection with a loan agreement, the Company issued warrants to purchase up to 29,796 shares of common stock at a price per share of $10.74. The warrants expire in September 2026, or earlier upon the occurrence of specified mergers or acquisitions of the Company, and are immediately exercisable</w:t>
      </w:r>
      <w:r>
        <w:rPr>
          <w:rFonts w:ascii="Arial" w:cs="Arial" w:eastAsia="Arial" w:hAnsi="Arial"/>
          <w:sz w:val="16"/>
          <w:szCs w:val="16"/>
          <w:color w:val="1F497D"/>
        </w:rPr>
        <w:t>.</w:t>
      </w:r>
      <w:r>
        <w:rPr>
          <w:rFonts w:ascii="Arial" w:cs="Arial" w:eastAsia="Arial" w:hAnsi="Arial"/>
          <w:sz w:val="16"/>
          <w:szCs w:val="16"/>
          <w:color w:val="auto"/>
        </w:rPr>
        <w:t xml:space="preserve"> The warrants were recorded in equity and had a weighted average remaining life of 5.0 years as of September 30, 2021.</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8. Share-Based Compensation</w:t>
      </w:r>
    </w:p>
    <w:p>
      <w:pPr>
        <w:spacing w:after="0" w:line="13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 xml:space="preserve">Share-based compensation is accounted for in accordance with the provisions of ASC 718, </w:t>
      </w:r>
      <w:r>
        <w:rPr>
          <w:rFonts w:ascii="Arial" w:cs="Arial" w:eastAsia="Arial" w:hAnsi="Arial"/>
          <w:sz w:val="18"/>
          <w:szCs w:val="18"/>
          <w:i w:val="1"/>
          <w:iCs w:val="1"/>
          <w:color w:val="auto"/>
        </w:rPr>
        <w:t>Compensation-Stock Compensation</w:t>
      </w:r>
      <w:r>
        <w:rPr>
          <w:rFonts w:ascii="Arial" w:cs="Arial" w:eastAsia="Arial" w:hAnsi="Arial"/>
          <w:sz w:val="18"/>
          <w:szCs w:val="18"/>
          <w:color w:val="auto"/>
        </w:rPr>
        <w: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131" w:lineRule="exact"/>
        <w:rPr>
          <w:sz w:val="20"/>
          <w:szCs w:val="20"/>
          <w:color w:val="auto"/>
        </w:rPr>
      </w:pPr>
    </w:p>
    <w:p>
      <w:pPr>
        <w:ind w:right="100" w:firstLine="509"/>
        <w:spacing w:after="0" w:line="329" w:lineRule="auto"/>
        <w:rPr>
          <w:sz w:val="20"/>
          <w:szCs w:val="20"/>
          <w:color w:val="auto"/>
        </w:rPr>
      </w:pPr>
      <w:r>
        <w:rPr>
          <w:rFonts w:ascii="Arial" w:cs="Arial" w:eastAsia="Arial" w:hAnsi="Arial"/>
          <w:sz w:val="16"/>
          <w:szCs w:val="16"/>
          <w:color w:val="auto"/>
        </w:rPr>
        <w:t>The Company has granted stock option awards to employees, directors and consultants from its 2011 Stock Incentive Plan (the “2011 Plan”) and its 2016 Equity Incentive Plan (the “2016 Plan”). The estimated fair value of options granted is determined as of the date of grant using the Black-Scholes option pricing model. The resulting fair value is recognized ratably over the requisite service period, which is generally the vesting period of the awards.</w:t>
      </w:r>
    </w:p>
    <w:p>
      <w:pPr>
        <w:spacing w:after="0" w:line="40" w:lineRule="exact"/>
        <w:rPr>
          <w:sz w:val="20"/>
          <w:szCs w:val="20"/>
          <w:color w:val="auto"/>
        </w:rPr>
      </w:pPr>
    </w:p>
    <w:p>
      <w:pPr>
        <w:ind w:right="80" w:firstLine="509"/>
        <w:spacing w:after="0" w:line="293" w:lineRule="auto"/>
        <w:rPr>
          <w:sz w:val="20"/>
          <w:szCs w:val="20"/>
          <w:color w:val="auto"/>
        </w:rPr>
      </w:pPr>
      <w:r>
        <w:rPr>
          <w:rFonts w:ascii="Arial" w:cs="Arial" w:eastAsia="Arial" w:hAnsi="Arial"/>
          <w:sz w:val="18"/>
          <w:szCs w:val="18"/>
          <w:color w:val="auto"/>
        </w:rPr>
        <w:t>Share-based compensation expense for options granted under the 2011 Plan and the 2016 Plan is reflected in the statements of operations as follows (in thousands):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600" w:type="dxa"/>
            <w:vAlign w:val="bottom"/>
          </w:tcPr>
          <w:p>
            <w:pPr>
              <w:spacing w:after="0"/>
              <w:rPr>
                <w:sz w:val="17"/>
                <w:szCs w:val="17"/>
                <w:color w:val="auto"/>
              </w:rPr>
            </w:pPr>
          </w:p>
        </w:tc>
        <w:tc>
          <w:tcPr>
            <w:tcW w:w="2240" w:type="dxa"/>
            <w:vAlign w:val="bottom"/>
            <w:gridSpan w:val="5"/>
          </w:tcPr>
          <w:p>
            <w:pPr>
              <w:jc w:val="center"/>
              <w:ind w:left="275"/>
              <w:spacing w:after="0"/>
              <w:rPr>
                <w:sz w:val="20"/>
                <w:szCs w:val="20"/>
                <w:color w:val="auto"/>
              </w:rPr>
            </w:pPr>
            <w:r>
              <w:rPr>
                <w:rFonts w:ascii="Arial" w:cs="Arial" w:eastAsia="Arial" w:hAnsi="Arial"/>
                <w:sz w:val="16"/>
                <w:szCs w:val="16"/>
                <w:b w:val="1"/>
                <w:bCs w:val="1"/>
                <w:color w:val="auto"/>
                <w:w w:val="93"/>
              </w:rPr>
              <w:t>Three Months Ended</w:t>
            </w: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100" w:type="dxa"/>
            <w:vAlign w:val="bottom"/>
            <w:gridSpan w:val="6"/>
          </w:tcPr>
          <w:p>
            <w:pPr>
              <w:jc w:val="right"/>
              <w:ind w:right="53"/>
              <w:spacing w:after="0"/>
              <w:rPr>
                <w:sz w:val="20"/>
                <w:szCs w:val="20"/>
                <w:color w:val="auto"/>
              </w:rPr>
            </w:pPr>
            <w:r>
              <w:rPr>
                <w:rFonts w:ascii="Arial" w:cs="Arial" w:eastAsia="Arial" w:hAnsi="Arial"/>
                <w:sz w:val="16"/>
                <w:szCs w:val="16"/>
                <w:b w:val="1"/>
                <w:bCs w:val="1"/>
                <w:color w:val="auto"/>
              </w:rPr>
              <w:t>Nine Months Ended</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3"/>
        </w:trPr>
        <w:tc>
          <w:tcPr>
            <w:tcW w:w="5600" w:type="dxa"/>
            <w:vAlign w:val="bottom"/>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4"/>
          </w:tcPr>
          <w:p>
            <w:pPr>
              <w:jc w:val="center"/>
              <w:ind w:right="420"/>
              <w:spacing w:after="0"/>
              <w:rPr>
                <w:sz w:val="20"/>
                <w:szCs w:val="20"/>
                <w:color w:val="auto"/>
              </w:rPr>
            </w:pPr>
            <w:r>
              <w:rPr>
                <w:rFonts w:ascii="Arial" w:cs="Arial" w:eastAsia="Arial" w:hAnsi="Arial"/>
                <w:sz w:val="16"/>
                <w:szCs w:val="16"/>
                <w:b w:val="1"/>
                <w:bCs w:val="1"/>
                <w:color w:val="auto"/>
                <w:w w:val="91"/>
              </w:rPr>
              <w:t>September 30,</w:t>
            </w:r>
          </w:p>
        </w:tc>
        <w:tc>
          <w:tcPr>
            <w:tcW w:w="36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4"/>
          </w:tcPr>
          <w:p>
            <w:pPr>
              <w:jc w:val="right"/>
              <w:ind w:right="253"/>
              <w:spacing w:after="0"/>
              <w:rPr>
                <w:sz w:val="20"/>
                <w:szCs w:val="20"/>
                <w:color w:val="auto"/>
              </w:rPr>
            </w:pPr>
            <w:r>
              <w:rPr>
                <w:rFonts w:ascii="Arial" w:cs="Arial" w:eastAsia="Arial" w:hAnsi="Arial"/>
                <w:sz w:val="16"/>
                <w:szCs w:val="16"/>
                <w:b w:val="1"/>
                <w:bCs w:val="1"/>
                <w:color w:val="auto"/>
                <w:w w:val="93"/>
              </w:rPr>
              <w:t>September 30,</w:t>
            </w:r>
          </w:p>
        </w:tc>
        <w:tc>
          <w:tcPr>
            <w:tcW w:w="4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560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40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b w:val="1"/>
                <w:bCs w:val="1"/>
                <w:color w:val="auto"/>
              </w:rPr>
              <w:t>2020</w:t>
            </w:r>
          </w:p>
        </w:tc>
        <w:tc>
          <w:tcPr>
            <w:tcW w:w="36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Borders>
              <w:bottom w:val="single" w:sz="8" w:color="auto"/>
            </w:tcBorders>
            <w:gridSpan w:val="3"/>
          </w:tcPr>
          <w:p>
            <w:pPr>
              <w:jc w:val="right"/>
              <w:ind w:right="112"/>
              <w:spacing w:after="0"/>
              <w:rPr>
                <w:sz w:val="20"/>
                <w:szCs w:val="20"/>
                <w:color w:val="auto"/>
              </w:rPr>
            </w:pPr>
            <w:r>
              <w:rPr>
                <w:rFonts w:ascii="Arial" w:cs="Arial" w:eastAsia="Arial" w:hAnsi="Arial"/>
                <w:sz w:val="16"/>
                <w:szCs w:val="16"/>
                <w:b w:val="1"/>
                <w:bCs w:val="1"/>
                <w:color w:val="auto"/>
              </w:rPr>
              <w:t>2021</w:t>
            </w:r>
          </w:p>
        </w:tc>
        <w:tc>
          <w:tcPr>
            <w:tcW w:w="2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Borders>
              <w:bottom w:val="single" w:sz="8" w:color="auto"/>
            </w:tcBorders>
            <w:gridSpan w:val="2"/>
          </w:tcPr>
          <w:p>
            <w:pPr>
              <w:jc w:val="right"/>
              <w:ind w:right="330"/>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9"/>
                <w:szCs w:val="19"/>
                <w:color w:val="auto"/>
              </w:rPr>
            </w:pPr>
          </w:p>
        </w:tc>
      </w:tr>
      <w:tr>
        <w:trPr>
          <w:trHeight w:val="257"/>
        </w:trPr>
        <w:tc>
          <w:tcPr>
            <w:tcW w:w="5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Research and development</w:t>
            </w:r>
          </w:p>
        </w:tc>
        <w:tc>
          <w:tcPr>
            <w:tcW w:w="780" w:type="dxa"/>
            <w:vAlign w:val="bottom"/>
            <w:shd w:val="clear" w:color="auto" w:fill="CFF0FC"/>
          </w:tcPr>
          <w:p>
            <w:pPr>
              <w:jc w:val="right"/>
              <w:ind w:right="595"/>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391</w:t>
            </w:r>
          </w:p>
        </w:tc>
        <w:tc>
          <w:tcPr>
            <w:tcW w:w="900" w:type="dxa"/>
            <w:vAlign w:val="bottom"/>
            <w:gridSpan w:val="2"/>
            <w:shd w:val="clear" w:color="auto" w:fill="CFF0FC"/>
          </w:tcPr>
          <w:p>
            <w:pPr>
              <w:jc w:val="right"/>
              <w:ind w:right="455"/>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2"/>
                <w:szCs w:val="22"/>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290</w:t>
            </w:r>
          </w:p>
        </w:tc>
        <w:tc>
          <w:tcPr>
            <w:tcW w:w="1040" w:type="dxa"/>
            <w:vAlign w:val="bottom"/>
            <w:gridSpan w:val="2"/>
            <w:shd w:val="clear" w:color="auto" w:fill="CFF0FC"/>
          </w:tcPr>
          <w:p>
            <w:pPr>
              <w:jc w:val="right"/>
              <w:ind w:right="435"/>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2"/>
                <w:szCs w:val="22"/>
                <w:color w:val="auto"/>
              </w:rPr>
            </w:pPr>
          </w:p>
        </w:tc>
        <w:tc>
          <w:tcPr>
            <w:tcW w:w="4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w w:val="88"/>
              </w:rPr>
              <w:t>1,182</w:t>
            </w:r>
          </w:p>
        </w:tc>
        <w:tc>
          <w:tcPr>
            <w:tcW w:w="940" w:type="dxa"/>
            <w:vAlign w:val="bottom"/>
            <w:gridSpan w:val="2"/>
            <w:shd w:val="clear" w:color="auto" w:fill="CFF0FC"/>
          </w:tcPr>
          <w:p>
            <w:pPr>
              <w:jc w:val="right"/>
              <w:ind w:right="533"/>
              <w:spacing w:after="0"/>
              <w:rPr>
                <w:sz w:val="20"/>
                <w:szCs w:val="20"/>
                <w:color w:val="auto"/>
              </w:rPr>
            </w:pPr>
            <w:r>
              <w:rPr>
                <w:rFonts w:ascii="Arial" w:cs="Arial" w:eastAsia="Arial" w:hAnsi="Arial"/>
                <w:sz w:val="18"/>
                <w:szCs w:val="18"/>
                <w:color w:val="auto"/>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882</w:t>
            </w:r>
          </w:p>
        </w:tc>
        <w:tc>
          <w:tcPr>
            <w:tcW w:w="100" w:type="dxa"/>
            <w:vAlign w:val="bottom"/>
            <w:shd w:val="clear" w:color="auto" w:fill="CFF0FC"/>
          </w:tcPr>
          <w:p>
            <w:pPr>
              <w:spacing w:after="0"/>
              <w:rPr>
                <w:sz w:val="22"/>
                <w:szCs w:val="22"/>
                <w:color w:val="auto"/>
              </w:rPr>
            </w:pPr>
          </w:p>
        </w:tc>
      </w:tr>
      <w:tr>
        <w:trPr>
          <w:trHeight w:val="250"/>
        </w:trPr>
        <w:tc>
          <w:tcPr>
            <w:tcW w:w="560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78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525</w:t>
            </w:r>
          </w:p>
        </w:tc>
        <w:tc>
          <w:tcPr>
            <w:tcW w:w="240" w:type="dxa"/>
            <w:vAlign w:val="bottom"/>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w:t>
            </w:r>
          </w:p>
        </w:tc>
        <w:tc>
          <w:tcPr>
            <w:tcW w:w="400" w:type="dxa"/>
            <w:vAlign w:val="bottom"/>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88"/>
              </w:rPr>
              <w:t>1,461</w:t>
            </w:r>
          </w:p>
        </w:tc>
        <w:tc>
          <w:tcPr>
            <w:tcW w:w="220" w:type="dxa"/>
            <w:vAlign w:val="bottom"/>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1,176</w:t>
            </w:r>
          </w:p>
        </w:tc>
        <w:tc>
          <w:tcPr>
            <w:tcW w:w="100" w:type="dxa"/>
            <w:vAlign w:val="bottom"/>
          </w:tcPr>
          <w:p>
            <w:pPr>
              <w:spacing w:after="0"/>
              <w:rPr>
                <w:sz w:val="21"/>
                <w:szCs w:val="21"/>
                <w:color w:val="auto"/>
              </w:rPr>
            </w:pPr>
          </w:p>
        </w:tc>
      </w:tr>
      <w:tr>
        <w:trPr>
          <w:trHeight w:val="290"/>
        </w:trPr>
        <w:tc>
          <w:tcPr>
            <w:tcW w:w="56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Total</w:t>
            </w:r>
          </w:p>
        </w:tc>
        <w:tc>
          <w:tcPr>
            <w:tcW w:w="780" w:type="dxa"/>
            <w:vAlign w:val="bottom"/>
            <w:tcBorders>
              <w:bottom w:val="single" w:sz="8" w:color="auto"/>
            </w:tcBorders>
            <w:shd w:val="clear" w:color="auto" w:fill="CFF0FC"/>
          </w:tcPr>
          <w:p>
            <w:pPr>
              <w:jc w:val="right"/>
              <w:ind w:right="595"/>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916</w:t>
            </w:r>
          </w:p>
        </w:tc>
        <w:tc>
          <w:tcPr>
            <w:tcW w:w="240" w:type="dxa"/>
            <w:vAlign w:val="bottom"/>
            <w:tcBorders>
              <w:bottom w:val="single" w:sz="8" w:color="CFF0FC"/>
            </w:tcBorders>
            <w:shd w:val="clear" w:color="auto" w:fill="CFF0FC"/>
          </w:tcPr>
          <w:p>
            <w:pPr>
              <w:spacing w:after="0"/>
              <w:rPr>
                <w:sz w:val="24"/>
                <w:szCs w:val="24"/>
                <w:color w:val="auto"/>
              </w:rPr>
            </w:pPr>
          </w:p>
        </w:tc>
        <w:tc>
          <w:tcPr>
            <w:tcW w:w="660" w:type="dxa"/>
            <w:vAlign w:val="bottom"/>
            <w:tcBorders>
              <w:bottom w:val="single" w:sz="8" w:color="auto"/>
            </w:tcBorders>
            <w:shd w:val="clear" w:color="auto" w:fill="CFF0FC"/>
          </w:tcPr>
          <w:p>
            <w:pPr>
              <w:jc w:val="right"/>
              <w:ind w:right="455"/>
              <w:spacing w:after="0"/>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auto"/>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674</w:t>
            </w:r>
          </w:p>
        </w:tc>
        <w:tc>
          <w:tcPr>
            <w:tcW w:w="400" w:type="dxa"/>
            <w:vAlign w:val="bottom"/>
            <w:tcBorders>
              <w:bottom w:val="single" w:sz="8" w:color="CFF0FC"/>
            </w:tcBorders>
            <w:shd w:val="clear" w:color="auto" w:fill="CFF0FC"/>
          </w:tcPr>
          <w:p>
            <w:pPr>
              <w:spacing w:after="0"/>
              <w:rPr>
                <w:sz w:val="24"/>
                <w:szCs w:val="24"/>
                <w:color w:val="auto"/>
              </w:rPr>
            </w:pPr>
          </w:p>
        </w:tc>
        <w:tc>
          <w:tcPr>
            <w:tcW w:w="640" w:type="dxa"/>
            <w:vAlign w:val="bottom"/>
            <w:tcBorders>
              <w:bottom w:val="single" w:sz="8" w:color="auto"/>
            </w:tcBorders>
            <w:shd w:val="clear" w:color="auto" w:fill="CFF0FC"/>
          </w:tcPr>
          <w:p>
            <w:pPr>
              <w:jc w:val="right"/>
              <w:ind w:right="435"/>
              <w:spacing w:after="0"/>
              <w:rPr>
                <w:sz w:val="20"/>
                <w:szCs w:val="20"/>
                <w:color w:val="auto"/>
              </w:rPr>
            </w:pPr>
            <w:r>
              <w:rPr>
                <w:rFonts w:ascii="Arial" w:cs="Arial" w:eastAsia="Arial" w:hAnsi="Arial"/>
                <w:sz w:val="18"/>
                <w:szCs w:val="18"/>
                <w:color w:val="auto"/>
                <w:w w:val="99"/>
              </w:rPr>
              <w:t>$</w:t>
            </w:r>
          </w:p>
        </w:tc>
        <w:tc>
          <w:tcPr>
            <w:tcW w:w="80" w:type="dxa"/>
            <w:vAlign w:val="bottom"/>
            <w:tcBorders>
              <w:bottom w:val="single" w:sz="8" w:color="auto"/>
            </w:tcBorders>
            <w:shd w:val="clear" w:color="auto" w:fill="CFF0FC"/>
          </w:tcPr>
          <w:p>
            <w:pPr>
              <w:spacing w:after="0"/>
              <w:rPr>
                <w:sz w:val="24"/>
                <w:szCs w:val="24"/>
                <w:color w:val="auto"/>
              </w:rPr>
            </w:pPr>
          </w:p>
        </w:tc>
        <w:tc>
          <w:tcPr>
            <w:tcW w:w="44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w w:val="88"/>
              </w:rPr>
              <w:t>2,643</w:t>
            </w:r>
          </w:p>
        </w:tc>
        <w:tc>
          <w:tcPr>
            <w:tcW w:w="220" w:type="dxa"/>
            <w:vAlign w:val="bottom"/>
            <w:tcBorders>
              <w:bottom w:val="single" w:sz="8" w:color="CFF0FC"/>
            </w:tcBorders>
            <w:shd w:val="clear" w:color="auto" w:fill="CFF0FC"/>
          </w:tcPr>
          <w:p>
            <w:pPr>
              <w:spacing w:after="0"/>
              <w:rPr>
                <w:sz w:val="24"/>
                <w:szCs w:val="24"/>
                <w:color w:val="auto"/>
              </w:rPr>
            </w:pPr>
          </w:p>
        </w:tc>
        <w:tc>
          <w:tcPr>
            <w:tcW w:w="720" w:type="dxa"/>
            <w:vAlign w:val="bottom"/>
            <w:tcBorders>
              <w:bottom w:val="single" w:sz="8" w:color="auto"/>
            </w:tcBorders>
            <w:shd w:val="clear" w:color="auto" w:fill="CFF0FC"/>
          </w:tcPr>
          <w:p>
            <w:pPr>
              <w:jc w:val="right"/>
              <w:ind w:right="533"/>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2,058</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352"/>
        </w:trPr>
        <w:tc>
          <w:tcPr>
            <w:tcW w:w="9320" w:type="dxa"/>
            <w:vAlign w:val="bottom"/>
            <w:gridSpan w:val="10"/>
          </w:tcPr>
          <w:p>
            <w:pPr>
              <w:ind w:left="520"/>
              <w:spacing w:after="0"/>
              <w:rPr>
                <w:sz w:val="20"/>
                <w:szCs w:val="20"/>
                <w:color w:val="auto"/>
              </w:rPr>
            </w:pPr>
            <w:r>
              <w:rPr>
                <w:rFonts w:ascii="Arial" w:cs="Arial" w:eastAsia="Arial" w:hAnsi="Arial"/>
                <w:sz w:val="18"/>
                <w:szCs w:val="18"/>
                <w:color w:val="auto"/>
                <w:w w:val="92"/>
              </w:rPr>
              <w:t>The following table summarizes the activity related to stock options during the nine months ended September 30, 2021:</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8"/>
        </w:trPr>
        <w:tc>
          <w:tcPr>
            <w:tcW w:w="56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gridSpan w:val="2"/>
          </w:tcPr>
          <w:p>
            <w:pPr>
              <w:jc w:val="center"/>
              <w:ind w:left="130"/>
              <w:spacing w:after="0"/>
              <w:rPr>
                <w:sz w:val="20"/>
                <w:szCs w:val="20"/>
                <w:color w:val="auto"/>
              </w:rPr>
            </w:pPr>
            <w:r>
              <w:rPr>
                <w:rFonts w:ascii="Arial" w:cs="Arial" w:eastAsia="Arial" w:hAnsi="Arial"/>
                <w:sz w:val="18"/>
                <w:szCs w:val="18"/>
                <w:b w:val="1"/>
                <w:bCs w:val="1"/>
                <w:color w:val="auto"/>
                <w:w w:val="88"/>
              </w:rPr>
              <w:t>Weighted</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56"/>
        </w:trPr>
        <w:tc>
          <w:tcPr>
            <w:tcW w:w="56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80" w:type="dxa"/>
            <w:vAlign w:val="bottom"/>
            <w:gridSpan w:val="4"/>
          </w:tcPr>
          <w:p>
            <w:pPr>
              <w:jc w:val="right"/>
              <w:ind w:right="440"/>
              <w:spacing w:after="0"/>
              <w:rPr>
                <w:sz w:val="20"/>
                <w:szCs w:val="20"/>
                <w:color w:val="auto"/>
              </w:rPr>
            </w:pPr>
            <w:r>
              <w:rPr>
                <w:rFonts w:ascii="Arial" w:cs="Arial" w:eastAsia="Arial" w:hAnsi="Arial"/>
                <w:sz w:val="18"/>
                <w:szCs w:val="18"/>
                <w:b w:val="1"/>
                <w:bCs w:val="1"/>
                <w:color w:val="auto"/>
              </w:rPr>
              <w:t>Number of</w:t>
            </w: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jc w:val="center"/>
              <w:spacing w:after="0"/>
              <w:rPr>
                <w:sz w:val="20"/>
                <w:szCs w:val="20"/>
                <w:color w:val="auto"/>
              </w:rPr>
            </w:pPr>
            <w:r>
              <w:rPr>
                <w:rFonts w:ascii="Arial" w:cs="Arial" w:eastAsia="Arial" w:hAnsi="Arial"/>
                <w:sz w:val="18"/>
                <w:szCs w:val="18"/>
                <w:b w:val="1"/>
                <w:bCs w:val="1"/>
                <w:color w:val="auto"/>
                <w:w w:val="87"/>
              </w:rPr>
              <w:t>Average</w:t>
            </w: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63"/>
        </w:trPr>
        <w:tc>
          <w:tcPr>
            <w:tcW w:w="56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gridSpan w:val="2"/>
          </w:tcPr>
          <w:p>
            <w:pPr>
              <w:jc w:val="right"/>
              <w:ind w:right="435"/>
              <w:spacing w:after="0"/>
              <w:rPr>
                <w:sz w:val="20"/>
                <w:szCs w:val="20"/>
                <w:color w:val="auto"/>
              </w:rPr>
            </w:pPr>
            <w:r>
              <w:rPr>
                <w:rFonts w:ascii="Arial" w:cs="Arial" w:eastAsia="Arial" w:hAnsi="Arial"/>
                <w:sz w:val="18"/>
                <w:szCs w:val="18"/>
                <w:b w:val="1"/>
                <w:bCs w:val="1"/>
                <w:color w:val="auto"/>
                <w:w w:val="83"/>
              </w:rPr>
              <w:t>Shares</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3"/>
          </w:tcPr>
          <w:p>
            <w:pPr>
              <w:jc w:val="center"/>
              <w:ind w:right="130"/>
              <w:spacing w:after="0"/>
              <w:rPr>
                <w:sz w:val="20"/>
                <w:szCs w:val="20"/>
                <w:color w:val="auto"/>
              </w:rPr>
            </w:pPr>
            <w:r>
              <w:rPr>
                <w:rFonts w:ascii="Arial" w:cs="Arial" w:eastAsia="Arial" w:hAnsi="Arial"/>
                <w:sz w:val="18"/>
                <w:szCs w:val="18"/>
                <w:b w:val="1"/>
                <w:bCs w:val="1"/>
                <w:color w:val="auto"/>
                <w:w w:val="87"/>
              </w:rPr>
              <w:t>Exercise Price</w:t>
            </w:r>
          </w:p>
        </w:tc>
        <w:tc>
          <w:tcPr>
            <w:tcW w:w="100" w:type="dxa"/>
            <w:vAlign w:val="bottom"/>
          </w:tcPr>
          <w:p>
            <w:pPr>
              <w:spacing w:after="0"/>
              <w:rPr>
                <w:sz w:val="22"/>
                <w:szCs w:val="22"/>
                <w:color w:val="auto"/>
              </w:rPr>
            </w:pPr>
          </w:p>
        </w:tc>
      </w:tr>
      <w:tr>
        <w:trPr>
          <w:trHeight w:val="257"/>
        </w:trPr>
        <w:tc>
          <w:tcPr>
            <w:tcW w:w="5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Options outstanding at December 31, 2020</w:t>
            </w:r>
          </w:p>
        </w:tc>
        <w:tc>
          <w:tcPr>
            <w:tcW w:w="780" w:type="dxa"/>
            <w:vAlign w:val="bottom"/>
            <w:shd w:val="clear" w:color="auto" w:fill="CFF0FC"/>
          </w:tcPr>
          <w:p>
            <w:pPr>
              <w:spacing w:after="0"/>
              <w:rPr>
                <w:sz w:val="22"/>
                <w:szCs w:val="22"/>
                <w:color w:val="auto"/>
              </w:rPr>
            </w:pPr>
          </w:p>
        </w:tc>
        <w:tc>
          <w:tcPr>
            <w:tcW w:w="40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66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4,248,193</w:t>
            </w:r>
          </w:p>
        </w:tc>
        <w:tc>
          <w:tcPr>
            <w:tcW w:w="80" w:type="dxa"/>
            <w:vAlign w:val="bottom"/>
            <w:shd w:val="clear" w:color="auto" w:fill="CFF0FC"/>
          </w:tcPr>
          <w:p>
            <w:pPr>
              <w:spacing w:after="0"/>
              <w:rPr>
                <w:sz w:val="22"/>
                <w:szCs w:val="22"/>
                <w:color w:val="auto"/>
              </w:rPr>
            </w:pPr>
          </w:p>
        </w:tc>
        <w:tc>
          <w:tcPr>
            <w:tcW w:w="4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2"/>
                <w:szCs w:val="22"/>
                <w:color w:val="auto"/>
              </w:rPr>
            </w:pPr>
          </w:p>
        </w:tc>
        <w:tc>
          <w:tcPr>
            <w:tcW w:w="720" w:type="dxa"/>
            <w:vAlign w:val="bottom"/>
            <w:shd w:val="clear" w:color="auto" w:fill="CFF0FC"/>
          </w:tcPr>
          <w:p>
            <w:pPr>
              <w:spacing w:after="0"/>
              <w:rPr>
                <w:sz w:val="22"/>
                <w:szCs w:val="22"/>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3.95</w:t>
            </w:r>
          </w:p>
        </w:tc>
        <w:tc>
          <w:tcPr>
            <w:tcW w:w="100" w:type="dxa"/>
            <w:vAlign w:val="bottom"/>
            <w:shd w:val="clear" w:color="auto" w:fill="CFF0FC"/>
          </w:tcPr>
          <w:p>
            <w:pPr>
              <w:spacing w:after="0"/>
              <w:rPr>
                <w:sz w:val="22"/>
                <w:szCs w:val="22"/>
                <w:color w:val="auto"/>
              </w:rPr>
            </w:pPr>
          </w:p>
        </w:tc>
      </w:tr>
      <w:tr>
        <w:trPr>
          <w:trHeight w:val="250"/>
        </w:trPr>
        <w:tc>
          <w:tcPr>
            <w:tcW w:w="5600" w:type="dxa"/>
            <w:vAlign w:val="bottom"/>
          </w:tcPr>
          <w:p>
            <w:pPr>
              <w:ind w:left="120"/>
              <w:spacing w:after="0"/>
              <w:rPr>
                <w:sz w:val="20"/>
                <w:szCs w:val="20"/>
                <w:color w:val="auto"/>
              </w:rPr>
            </w:pPr>
            <w:r>
              <w:rPr>
                <w:rFonts w:ascii="Arial" w:cs="Arial" w:eastAsia="Arial" w:hAnsi="Arial"/>
                <w:sz w:val="18"/>
                <w:szCs w:val="18"/>
                <w:color w:val="auto"/>
              </w:rPr>
              <w:t>Granted</w:t>
            </w:r>
          </w:p>
        </w:tc>
        <w:tc>
          <w:tcPr>
            <w:tcW w:w="7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1,794,906</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3.93</w:t>
            </w:r>
          </w:p>
        </w:tc>
        <w:tc>
          <w:tcPr>
            <w:tcW w:w="100" w:type="dxa"/>
            <w:vAlign w:val="bottom"/>
          </w:tcPr>
          <w:p>
            <w:pPr>
              <w:spacing w:after="0"/>
              <w:rPr>
                <w:sz w:val="21"/>
                <w:szCs w:val="21"/>
                <w:color w:val="auto"/>
              </w:rPr>
            </w:pPr>
          </w:p>
        </w:tc>
      </w:tr>
      <w:tr>
        <w:trPr>
          <w:trHeight w:val="263"/>
        </w:trPr>
        <w:tc>
          <w:tcPr>
            <w:tcW w:w="56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Exercised</w:t>
            </w:r>
          </w:p>
        </w:tc>
        <w:tc>
          <w:tcPr>
            <w:tcW w:w="780" w:type="dxa"/>
            <w:vAlign w:val="bottom"/>
            <w:shd w:val="clear" w:color="auto" w:fill="CFF0FC"/>
          </w:tcPr>
          <w:p>
            <w:pPr>
              <w:spacing w:after="0"/>
              <w:rPr>
                <w:sz w:val="22"/>
                <w:szCs w:val="22"/>
                <w:color w:val="auto"/>
              </w:rPr>
            </w:pPr>
          </w:p>
        </w:tc>
        <w:tc>
          <w:tcPr>
            <w:tcW w:w="40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66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11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(184,360 )</w:t>
            </w:r>
          </w:p>
        </w:tc>
        <w:tc>
          <w:tcPr>
            <w:tcW w:w="22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720" w:type="dxa"/>
            <w:vAlign w:val="bottom"/>
            <w:shd w:val="clear" w:color="auto" w:fill="CFF0FC"/>
          </w:tcPr>
          <w:p>
            <w:pPr>
              <w:spacing w:after="0"/>
              <w:rPr>
                <w:sz w:val="22"/>
                <w:szCs w:val="22"/>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w:t>
            </w:r>
          </w:p>
        </w:tc>
        <w:tc>
          <w:tcPr>
            <w:tcW w:w="100" w:type="dxa"/>
            <w:vAlign w:val="bottom"/>
            <w:shd w:val="clear" w:color="auto" w:fill="CFF0FC"/>
          </w:tcPr>
          <w:p>
            <w:pPr>
              <w:spacing w:after="0"/>
              <w:rPr>
                <w:sz w:val="22"/>
                <w:szCs w:val="22"/>
                <w:color w:val="auto"/>
              </w:rPr>
            </w:pPr>
          </w:p>
        </w:tc>
      </w:tr>
      <w:tr>
        <w:trPr>
          <w:trHeight w:val="257"/>
        </w:trPr>
        <w:tc>
          <w:tcPr>
            <w:tcW w:w="5600" w:type="dxa"/>
            <w:vAlign w:val="bottom"/>
          </w:tcPr>
          <w:p>
            <w:pPr>
              <w:ind w:left="120"/>
              <w:spacing w:after="0"/>
              <w:rPr>
                <w:sz w:val="20"/>
                <w:szCs w:val="20"/>
                <w:color w:val="auto"/>
              </w:rPr>
            </w:pPr>
            <w:r>
              <w:rPr>
                <w:rFonts w:ascii="Arial" w:cs="Arial" w:eastAsia="Arial" w:hAnsi="Arial"/>
                <w:sz w:val="18"/>
                <w:szCs w:val="18"/>
                <w:color w:val="auto"/>
              </w:rPr>
              <w:t>Forfeited</w:t>
            </w:r>
          </w:p>
        </w:tc>
        <w:tc>
          <w:tcPr>
            <w:tcW w:w="7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r>
      <w:tr>
        <w:trPr>
          <w:trHeight w:val="290"/>
        </w:trPr>
        <w:tc>
          <w:tcPr>
            <w:tcW w:w="56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Options outstanding at September 30, 2021</w:t>
            </w:r>
          </w:p>
        </w:tc>
        <w:tc>
          <w:tcPr>
            <w:tcW w:w="780" w:type="dxa"/>
            <w:vAlign w:val="bottom"/>
            <w:tcBorders>
              <w:bottom w:val="single" w:sz="8" w:color="CFF0FC"/>
            </w:tcBorders>
            <w:shd w:val="clear" w:color="auto" w:fill="CFF0FC"/>
          </w:tcPr>
          <w:p>
            <w:pPr>
              <w:spacing w:after="0"/>
              <w:rPr>
                <w:sz w:val="24"/>
                <w:szCs w:val="24"/>
                <w:color w:val="auto"/>
              </w:rPr>
            </w:pPr>
          </w:p>
        </w:tc>
        <w:tc>
          <w:tcPr>
            <w:tcW w:w="40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CFF0FC"/>
            </w:tcBorders>
            <w:shd w:val="clear" w:color="auto" w:fill="CFF0FC"/>
          </w:tcPr>
          <w:p>
            <w:pPr>
              <w:spacing w:after="0"/>
              <w:rPr>
                <w:sz w:val="24"/>
                <w:szCs w:val="24"/>
                <w:color w:val="auto"/>
              </w:rPr>
            </w:pPr>
          </w:p>
        </w:tc>
        <w:tc>
          <w:tcPr>
            <w:tcW w:w="66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top w:val="single" w:sz="8" w:color="auto"/>
              <w:bottom w:val="single" w:sz="8" w:color="auto"/>
            </w:tcBorders>
            <w:shd w:val="clear" w:color="auto" w:fill="CFF0FC"/>
          </w:tcPr>
          <w:p>
            <w:pPr>
              <w:spacing w:after="0"/>
              <w:rPr>
                <w:sz w:val="24"/>
                <w:szCs w:val="24"/>
                <w:color w:val="auto"/>
              </w:rPr>
            </w:pPr>
          </w:p>
        </w:tc>
        <w:tc>
          <w:tcPr>
            <w:tcW w:w="360" w:type="dxa"/>
            <w:vAlign w:val="bottom"/>
            <w:tcBorders>
              <w:top w:val="single" w:sz="8" w:color="auto"/>
              <w:bottom w:val="single" w:sz="8" w:color="auto"/>
            </w:tcBorders>
            <w:shd w:val="clear" w:color="auto" w:fill="CFF0FC"/>
          </w:tcPr>
          <w:p>
            <w:pPr>
              <w:spacing w:after="0"/>
              <w:rPr>
                <w:sz w:val="24"/>
                <w:szCs w:val="24"/>
                <w:color w:val="auto"/>
              </w:rPr>
            </w:pPr>
          </w:p>
        </w:tc>
        <w:tc>
          <w:tcPr>
            <w:tcW w:w="10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5,858,739</w:t>
            </w:r>
          </w:p>
        </w:tc>
        <w:tc>
          <w:tcPr>
            <w:tcW w:w="8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CFF0FC"/>
            </w:tcBorders>
            <w:shd w:val="clear" w:color="auto" w:fill="CFF0FC"/>
          </w:tcPr>
          <w:p>
            <w:pPr>
              <w:spacing w:after="0"/>
              <w:rPr>
                <w:sz w:val="24"/>
                <w:szCs w:val="24"/>
                <w:color w:val="auto"/>
              </w:rPr>
            </w:pPr>
          </w:p>
        </w:tc>
        <w:tc>
          <w:tcPr>
            <w:tcW w:w="720" w:type="dxa"/>
            <w:vAlign w:val="bottom"/>
            <w:tcBorders>
              <w:bottom w:val="single" w:sz="8" w:color="CFF0FC"/>
            </w:tcBorders>
            <w:shd w:val="clear" w:color="auto" w:fill="CFF0FC"/>
          </w:tcPr>
          <w:p>
            <w:pPr>
              <w:spacing w:after="0"/>
              <w:rPr>
                <w:sz w:val="24"/>
                <w:szCs w:val="24"/>
                <w:color w:val="auto"/>
              </w:rPr>
            </w:pPr>
          </w:p>
        </w:tc>
        <w:tc>
          <w:tcPr>
            <w:tcW w:w="4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4.03</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37"/>
        </w:trPr>
        <w:tc>
          <w:tcPr>
            <w:tcW w:w="56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gridSpan w:val="2"/>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96"/>
        </w:trPr>
        <w:tc>
          <w:tcPr>
            <w:tcW w:w="56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Options exercisable at December 31, 2020</w:t>
            </w:r>
          </w:p>
        </w:tc>
        <w:tc>
          <w:tcPr>
            <w:tcW w:w="780" w:type="dxa"/>
            <w:vAlign w:val="bottom"/>
            <w:tcBorders>
              <w:bottom w:val="single" w:sz="8" w:color="CFF0FC"/>
            </w:tcBorders>
            <w:shd w:val="clear" w:color="auto" w:fill="CFF0FC"/>
          </w:tcPr>
          <w:p>
            <w:pPr>
              <w:spacing w:after="0"/>
              <w:rPr>
                <w:sz w:val="24"/>
                <w:szCs w:val="24"/>
                <w:color w:val="auto"/>
              </w:rPr>
            </w:pPr>
          </w:p>
        </w:tc>
        <w:tc>
          <w:tcPr>
            <w:tcW w:w="40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CFF0FC"/>
            </w:tcBorders>
            <w:shd w:val="clear" w:color="auto" w:fill="CFF0FC"/>
          </w:tcPr>
          <w:p>
            <w:pPr>
              <w:spacing w:after="0"/>
              <w:rPr>
                <w:sz w:val="24"/>
                <w:szCs w:val="24"/>
                <w:color w:val="auto"/>
              </w:rPr>
            </w:pPr>
          </w:p>
        </w:tc>
        <w:tc>
          <w:tcPr>
            <w:tcW w:w="66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spacing w:after="0"/>
              <w:rPr>
                <w:sz w:val="24"/>
                <w:szCs w:val="24"/>
                <w:color w:val="auto"/>
              </w:rPr>
            </w:pPr>
          </w:p>
        </w:tc>
        <w:tc>
          <w:tcPr>
            <w:tcW w:w="104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2,355,900</w:t>
            </w:r>
          </w:p>
        </w:tc>
        <w:tc>
          <w:tcPr>
            <w:tcW w:w="8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CFF0FC"/>
            </w:tcBorders>
            <w:shd w:val="clear" w:color="auto" w:fill="CFF0FC"/>
          </w:tcPr>
          <w:p>
            <w:pPr>
              <w:spacing w:after="0"/>
              <w:rPr>
                <w:sz w:val="24"/>
                <w:szCs w:val="24"/>
                <w:color w:val="auto"/>
              </w:rPr>
            </w:pPr>
          </w:p>
        </w:tc>
        <w:tc>
          <w:tcPr>
            <w:tcW w:w="720" w:type="dxa"/>
            <w:vAlign w:val="bottom"/>
            <w:tcBorders>
              <w:bottom w:val="single" w:sz="8" w:color="CFF0FC"/>
            </w:tcBorders>
            <w:shd w:val="clear" w:color="auto" w:fill="CFF0FC"/>
          </w:tcPr>
          <w:p>
            <w:pPr>
              <w:spacing w:after="0"/>
              <w:rPr>
                <w:sz w:val="24"/>
                <w:szCs w:val="24"/>
                <w:color w:val="auto"/>
              </w:rPr>
            </w:pPr>
          </w:p>
        </w:tc>
        <w:tc>
          <w:tcPr>
            <w:tcW w:w="4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4.96</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37"/>
        </w:trPr>
        <w:tc>
          <w:tcPr>
            <w:tcW w:w="56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gridSpan w:val="2"/>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97"/>
        </w:trPr>
        <w:tc>
          <w:tcPr>
            <w:tcW w:w="56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Options exercisable at September 30, 2021</w:t>
            </w:r>
          </w:p>
        </w:tc>
        <w:tc>
          <w:tcPr>
            <w:tcW w:w="780" w:type="dxa"/>
            <w:vAlign w:val="bottom"/>
            <w:tcBorders>
              <w:bottom w:val="single" w:sz="8" w:color="CFF0FC"/>
            </w:tcBorders>
            <w:shd w:val="clear" w:color="auto" w:fill="CFF0FC"/>
          </w:tcPr>
          <w:p>
            <w:pPr>
              <w:spacing w:after="0"/>
              <w:rPr>
                <w:sz w:val="24"/>
                <w:szCs w:val="24"/>
                <w:color w:val="auto"/>
              </w:rPr>
            </w:pPr>
          </w:p>
        </w:tc>
        <w:tc>
          <w:tcPr>
            <w:tcW w:w="40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CFF0FC"/>
            </w:tcBorders>
            <w:shd w:val="clear" w:color="auto" w:fill="CFF0FC"/>
          </w:tcPr>
          <w:p>
            <w:pPr>
              <w:spacing w:after="0"/>
              <w:rPr>
                <w:sz w:val="24"/>
                <w:szCs w:val="24"/>
                <w:color w:val="auto"/>
              </w:rPr>
            </w:pPr>
          </w:p>
        </w:tc>
        <w:tc>
          <w:tcPr>
            <w:tcW w:w="66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spacing w:after="0"/>
              <w:rPr>
                <w:sz w:val="24"/>
                <w:szCs w:val="24"/>
                <w:color w:val="auto"/>
              </w:rPr>
            </w:pPr>
          </w:p>
        </w:tc>
        <w:tc>
          <w:tcPr>
            <w:tcW w:w="104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3,081,524</w:t>
            </w:r>
          </w:p>
        </w:tc>
        <w:tc>
          <w:tcPr>
            <w:tcW w:w="8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CFF0FC"/>
            </w:tcBorders>
            <w:shd w:val="clear" w:color="auto" w:fill="CFF0FC"/>
          </w:tcPr>
          <w:p>
            <w:pPr>
              <w:spacing w:after="0"/>
              <w:rPr>
                <w:sz w:val="24"/>
                <w:szCs w:val="24"/>
                <w:color w:val="auto"/>
              </w:rPr>
            </w:pPr>
          </w:p>
        </w:tc>
        <w:tc>
          <w:tcPr>
            <w:tcW w:w="720" w:type="dxa"/>
            <w:vAlign w:val="bottom"/>
            <w:tcBorders>
              <w:bottom w:val="single" w:sz="8" w:color="CFF0FC"/>
            </w:tcBorders>
            <w:shd w:val="clear" w:color="auto" w:fill="CFF0FC"/>
          </w:tcPr>
          <w:p>
            <w:pPr>
              <w:spacing w:after="0"/>
              <w:rPr>
                <w:sz w:val="24"/>
                <w:szCs w:val="24"/>
                <w:color w:val="auto"/>
              </w:rPr>
            </w:pPr>
          </w:p>
        </w:tc>
        <w:tc>
          <w:tcPr>
            <w:tcW w:w="4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4.58</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-2390775</wp:posOffset>
            </wp:positionV>
            <wp:extent cx="16319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-2374265</wp:posOffset>
            </wp:positionV>
            <wp:extent cx="16319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63195"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-2390775</wp:posOffset>
            </wp:positionV>
            <wp:extent cx="25717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57175"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-2374265</wp:posOffset>
            </wp:positionV>
            <wp:extent cx="25717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57175"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-2390775</wp:posOffset>
            </wp:positionV>
            <wp:extent cx="14541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-2374265</wp:posOffset>
            </wp:positionV>
            <wp:extent cx="14541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4541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-2390775</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-2374265</wp:posOffset>
            </wp:positionV>
            <wp:extent cx="6858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-728345</wp:posOffset>
            </wp:positionV>
            <wp:extent cx="18859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-710565</wp:posOffset>
            </wp:positionV>
            <wp:extent cx="18859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-376555</wp:posOffset>
            </wp:positionV>
            <wp:extent cx="18859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-359410</wp:posOffset>
            </wp:positionV>
            <wp:extent cx="18859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-24765</wp:posOffset>
            </wp:positionV>
            <wp:extent cx="18859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-8255</wp:posOffset>
            </wp:positionV>
            <wp:extent cx="18859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88595" cy="8890"/>
                    </a:xfrm>
                    <a:prstGeom prst="rect">
                      <a:avLst/>
                    </a:prstGeom>
                    <a:noFill/>
                  </pic:spPr>
                </pic:pic>
              </a:graphicData>
            </a:graphic>
          </wp:anchor>
        </w:drawing>
      </w:r>
    </w:p>
    <w:p>
      <w:pPr>
        <w:spacing w:after="0" w:line="114" w:lineRule="exact"/>
        <w:rPr>
          <w:sz w:val="20"/>
          <w:szCs w:val="20"/>
          <w:color w:val="auto"/>
        </w:rPr>
      </w:pPr>
    </w:p>
    <w:p>
      <w:pPr>
        <w:ind w:right="580" w:firstLine="509"/>
        <w:spacing w:after="0" w:line="293" w:lineRule="auto"/>
        <w:rPr>
          <w:sz w:val="20"/>
          <w:szCs w:val="20"/>
          <w:color w:val="auto"/>
        </w:rPr>
      </w:pPr>
      <w:r>
        <w:rPr>
          <w:rFonts w:ascii="Arial" w:cs="Arial" w:eastAsia="Arial" w:hAnsi="Arial"/>
          <w:sz w:val="18"/>
          <w:szCs w:val="18"/>
          <w:color w:val="auto"/>
        </w:rPr>
        <w:t>As of September 30, 2021, the Company had $6.5 million of unrecognized compensation expense related to unvested stock options, which is expected to be recognized over a weighted average period of 2.7 years.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w:t>
      </w:r>
    </w:p>
    <w:p>
      <w:pPr>
        <w:spacing w:after="0" w:line="131" w:lineRule="exact"/>
        <w:rPr>
          <w:sz w:val="20"/>
          <w:szCs w:val="20"/>
          <w:color w:val="auto"/>
        </w:rPr>
      </w:pPr>
    </w:p>
    <w:p>
      <w:pPr>
        <w:ind w:right="40" w:firstLine="509"/>
        <w:spacing w:after="0" w:line="275" w:lineRule="auto"/>
        <w:rPr>
          <w:sz w:val="20"/>
          <w:szCs w:val="20"/>
          <w:color w:val="auto"/>
        </w:rPr>
      </w:pPr>
      <w:r>
        <w:rPr>
          <w:rFonts w:ascii="Arial" w:cs="Arial" w:eastAsia="Arial" w:hAnsi="Arial"/>
          <w:sz w:val="18"/>
          <w:szCs w:val="18"/>
          <w:color w:val="auto"/>
        </w:rPr>
        <w:t>The Company has granted restricted stock units (“RSUs”) to employees from the 2016 Plan. The shares underlying the RSU awards have vesting terms of two to four years from the date of grant subject to the employees’ continuous service and subject to accelerated vesting in specified circumstances. The fair value of the RSUs granted is measured based on the market value of the Company’s common stock on the date of grant and is recognized ratably over the requisite service period, which is generally the vesting period of the awards.</w:t>
      </w:r>
    </w:p>
    <w:p>
      <w:pPr>
        <w:spacing w:after="0" w:line="7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total share-based compensation expense related to RSUs is reflected in the statements of operations as follows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7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2240" w:type="dxa"/>
            <w:vAlign w:val="bottom"/>
            <w:gridSpan w:val="4"/>
          </w:tcPr>
          <w:p>
            <w:pPr>
              <w:jc w:val="right"/>
              <w:ind w:right="135"/>
              <w:spacing w:after="0"/>
              <w:rPr>
                <w:sz w:val="20"/>
                <w:szCs w:val="20"/>
                <w:color w:val="auto"/>
              </w:rPr>
            </w:pPr>
            <w:r>
              <w:rPr>
                <w:rFonts w:ascii="Arial" w:cs="Arial" w:eastAsia="Arial" w:hAnsi="Arial"/>
                <w:sz w:val="16"/>
                <w:szCs w:val="16"/>
                <w:b w:val="1"/>
                <w:bCs w:val="1"/>
                <w:color w:val="auto"/>
              </w:rPr>
              <w:t>Three Months Ended</w:t>
            </w:r>
          </w:p>
        </w:tc>
        <w:tc>
          <w:tcPr>
            <w:tcW w:w="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80" w:type="dxa"/>
            <w:vAlign w:val="bottom"/>
            <w:gridSpan w:val="4"/>
          </w:tcPr>
          <w:p>
            <w:pPr>
              <w:jc w:val="right"/>
              <w:ind w:right="492"/>
              <w:spacing w:after="0"/>
              <w:rPr>
                <w:sz w:val="20"/>
                <w:szCs w:val="20"/>
                <w:color w:val="auto"/>
              </w:rPr>
            </w:pPr>
            <w:r>
              <w:rPr>
                <w:rFonts w:ascii="Arial" w:cs="Arial" w:eastAsia="Arial" w:hAnsi="Arial"/>
                <w:sz w:val="16"/>
                <w:szCs w:val="16"/>
                <w:b w:val="1"/>
                <w:bCs w:val="1"/>
                <w:color w:val="auto"/>
              </w:rPr>
              <w:t>Nine Months Ended</w:t>
            </w:r>
          </w:p>
        </w:tc>
        <w:tc>
          <w:tcPr>
            <w:tcW w:w="100" w:type="dxa"/>
            <w:vAlign w:val="bottom"/>
          </w:tcPr>
          <w:p>
            <w:pPr>
              <w:spacing w:after="0"/>
              <w:rPr>
                <w:sz w:val="17"/>
                <w:szCs w:val="17"/>
                <w:color w:val="auto"/>
              </w:rPr>
            </w:pPr>
          </w:p>
        </w:tc>
      </w:tr>
      <w:tr>
        <w:trPr>
          <w:trHeight w:val="223"/>
        </w:trPr>
        <w:tc>
          <w:tcPr>
            <w:tcW w:w="37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3"/>
          </w:tcPr>
          <w:p>
            <w:pPr>
              <w:jc w:val="right"/>
              <w:ind w:right="375"/>
              <w:spacing w:after="0"/>
              <w:rPr>
                <w:sz w:val="20"/>
                <w:szCs w:val="20"/>
                <w:color w:val="auto"/>
              </w:rPr>
            </w:pPr>
            <w:r>
              <w:rPr>
                <w:rFonts w:ascii="Arial" w:cs="Arial" w:eastAsia="Arial" w:hAnsi="Arial"/>
                <w:sz w:val="16"/>
                <w:szCs w:val="16"/>
                <w:b w:val="1"/>
                <w:bCs w:val="1"/>
                <w:color w:val="auto"/>
                <w:w w:val="91"/>
              </w:rPr>
              <w:t>September 30,</w:t>
            </w:r>
          </w:p>
        </w:tc>
        <w:tc>
          <w:tcPr>
            <w:tcW w:w="36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7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37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40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36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35"/>
              <w:spacing w:after="0"/>
              <w:rPr>
                <w:sz w:val="20"/>
                <w:szCs w:val="20"/>
                <w:color w:val="auto"/>
              </w:rPr>
            </w:pPr>
            <w:r>
              <w:rPr>
                <w:rFonts w:ascii="Arial" w:cs="Arial" w:eastAsia="Arial" w:hAnsi="Arial"/>
                <w:sz w:val="16"/>
                <w:szCs w:val="16"/>
                <w:b w:val="1"/>
                <w:bCs w:val="1"/>
                <w:color w:val="auto"/>
              </w:rPr>
              <w:t>2021</w:t>
            </w:r>
          </w:p>
        </w:tc>
        <w:tc>
          <w:tcPr>
            <w:tcW w:w="2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32"/>
              <w:spacing w:after="0"/>
              <w:rPr>
                <w:sz w:val="20"/>
                <w:szCs w:val="20"/>
                <w:color w:val="auto"/>
              </w:rPr>
            </w:pPr>
            <w:r>
              <w:rPr>
                <w:rFonts w:ascii="Arial" w:cs="Arial" w:eastAsia="Arial" w:hAnsi="Arial"/>
                <w:sz w:val="16"/>
                <w:szCs w:val="16"/>
                <w:b w:val="1"/>
                <w:bCs w:val="1"/>
                <w:color w:val="auto"/>
                <w:w w:val="89"/>
              </w:rPr>
              <w:t>2020</w:t>
            </w:r>
          </w:p>
        </w:tc>
        <w:tc>
          <w:tcPr>
            <w:tcW w:w="100" w:type="dxa"/>
            <w:vAlign w:val="bottom"/>
          </w:tcPr>
          <w:p>
            <w:pPr>
              <w:spacing w:after="0"/>
              <w:rPr>
                <w:sz w:val="19"/>
                <w:szCs w:val="19"/>
                <w:color w:val="auto"/>
              </w:rPr>
            </w:pPr>
          </w:p>
        </w:tc>
      </w:tr>
      <w:tr>
        <w:trPr>
          <w:trHeight w:val="256"/>
        </w:trPr>
        <w:tc>
          <w:tcPr>
            <w:tcW w:w="3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Research and development</w:t>
            </w:r>
          </w:p>
        </w:tc>
        <w:tc>
          <w:tcPr>
            <w:tcW w:w="2620" w:type="dxa"/>
            <w:vAlign w:val="bottom"/>
            <w:gridSpan w:val="2"/>
            <w:shd w:val="clear" w:color="auto" w:fill="CFF0FC"/>
          </w:tcPr>
          <w:p>
            <w:pPr>
              <w:jc w:val="right"/>
              <w:ind w:right="576"/>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w:t>
            </w:r>
          </w:p>
        </w:tc>
        <w:tc>
          <w:tcPr>
            <w:tcW w:w="1080" w:type="dxa"/>
            <w:vAlign w:val="bottom"/>
            <w:gridSpan w:val="2"/>
            <w:shd w:val="clear" w:color="auto" w:fill="CFF0FC"/>
          </w:tcPr>
          <w:p>
            <w:pPr>
              <w:jc w:val="right"/>
              <w:ind w:right="635"/>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w:t>
            </w:r>
          </w:p>
        </w:tc>
        <w:tc>
          <w:tcPr>
            <w:tcW w:w="64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561</w:t>
            </w:r>
          </w:p>
        </w:tc>
        <w:tc>
          <w:tcPr>
            <w:tcW w:w="620" w:type="dxa"/>
            <w:vAlign w:val="bottom"/>
            <w:gridSpan w:val="2"/>
            <w:shd w:val="clear" w:color="auto" w:fill="CFF0FC"/>
          </w:tcPr>
          <w:p>
            <w:pPr>
              <w:jc w:val="right"/>
              <w:ind w:right="21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304</w:t>
            </w:r>
          </w:p>
        </w:tc>
        <w:tc>
          <w:tcPr>
            <w:tcW w:w="100" w:type="dxa"/>
            <w:vAlign w:val="bottom"/>
            <w:shd w:val="clear" w:color="auto" w:fill="CFF0FC"/>
          </w:tcPr>
          <w:p>
            <w:pPr>
              <w:spacing w:after="0"/>
              <w:rPr>
                <w:sz w:val="22"/>
                <w:szCs w:val="22"/>
                <w:color w:val="auto"/>
              </w:rPr>
            </w:pPr>
          </w:p>
        </w:tc>
      </w:tr>
      <w:tr>
        <w:trPr>
          <w:trHeight w:val="250"/>
        </w:trPr>
        <w:tc>
          <w:tcPr>
            <w:tcW w:w="376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1860" w:type="dxa"/>
            <w:vAlign w:val="bottom"/>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w:t>
            </w:r>
          </w:p>
        </w:tc>
        <w:tc>
          <w:tcPr>
            <w:tcW w:w="260" w:type="dxa"/>
            <w:vAlign w:val="bottom"/>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3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552</w:t>
            </w:r>
          </w:p>
        </w:tc>
        <w:tc>
          <w:tcPr>
            <w:tcW w:w="22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w:t>
            </w:r>
          </w:p>
        </w:tc>
        <w:tc>
          <w:tcPr>
            <w:tcW w:w="100" w:type="dxa"/>
            <w:vAlign w:val="bottom"/>
          </w:tcPr>
          <w:p>
            <w:pPr>
              <w:spacing w:after="0"/>
              <w:rPr>
                <w:sz w:val="21"/>
                <w:szCs w:val="21"/>
                <w:color w:val="auto"/>
              </w:rPr>
            </w:pPr>
          </w:p>
        </w:tc>
      </w:tr>
      <w:tr>
        <w:trPr>
          <w:trHeight w:val="290"/>
        </w:trPr>
        <w:tc>
          <w:tcPr>
            <w:tcW w:w="37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Total</w:t>
            </w:r>
          </w:p>
        </w:tc>
        <w:tc>
          <w:tcPr>
            <w:tcW w:w="1860" w:type="dxa"/>
            <w:vAlign w:val="bottom"/>
            <w:tcBorders>
              <w:bottom w:val="single" w:sz="8" w:color="CFF0FC"/>
            </w:tcBorders>
            <w:shd w:val="clear" w:color="auto" w:fill="CFF0FC"/>
          </w:tcPr>
          <w:p>
            <w:pPr>
              <w:spacing w:after="0"/>
              <w:rPr>
                <w:sz w:val="24"/>
                <w:szCs w:val="24"/>
                <w:color w:val="auto"/>
              </w:rPr>
            </w:pPr>
          </w:p>
        </w:tc>
        <w:tc>
          <w:tcPr>
            <w:tcW w:w="760" w:type="dxa"/>
            <w:vAlign w:val="bottom"/>
            <w:tcBorders>
              <w:bottom w:val="single" w:sz="8" w:color="auto"/>
            </w:tcBorders>
            <w:shd w:val="clear" w:color="auto" w:fill="CFF0FC"/>
          </w:tcPr>
          <w:p>
            <w:pPr>
              <w:jc w:val="right"/>
              <w:ind w:right="576"/>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384</w:t>
            </w:r>
          </w:p>
        </w:tc>
        <w:tc>
          <w:tcPr>
            <w:tcW w:w="260" w:type="dxa"/>
            <w:vAlign w:val="bottom"/>
            <w:tcBorders>
              <w:bottom w:val="single" w:sz="8" w:color="CFF0FC"/>
            </w:tcBorders>
            <w:shd w:val="clear" w:color="auto" w:fill="CFF0FC"/>
          </w:tcPr>
          <w:p>
            <w:pPr>
              <w:spacing w:after="0"/>
              <w:rPr>
                <w:sz w:val="24"/>
                <w:szCs w:val="24"/>
                <w:color w:val="auto"/>
              </w:rPr>
            </w:pPr>
          </w:p>
        </w:tc>
        <w:tc>
          <w:tcPr>
            <w:tcW w:w="820" w:type="dxa"/>
            <w:vAlign w:val="bottom"/>
            <w:tcBorders>
              <w:bottom w:val="single" w:sz="8" w:color="auto"/>
            </w:tcBorders>
            <w:shd w:val="clear" w:color="auto" w:fill="CFF0FC"/>
          </w:tcPr>
          <w:p>
            <w:pPr>
              <w:jc w:val="right"/>
              <w:ind w:right="635"/>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w:t>
            </w:r>
          </w:p>
        </w:tc>
        <w:tc>
          <w:tcPr>
            <w:tcW w:w="38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1,113</w:t>
            </w:r>
          </w:p>
        </w:tc>
        <w:tc>
          <w:tcPr>
            <w:tcW w:w="220" w:type="dxa"/>
            <w:vAlign w:val="bottom"/>
            <w:tcBorders>
              <w:bottom w:val="single" w:sz="8" w:color="CFF0FC"/>
            </w:tcBorders>
            <w:shd w:val="clear" w:color="auto" w:fill="CFF0FC"/>
          </w:tcPr>
          <w:p>
            <w:pPr>
              <w:spacing w:after="0"/>
              <w:rPr>
                <w:sz w:val="24"/>
                <w:szCs w:val="24"/>
                <w:color w:val="auto"/>
              </w:rPr>
            </w:pP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652</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446"/>
        </w:trPr>
        <w:tc>
          <w:tcPr>
            <w:tcW w:w="3760" w:type="dxa"/>
            <w:vAlign w:val="bottom"/>
          </w:tcPr>
          <w:p>
            <w:pPr>
              <w:spacing w:after="0"/>
              <w:rPr>
                <w:sz w:val="24"/>
                <w:szCs w:val="24"/>
                <w:color w:val="auto"/>
              </w:rPr>
            </w:pPr>
          </w:p>
        </w:tc>
        <w:tc>
          <w:tcPr>
            <w:tcW w:w="2620" w:type="dxa"/>
            <w:vAlign w:val="bottom"/>
            <w:gridSpan w:val="2"/>
          </w:tcPr>
          <w:p>
            <w:pPr>
              <w:jc w:val="right"/>
              <w:ind w:right="576"/>
              <w:spacing w:after="0"/>
              <w:rPr>
                <w:sz w:val="20"/>
                <w:szCs w:val="20"/>
                <w:color w:val="auto"/>
              </w:rPr>
            </w:pPr>
            <w:r>
              <w:rPr>
                <w:rFonts w:ascii="Arial" w:cs="Arial" w:eastAsia="Arial" w:hAnsi="Arial"/>
                <w:sz w:val="18"/>
                <w:szCs w:val="18"/>
                <w:color w:val="auto"/>
              </w:rPr>
              <w:t>11</w:t>
            </w: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01"/>
        </w:trPr>
        <w:tc>
          <w:tcPr>
            <w:tcW w:w="3760" w:type="dxa"/>
            <w:vAlign w:val="bottom"/>
            <w:tcBorders>
              <w:bottom w:val="single" w:sz="8" w:color="9A9A9A"/>
            </w:tcBorders>
          </w:tcPr>
          <w:p>
            <w:pPr>
              <w:spacing w:after="0"/>
              <w:rPr>
                <w:sz w:val="8"/>
                <w:szCs w:val="8"/>
                <w:color w:val="auto"/>
              </w:rPr>
            </w:pPr>
          </w:p>
        </w:tc>
        <w:tc>
          <w:tcPr>
            <w:tcW w:w="186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-393700</wp:posOffset>
            </wp:positionV>
            <wp:extent cx="16256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62560" cy="825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-376555</wp:posOffset>
            </wp:positionV>
            <wp:extent cx="16256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62560" cy="889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-393700</wp:posOffset>
            </wp:positionV>
            <wp:extent cx="24828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48285"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-376555</wp:posOffset>
            </wp:positionV>
            <wp:extent cx="24828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48285"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-393700</wp:posOffset>
            </wp:positionV>
            <wp:extent cx="14541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-376555</wp:posOffset>
            </wp:positionV>
            <wp:extent cx="14541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4541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-393700</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-376555</wp:posOffset>
            </wp:positionV>
            <wp:extent cx="6858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1" w:name="page12"/>
    <w:bookmarkEnd w:id="11"/>
    <w:p>
      <w:pPr>
        <w:ind w:left="520"/>
        <w:spacing w:after="0"/>
        <w:rPr>
          <w:sz w:val="20"/>
          <w:szCs w:val="20"/>
          <w:color w:val="auto"/>
        </w:rPr>
      </w:pPr>
      <w:r>
        <w:rPr>
          <w:rFonts w:ascii="Arial" w:cs="Arial" w:eastAsia="Arial" w:hAnsi="Arial"/>
          <w:sz w:val="17"/>
          <w:szCs w:val="17"/>
          <w:color w:val="auto"/>
        </w:rPr>
        <w:t>The following table summarizes the activity related to RSUs during the nine months ended September 30, 2021:</w:t>
      </w:r>
    </w:p>
    <w:p>
      <w:pPr>
        <w:spacing w:after="0" w:line="200" w:lineRule="exact"/>
        <w:rPr>
          <w:sz w:val="20"/>
          <w:szCs w:val="20"/>
          <w:color w:val="auto"/>
        </w:rPr>
      </w:pPr>
    </w:p>
    <w:p>
      <w:pPr>
        <w:spacing w:after="0" w:line="235"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7660" w:type="dxa"/>
            <w:vAlign w:val="bottom"/>
          </w:tcPr>
          <w:p>
            <w:pPr>
              <w:spacing w:after="0"/>
              <w:rPr>
                <w:sz w:val="20"/>
                <w:szCs w:val="20"/>
                <w:color w:val="auto"/>
              </w:rPr>
            </w:pPr>
          </w:p>
        </w:tc>
        <w:tc>
          <w:tcPr>
            <w:tcW w:w="164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Number of</w:t>
            </w:r>
          </w:p>
        </w:tc>
      </w:tr>
      <w:tr>
        <w:trPr>
          <w:trHeight w:val="263"/>
        </w:trPr>
        <w:tc>
          <w:tcPr>
            <w:tcW w:w="7660" w:type="dxa"/>
            <w:vAlign w:val="bottom"/>
          </w:tcPr>
          <w:p>
            <w:pPr>
              <w:spacing w:after="0"/>
              <w:rPr>
                <w:sz w:val="22"/>
                <w:szCs w:val="22"/>
                <w:color w:val="auto"/>
              </w:rPr>
            </w:pPr>
          </w:p>
        </w:tc>
        <w:tc>
          <w:tcPr>
            <w:tcW w:w="164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Shares</w:t>
            </w:r>
          </w:p>
        </w:tc>
      </w:tr>
      <w:tr>
        <w:trPr>
          <w:trHeight w:val="243"/>
        </w:trPr>
        <w:tc>
          <w:tcPr>
            <w:tcW w:w="7660" w:type="dxa"/>
            <w:vAlign w:val="bottom"/>
          </w:tcPr>
          <w:p>
            <w:pPr>
              <w:spacing w:after="0"/>
              <w:rPr>
                <w:sz w:val="20"/>
                <w:szCs w:val="20"/>
                <w:color w:val="auto"/>
              </w:rPr>
            </w:pPr>
            <w:r>
              <w:rPr>
                <w:rFonts w:ascii="Arial" w:cs="Arial" w:eastAsia="Arial" w:hAnsi="Arial"/>
                <w:sz w:val="18"/>
                <w:szCs w:val="18"/>
                <w:color w:val="auto"/>
              </w:rPr>
              <w:t>Non-vested RSUs outstanding at December 31, 2020</w:t>
            </w: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767,271</w:t>
            </w:r>
          </w:p>
        </w:tc>
        <w:tc>
          <w:tcPr>
            <w:tcW w:w="80" w:type="dxa"/>
            <w:vAlign w:val="bottom"/>
          </w:tcPr>
          <w:p>
            <w:pPr>
              <w:spacing w:after="0"/>
              <w:rPr>
                <w:sz w:val="21"/>
                <w:szCs w:val="21"/>
                <w:color w:val="auto"/>
              </w:rPr>
            </w:pPr>
          </w:p>
        </w:tc>
      </w:tr>
      <w:tr>
        <w:trPr>
          <w:trHeight w:val="257"/>
        </w:trPr>
        <w:tc>
          <w:tcPr>
            <w:tcW w:w="7660" w:type="dxa"/>
            <w:vAlign w:val="bottom"/>
          </w:tcPr>
          <w:p>
            <w:pPr>
              <w:ind w:left="100"/>
              <w:spacing w:after="0"/>
              <w:rPr>
                <w:sz w:val="20"/>
                <w:szCs w:val="20"/>
                <w:color w:val="auto"/>
              </w:rPr>
            </w:pPr>
            <w:r>
              <w:rPr>
                <w:rFonts w:ascii="Arial" w:cs="Arial" w:eastAsia="Arial" w:hAnsi="Arial"/>
                <w:sz w:val="18"/>
                <w:szCs w:val="18"/>
                <w:color w:val="auto"/>
              </w:rPr>
              <w:t>Granted</w:t>
            </w:r>
          </w:p>
        </w:tc>
        <w:tc>
          <w:tcPr>
            <w:tcW w:w="1560" w:type="dxa"/>
            <w:vAlign w:val="bottom"/>
          </w:tcPr>
          <w:p>
            <w:pPr>
              <w:jc w:val="right"/>
              <w:spacing w:after="0"/>
              <w:rPr>
                <w:sz w:val="20"/>
                <w:szCs w:val="20"/>
                <w:color w:val="auto"/>
              </w:rPr>
            </w:pPr>
            <w:r>
              <w:rPr>
                <w:rFonts w:ascii="Arial" w:cs="Arial" w:eastAsia="Arial" w:hAnsi="Arial"/>
                <w:sz w:val="18"/>
                <w:szCs w:val="18"/>
                <w:color w:val="auto"/>
              </w:rPr>
              <w:t>965,344</w:t>
            </w:r>
          </w:p>
        </w:tc>
        <w:tc>
          <w:tcPr>
            <w:tcW w:w="80" w:type="dxa"/>
            <w:vAlign w:val="bottom"/>
          </w:tcPr>
          <w:p>
            <w:pPr>
              <w:spacing w:after="0"/>
              <w:rPr>
                <w:sz w:val="22"/>
                <w:szCs w:val="22"/>
                <w:color w:val="auto"/>
              </w:rPr>
            </w:pPr>
          </w:p>
        </w:tc>
      </w:tr>
      <w:tr>
        <w:trPr>
          <w:trHeight w:val="270"/>
        </w:trPr>
        <w:tc>
          <w:tcPr>
            <w:tcW w:w="7660" w:type="dxa"/>
            <w:vAlign w:val="bottom"/>
          </w:tcPr>
          <w:p>
            <w:pPr>
              <w:ind w:left="100"/>
              <w:spacing w:after="0"/>
              <w:rPr>
                <w:sz w:val="20"/>
                <w:szCs w:val="20"/>
                <w:color w:val="auto"/>
              </w:rPr>
            </w:pPr>
            <w:r>
              <w:rPr>
                <w:rFonts w:ascii="Arial" w:cs="Arial" w:eastAsia="Arial" w:hAnsi="Arial"/>
                <w:sz w:val="18"/>
                <w:szCs w:val="18"/>
                <w:color w:val="auto"/>
              </w:rPr>
              <w:t>Vested</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(415,268 )</w:t>
            </w:r>
          </w:p>
        </w:tc>
      </w:tr>
      <w:tr>
        <w:trPr>
          <w:trHeight w:val="250"/>
        </w:trPr>
        <w:tc>
          <w:tcPr>
            <w:tcW w:w="7660" w:type="dxa"/>
            <w:vAlign w:val="bottom"/>
          </w:tcPr>
          <w:p>
            <w:pPr>
              <w:spacing w:after="0"/>
              <w:rPr>
                <w:sz w:val="20"/>
                <w:szCs w:val="20"/>
                <w:color w:val="auto"/>
              </w:rPr>
            </w:pPr>
            <w:r>
              <w:rPr>
                <w:rFonts w:ascii="Arial" w:cs="Arial" w:eastAsia="Arial" w:hAnsi="Arial"/>
                <w:sz w:val="18"/>
                <w:szCs w:val="18"/>
                <w:color w:val="auto"/>
              </w:rPr>
              <w:t>Non-vested RSUs outstanding at September 30, 2021</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1,317,347</w:t>
            </w:r>
          </w:p>
        </w:tc>
        <w:tc>
          <w:tcPr>
            <w:tcW w:w="80" w:type="dxa"/>
            <w:vAlign w:val="bottom"/>
          </w:tcPr>
          <w:p>
            <w:pPr>
              <w:spacing w:after="0"/>
              <w:rPr>
                <w:sz w:val="21"/>
                <w:szCs w:val="21"/>
                <w:color w:val="auto"/>
              </w:rPr>
            </w:pPr>
          </w:p>
        </w:tc>
      </w:tr>
      <w:tr>
        <w:trPr>
          <w:trHeight w:val="20"/>
        </w:trPr>
        <w:tc>
          <w:tcPr>
            <w:tcW w:w="766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-685165</wp:posOffset>
            </wp:positionV>
            <wp:extent cx="7132320" cy="16256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-359410</wp:posOffset>
            </wp:positionV>
            <wp:extent cx="7132320" cy="1714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4" w:lineRule="exact"/>
        <w:rPr>
          <w:sz w:val="20"/>
          <w:szCs w:val="20"/>
          <w:color w:val="auto"/>
        </w:rPr>
      </w:pPr>
    </w:p>
    <w:p>
      <w:pPr>
        <w:jc w:val="center"/>
        <w:ind w:left="-7" w:right="80"/>
        <w:spacing w:after="0" w:line="304" w:lineRule="auto"/>
        <w:rPr>
          <w:sz w:val="20"/>
          <w:szCs w:val="20"/>
          <w:color w:val="auto"/>
        </w:rPr>
      </w:pPr>
      <w:r>
        <w:rPr>
          <w:rFonts w:ascii="Arial" w:cs="Arial" w:eastAsia="Arial" w:hAnsi="Arial"/>
          <w:sz w:val="18"/>
          <w:szCs w:val="18"/>
          <w:b w:val="1"/>
          <w:bCs w:val="1"/>
          <w:color w:val="auto"/>
        </w:rPr>
        <w:t>Weighted Average Grant Date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-15875</wp:posOffset>
            </wp:positionV>
            <wp:extent cx="101155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011555" cy="8890"/>
                    </a:xfrm>
                    <a:prstGeom prst="rect">
                      <a:avLst/>
                    </a:prstGeom>
                    <a:noFill/>
                  </pic:spPr>
                </pic:pic>
              </a:graphicData>
            </a:graphic>
          </wp:anchor>
        </w:drawing>
      </w:r>
    </w:p>
    <w:p>
      <w:pPr>
        <w:ind w:left="1248" w:hanging="1248"/>
        <w:spacing w:after="0"/>
        <w:tabs>
          <w:tab w:leader="none" w:pos="1248" w:val="left"/>
        </w:tabs>
        <w:numPr>
          <w:ilvl w:val="0"/>
          <w:numId w:val="3"/>
        </w:numPr>
        <w:rPr>
          <w:rFonts w:ascii="Arial" w:cs="Arial" w:eastAsia="Arial" w:hAnsi="Arial"/>
          <w:sz w:val="16"/>
          <w:szCs w:val="16"/>
          <w:color w:val="auto"/>
        </w:rPr>
      </w:pPr>
      <w:r>
        <w:rPr>
          <w:rFonts w:ascii="Arial" w:cs="Arial" w:eastAsia="Arial" w:hAnsi="Arial"/>
          <w:sz w:val="16"/>
          <w:szCs w:val="16"/>
          <w:color w:val="auto"/>
        </w:rPr>
        <w:t>1.78</w:t>
      </w:r>
    </w:p>
    <w:p>
      <w:pPr>
        <w:spacing w:after="0" w:line="72" w:lineRule="exact"/>
        <w:rPr>
          <w:rFonts w:ascii="Arial" w:cs="Arial" w:eastAsia="Arial" w:hAnsi="Arial"/>
          <w:sz w:val="16"/>
          <w:szCs w:val="16"/>
          <w:color w:val="auto"/>
        </w:rPr>
      </w:pPr>
    </w:p>
    <w:p>
      <w:pPr>
        <w:ind w:left="1248"/>
        <w:spacing w:after="0"/>
        <w:rPr>
          <w:rFonts w:ascii="Arial" w:cs="Arial" w:eastAsia="Arial" w:hAnsi="Arial"/>
          <w:sz w:val="16"/>
          <w:szCs w:val="16"/>
          <w:color w:val="auto"/>
        </w:rPr>
      </w:pPr>
      <w:r>
        <w:rPr>
          <w:rFonts w:ascii="Arial" w:cs="Arial" w:eastAsia="Arial" w:hAnsi="Arial"/>
          <w:sz w:val="16"/>
          <w:szCs w:val="16"/>
          <w:color w:val="auto"/>
        </w:rPr>
        <w:t>4.01</w:t>
      </w:r>
    </w:p>
    <w:p>
      <w:pPr>
        <w:spacing w:after="0" w:line="86" w:lineRule="exact"/>
        <w:rPr>
          <w:rFonts w:ascii="Arial" w:cs="Arial" w:eastAsia="Arial" w:hAnsi="Arial"/>
          <w:sz w:val="16"/>
          <w:szCs w:val="16"/>
          <w:color w:val="auto"/>
        </w:rPr>
      </w:pPr>
    </w:p>
    <w:p>
      <w:pPr>
        <w:ind w:left="1248"/>
        <w:spacing w:after="0"/>
        <w:rPr>
          <w:rFonts w:ascii="Arial" w:cs="Arial" w:eastAsia="Arial" w:hAnsi="Arial"/>
          <w:sz w:val="16"/>
          <w:szCs w:val="16"/>
          <w:color w:val="auto"/>
        </w:rPr>
      </w:pPr>
      <w:r>
        <w:rPr>
          <w:rFonts w:ascii="Arial" w:cs="Arial" w:eastAsia="Arial" w:hAnsi="Arial"/>
          <w:sz w:val="16"/>
          <w:szCs w:val="16"/>
          <w:color w:val="auto"/>
        </w:rPr>
        <w:t>1.27</w:t>
      </w:r>
    </w:p>
    <w:p>
      <w:pPr>
        <w:spacing w:after="0" w:line="113" w:lineRule="exact"/>
        <w:rPr>
          <w:rFonts w:ascii="Arial" w:cs="Arial" w:eastAsia="Arial" w:hAnsi="Arial"/>
          <w:sz w:val="16"/>
          <w:szCs w:val="16"/>
          <w:color w:val="auto"/>
        </w:rPr>
      </w:pPr>
    </w:p>
    <w:p>
      <w:pPr>
        <w:ind w:left="1248"/>
        <w:spacing w:after="0"/>
        <w:rPr>
          <w:rFonts w:ascii="Arial" w:cs="Arial" w:eastAsia="Arial" w:hAnsi="Arial"/>
          <w:sz w:val="16"/>
          <w:szCs w:val="16"/>
          <w:color w:val="auto"/>
        </w:rPr>
      </w:pPr>
      <w:r>
        <w:rPr>
          <w:rFonts w:ascii="Arial" w:cs="Arial" w:eastAsia="Arial" w:hAnsi="Arial"/>
          <w:sz w:val="16"/>
          <w:szCs w:val="16"/>
          <w:color w:val="auto"/>
        </w:rPr>
        <w:t>3.58</w:t>
      </w:r>
    </w:p>
    <w:p>
      <w:pPr>
        <w:spacing w:after="0" w:line="193" w:lineRule="exact"/>
        <w:rPr>
          <w:sz w:val="20"/>
          <w:szCs w:val="20"/>
          <w:color w:val="auto"/>
        </w:rPr>
      </w:pPr>
    </w:p>
    <w:p>
      <w:pPr>
        <w:sectPr>
          <w:pgSz w:w="11900" w:h="16838" w:orient="portrait"/>
          <w:cols w:equalWidth="0" w:num="2">
            <w:col w:w="9320" w:space="232"/>
            <w:col w:w="1688"/>
          </w:cols>
          <w:pgMar w:left="320" w:top="368" w:right="339" w:bottom="1440" w:gutter="0" w:footer="0" w:header="0"/>
        </w:sectPr>
      </w:pPr>
    </w:p>
    <w:p>
      <w:pPr>
        <w:ind w:right="380" w:firstLine="614"/>
        <w:spacing w:after="0" w:line="293" w:lineRule="auto"/>
        <w:rPr>
          <w:sz w:val="20"/>
          <w:szCs w:val="20"/>
          <w:color w:val="auto"/>
        </w:rPr>
      </w:pPr>
      <w:r>
        <w:rPr>
          <w:rFonts w:ascii="Arial" w:cs="Arial" w:eastAsia="Arial" w:hAnsi="Arial"/>
          <w:sz w:val="18"/>
          <w:szCs w:val="18"/>
          <w:color w:val="auto"/>
        </w:rPr>
        <w:t>As of September 30, 2021, the Company had $3.8 million of unrecognized compensation expense related to the RSUs which is expected to be recognized over a weighted average period of 3.1 years.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Stock Purchase Plan</w:t>
      </w:r>
    </w:p>
    <w:p>
      <w:pPr>
        <w:spacing w:after="0" w:line="131" w:lineRule="exact"/>
        <w:rPr>
          <w:sz w:val="20"/>
          <w:szCs w:val="20"/>
          <w:color w:val="auto"/>
        </w:rPr>
      </w:pPr>
    </w:p>
    <w:p>
      <w:pPr>
        <w:jc w:val="both"/>
        <w:ind w:right="120" w:firstLine="509"/>
        <w:spacing w:after="0" w:line="279" w:lineRule="auto"/>
        <w:rPr>
          <w:sz w:val="20"/>
          <w:szCs w:val="20"/>
          <w:color w:val="auto"/>
        </w:rPr>
      </w:pPr>
      <w:r>
        <w:rPr>
          <w:rFonts w:ascii="Arial" w:cs="Arial" w:eastAsia="Arial" w:hAnsi="Arial"/>
          <w:sz w:val="18"/>
          <w:szCs w:val="18"/>
          <w:color w:val="auto"/>
        </w:rPr>
        <w:t>The 2016 Employee Stock Purchase Plan (the “2016 ESPP”) became effective on June 1, 2016. The 2016 ESPP is considered a compensatory plan and the fair value of the discount and the look-back period are estimated using the Black-Scholes option pricing model and expense is recognized over the six-month withholding period prior to the purchase date.</w:t>
      </w:r>
    </w:p>
    <w:p>
      <w:pPr>
        <w:spacing w:after="0" w:line="75" w:lineRule="exact"/>
        <w:rPr>
          <w:sz w:val="20"/>
          <w:szCs w:val="20"/>
          <w:color w:val="auto"/>
        </w:rPr>
      </w:pPr>
    </w:p>
    <w:p>
      <w:pPr>
        <w:ind w:right="40" w:firstLine="509"/>
        <w:spacing w:after="0" w:line="293" w:lineRule="auto"/>
        <w:rPr>
          <w:sz w:val="20"/>
          <w:szCs w:val="20"/>
          <w:color w:val="auto"/>
        </w:rPr>
      </w:pPr>
      <w:r>
        <w:rPr>
          <w:rFonts w:ascii="Arial" w:cs="Arial" w:eastAsia="Arial" w:hAnsi="Arial"/>
          <w:sz w:val="18"/>
          <w:szCs w:val="18"/>
          <w:color w:val="auto"/>
        </w:rPr>
        <w:t>The share-based compensation expense recognized for the 2016 ESPP is reflected in the statements of operations and comprehensive loss as follows (in thousands):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620" w:type="dxa"/>
            <w:vAlign w:val="bottom"/>
          </w:tcPr>
          <w:p>
            <w:pPr>
              <w:spacing w:after="0"/>
              <w:rPr>
                <w:sz w:val="17"/>
                <w:szCs w:val="17"/>
                <w:color w:val="auto"/>
              </w:rPr>
            </w:pPr>
          </w:p>
        </w:tc>
        <w:tc>
          <w:tcPr>
            <w:tcW w:w="2280" w:type="dxa"/>
            <w:vAlign w:val="bottom"/>
            <w:gridSpan w:val="4"/>
          </w:tcPr>
          <w:p>
            <w:pPr>
              <w:jc w:val="right"/>
              <w:ind w:right="175"/>
              <w:spacing w:after="0"/>
              <w:rPr>
                <w:sz w:val="20"/>
                <w:szCs w:val="20"/>
                <w:color w:val="auto"/>
              </w:rPr>
            </w:pPr>
            <w:r>
              <w:rPr>
                <w:rFonts w:ascii="Arial" w:cs="Arial" w:eastAsia="Arial" w:hAnsi="Arial"/>
                <w:sz w:val="16"/>
                <w:szCs w:val="16"/>
                <w:b w:val="1"/>
                <w:bCs w:val="1"/>
                <w:color w:val="auto"/>
              </w:rPr>
              <w:t>Three Months Ended</w:t>
            </w: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20" w:type="dxa"/>
            <w:vAlign w:val="bottom"/>
            <w:gridSpan w:val="4"/>
          </w:tcPr>
          <w:p>
            <w:pPr>
              <w:jc w:val="right"/>
              <w:ind w:right="175"/>
              <w:spacing w:after="0"/>
              <w:rPr>
                <w:sz w:val="20"/>
                <w:szCs w:val="20"/>
                <w:color w:val="auto"/>
              </w:rPr>
            </w:pPr>
            <w:r>
              <w:rPr>
                <w:rFonts w:ascii="Arial" w:cs="Arial" w:eastAsia="Arial" w:hAnsi="Arial"/>
                <w:sz w:val="16"/>
                <w:szCs w:val="16"/>
                <w:b w:val="1"/>
                <w:bCs w:val="1"/>
                <w:color w:val="auto"/>
              </w:rPr>
              <w:t>Nine Months Ended</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3"/>
        </w:trPr>
        <w:tc>
          <w:tcPr>
            <w:tcW w:w="5620" w:type="dxa"/>
            <w:vAlign w:val="bottom"/>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3"/>
          </w:tcPr>
          <w:p>
            <w:pPr>
              <w:jc w:val="right"/>
              <w:ind w:right="415"/>
              <w:spacing w:after="0"/>
              <w:rPr>
                <w:sz w:val="20"/>
                <w:szCs w:val="20"/>
                <w:color w:val="auto"/>
              </w:rPr>
            </w:pPr>
            <w:r>
              <w:rPr>
                <w:rFonts w:ascii="Arial" w:cs="Arial" w:eastAsia="Arial" w:hAnsi="Arial"/>
                <w:sz w:val="16"/>
                <w:szCs w:val="16"/>
                <w:b w:val="1"/>
                <w:bCs w:val="1"/>
                <w:color w:val="auto"/>
                <w:w w:val="91"/>
              </w:rPr>
              <w:t>September 30,</w:t>
            </w:r>
          </w:p>
        </w:tc>
        <w:tc>
          <w:tcPr>
            <w:tcW w:w="32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3"/>
          </w:tcPr>
          <w:p>
            <w:pPr>
              <w:jc w:val="right"/>
              <w:ind w:right="375"/>
              <w:spacing w:after="0"/>
              <w:rPr>
                <w:sz w:val="20"/>
                <w:szCs w:val="20"/>
                <w:color w:val="auto"/>
              </w:rPr>
            </w:pPr>
            <w:r>
              <w:rPr>
                <w:rFonts w:ascii="Arial" w:cs="Arial" w:eastAsia="Arial" w:hAnsi="Arial"/>
                <w:sz w:val="16"/>
                <w:szCs w:val="16"/>
                <w:b w:val="1"/>
                <w:bCs w:val="1"/>
                <w:color w:val="auto"/>
                <w:w w:val="89"/>
              </w:rPr>
              <w:t>September 30,</w:t>
            </w:r>
          </w:p>
        </w:tc>
        <w:tc>
          <w:tcPr>
            <w:tcW w:w="3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562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40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Borders>
              <w:bottom w:val="single" w:sz="8" w:color="auto"/>
            </w:tcBorders>
          </w:tcPr>
          <w:p>
            <w:pPr>
              <w:jc w:val="right"/>
              <w:ind w:right="15"/>
              <w:spacing w:after="0"/>
              <w:rPr>
                <w:sz w:val="20"/>
                <w:szCs w:val="20"/>
                <w:color w:val="auto"/>
              </w:rPr>
            </w:pPr>
            <w:r>
              <w:rPr>
                <w:rFonts w:ascii="Arial" w:cs="Arial" w:eastAsia="Arial" w:hAnsi="Arial"/>
                <w:sz w:val="16"/>
                <w:szCs w:val="16"/>
                <w:b w:val="1"/>
                <w:bCs w:val="1"/>
                <w:color w:val="auto"/>
              </w:rPr>
              <w:t>2020</w:t>
            </w:r>
          </w:p>
        </w:tc>
        <w:tc>
          <w:tcPr>
            <w:tcW w:w="32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40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Borders>
              <w:bottom w:val="single" w:sz="8" w:color="auto"/>
            </w:tcBorders>
          </w:tcPr>
          <w:p>
            <w:pPr>
              <w:jc w:val="right"/>
              <w:ind w:right="15"/>
              <w:spacing w:after="0"/>
              <w:rPr>
                <w:sz w:val="20"/>
                <w:szCs w:val="20"/>
                <w:color w:val="auto"/>
              </w:rPr>
            </w:pPr>
            <w:r>
              <w:rPr>
                <w:rFonts w:ascii="Arial" w:cs="Arial" w:eastAsia="Arial" w:hAnsi="Arial"/>
                <w:sz w:val="16"/>
                <w:szCs w:val="16"/>
                <w:b w:val="1"/>
                <w:bCs w:val="1"/>
                <w:color w:val="auto"/>
              </w:rPr>
              <w:t>2020</w:t>
            </w:r>
          </w:p>
        </w:tc>
        <w:tc>
          <w:tcPr>
            <w:tcW w:w="3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57"/>
        </w:trPr>
        <w:tc>
          <w:tcPr>
            <w:tcW w:w="5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Research and development</w:t>
            </w:r>
          </w:p>
        </w:tc>
        <w:tc>
          <w:tcPr>
            <w:tcW w:w="760" w:type="dxa"/>
            <w:vAlign w:val="bottom"/>
            <w:shd w:val="clear" w:color="auto" w:fill="CFF0FC"/>
          </w:tcPr>
          <w:p>
            <w:pPr>
              <w:jc w:val="right"/>
              <w:ind w:right="575"/>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120" w:type="dxa"/>
            <w:vAlign w:val="bottom"/>
            <w:gridSpan w:val="2"/>
            <w:shd w:val="clear" w:color="auto" w:fill="CFF0FC"/>
          </w:tcPr>
          <w:p>
            <w:pPr>
              <w:jc w:val="right"/>
              <w:ind w:right="675"/>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140" w:type="dxa"/>
            <w:vAlign w:val="bottom"/>
            <w:gridSpan w:val="2"/>
            <w:shd w:val="clear" w:color="auto" w:fill="CFF0FC"/>
          </w:tcPr>
          <w:p>
            <w:pPr>
              <w:jc w:val="right"/>
              <w:ind w:right="556"/>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1060" w:type="dxa"/>
            <w:vAlign w:val="bottom"/>
            <w:gridSpan w:val="2"/>
            <w:shd w:val="clear" w:color="auto" w:fill="CFF0FC"/>
          </w:tcPr>
          <w:p>
            <w:pPr>
              <w:jc w:val="right"/>
              <w:ind w:right="655"/>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FF0FC"/>
          </w:tcPr>
          <w:p>
            <w:pPr>
              <w:spacing w:after="0"/>
              <w:rPr>
                <w:sz w:val="22"/>
                <w:szCs w:val="22"/>
                <w:color w:val="auto"/>
              </w:rPr>
            </w:pPr>
          </w:p>
        </w:tc>
      </w:tr>
      <w:tr>
        <w:trPr>
          <w:trHeight w:val="250"/>
        </w:trPr>
        <w:tc>
          <w:tcPr>
            <w:tcW w:w="562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76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60" w:type="dxa"/>
            <w:vAlign w:val="bottom"/>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380" w:type="dxa"/>
            <w:vAlign w:val="bottom"/>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220" w:type="dxa"/>
            <w:vAlign w:val="bottom"/>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r>
      <w:tr>
        <w:trPr>
          <w:trHeight w:val="290"/>
        </w:trPr>
        <w:tc>
          <w:tcPr>
            <w:tcW w:w="56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Total</w:t>
            </w:r>
          </w:p>
        </w:tc>
        <w:tc>
          <w:tcPr>
            <w:tcW w:w="760" w:type="dxa"/>
            <w:vAlign w:val="bottom"/>
            <w:tcBorders>
              <w:bottom w:val="single" w:sz="8" w:color="auto"/>
            </w:tcBorders>
            <w:shd w:val="clear" w:color="auto" w:fill="CFF0FC"/>
          </w:tcPr>
          <w:p>
            <w:pPr>
              <w:jc w:val="right"/>
              <w:ind w:right="575"/>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260" w:type="dxa"/>
            <w:vAlign w:val="bottom"/>
            <w:tcBorders>
              <w:bottom w:val="single" w:sz="8" w:color="CFF0FC"/>
            </w:tcBorders>
            <w:shd w:val="clear" w:color="auto" w:fill="CFF0FC"/>
          </w:tcPr>
          <w:p>
            <w:pPr>
              <w:spacing w:after="0"/>
              <w:rPr>
                <w:sz w:val="24"/>
                <w:szCs w:val="24"/>
                <w:color w:val="auto"/>
              </w:rPr>
            </w:pPr>
          </w:p>
        </w:tc>
        <w:tc>
          <w:tcPr>
            <w:tcW w:w="860" w:type="dxa"/>
            <w:vAlign w:val="bottom"/>
            <w:tcBorders>
              <w:bottom w:val="single" w:sz="8" w:color="auto"/>
            </w:tcBorders>
            <w:shd w:val="clear" w:color="auto" w:fill="CFF0FC"/>
          </w:tcPr>
          <w:p>
            <w:pPr>
              <w:jc w:val="right"/>
              <w:ind w:right="675"/>
              <w:spacing w:after="0"/>
              <w:rPr>
                <w:sz w:val="20"/>
                <w:szCs w:val="20"/>
                <w:color w:val="auto"/>
              </w:rPr>
            </w:pPr>
            <w:r>
              <w:rPr>
                <w:rFonts w:ascii="Arial" w:cs="Arial" w:eastAsia="Arial" w:hAnsi="Arial"/>
                <w:sz w:val="18"/>
                <w:szCs w:val="18"/>
                <w:color w:val="auto"/>
                <w:w w:val="79"/>
              </w:rPr>
              <w:t>$</w:t>
            </w:r>
          </w:p>
        </w:tc>
        <w:tc>
          <w:tcPr>
            <w:tcW w:w="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380" w:type="dxa"/>
            <w:vAlign w:val="bottom"/>
            <w:tcBorders>
              <w:bottom w:val="single" w:sz="8" w:color="CFF0FC"/>
            </w:tcBorders>
            <w:shd w:val="clear" w:color="auto" w:fill="CFF0FC"/>
          </w:tcPr>
          <w:p>
            <w:pPr>
              <w:spacing w:after="0"/>
              <w:rPr>
                <w:sz w:val="24"/>
                <w:szCs w:val="24"/>
                <w:color w:val="auto"/>
              </w:rPr>
            </w:pPr>
          </w:p>
        </w:tc>
        <w:tc>
          <w:tcPr>
            <w:tcW w:w="760" w:type="dxa"/>
            <w:vAlign w:val="bottom"/>
            <w:tcBorders>
              <w:bottom w:val="single" w:sz="8" w:color="auto"/>
            </w:tcBorders>
            <w:shd w:val="clear" w:color="auto" w:fill="CFF0FC"/>
          </w:tcPr>
          <w:p>
            <w:pPr>
              <w:jc w:val="right"/>
              <w:ind w:right="556"/>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220" w:type="dxa"/>
            <w:vAlign w:val="bottom"/>
            <w:tcBorders>
              <w:bottom w:val="single" w:sz="8" w:color="CFF0FC"/>
            </w:tcBorders>
            <w:shd w:val="clear" w:color="auto" w:fill="CFF0FC"/>
          </w:tcPr>
          <w:p>
            <w:pPr>
              <w:spacing w:after="0"/>
              <w:rPr>
                <w:sz w:val="24"/>
                <w:szCs w:val="24"/>
                <w:color w:val="auto"/>
              </w:rPr>
            </w:pPr>
          </w:p>
        </w:tc>
        <w:tc>
          <w:tcPr>
            <w:tcW w:w="840" w:type="dxa"/>
            <w:vAlign w:val="bottom"/>
            <w:tcBorders>
              <w:bottom w:val="single" w:sz="8" w:color="auto"/>
            </w:tcBorders>
            <w:shd w:val="clear" w:color="auto" w:fill="CFF0FC"/>
          </w:tcPr>
          <w:p>
            <w:pPr>
              <w:jc w:val="right"/>
              <w:ind w:right="655"/>
              <w:spacing w:after="0"/>
              <w:rPr>
                <w:sz w:val="20"/>
                <w:szCs w:val="20"/>
                <w:color w:val="auto"/>
              </w:rPr>
            </w:pPr>
            <w:r>
              <w:rPr>
                <w:rFonts w:ascii="Arial" w:cs="Arial" w:eastAsia="Arial" w:hAnsi="Arial"/>
                <w:sz w:val="18"/>
                <w:szCs w:val="18"/>
                <w:color w:val="auto"/>
                <w:w w:val="79"/>
              </w:rPr>
              <w:t>$</w:t>
            </w:r>
          </w:p>
        </w:tc>
        <w:tc>
          <w:tcPr>
            <w:tcW w:w="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-24765</wp:posOffset>
            </wp:positionV>
            <wp:extent cx="16256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62560" cy="8890"/>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-7620</wp:posOffset>
            </wp:positionV>
            <wp:extent cx="16256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62560"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-24765</wp:posOffset>
            </wp:positionV>
            <wp:extent cx="24828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48285" cy="889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-7620</wp:posOffset>
            </wp:positionV>
            <wp:extent cx="24828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48285"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-24765</wp:posOffset>
            </wp:positionV>
            <wp:extent cx="14541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45415"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-7620</wp:posOffset>
            </wp:positionV>
            <wp:extent cx="14541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14" w:lineRule="exact"/>
        <w:rPr>
          <w:sz w:val="20"/>
          <w:szCs w:val="20"/>
          <w:color w:val="auto"/>
        </w:rPr>
      </w:pPr>
    </w:p>
    <w:p>
      <w:pPr>
        <w:ind w:left="520"/>
        <w:spacing w:after="0"/>
        <w:rPr>
          <w:sz w:val="20"/>
          <w:szCs w:val="20"/>
          <w:color w:val="auto"/>
        </w:rPr>
      </w:pPr>
      <w:r>
        <w:rPr>
          <w:rFonts w:ascii="Arial" w:cs="Arial" w:eastAsia="Arial" w:hAnsi="Arial"/>
          <w:sz w:val="17"/>
          <w:szCs w:val="17"/>
          <w:color w:val="auto"/>
        </w:rPr>
        <w:t>During the nine months ended September 30, 2021, the Company issued 65,481 shares of common stock purchased under the 2016 ESPP.</w:t>
      </w: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Commitments and Contingencies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 Commitment Summary</w:t>
      </w:r>
    </w:p>
    <w:p>
      <w:pPr>
        <w:spacing w:after="0" w:line="13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In November 2016, the Company signed an office lease agreement to lease approximately 20,000 square feet of office space in Alpharetta, Georgia</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for its corporate headquarters. The lease agreement is for a 6.5 year term with a renewal option for one additional five-year term. Rental payments are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$35,145 per month subject to an increase of 3% per year. Rent expense under this lease is recognized on a straight-line basis over the term of the lease. In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addition, the lease agreement requires payment of the pro-rata share of the annual operating expenses associated with the premises.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400" w:type="dxa"/>
            <w:vAlign w:val="bottom"/>
          </w:tcPr>
          <w:p>
            <w:pPr>
              <w:ind w:left="520"/>
              <w:spacing w:after="0"/>
              <w:rPr>
                <w:sz w:val="20"/>
                <w:szCs w:val="20"/>
                <w:color w:val="auto"/>
              </w:rPr>
            </w:pPr>
            <w:r>
              <w:rPr>
                <w:rFonts w:ascii="Arial" w:cs="Arial" w:eastAsia="Arial" w:hAnsi="Arial"/>
                <w:sz w:val="18"/>
                <w:szCs w:val="18"/>
                <w:color w:val="auto"/>
              </w:rPr>
              <w:t>The Company’s operating leases included on the balance sheet are as follows (in thousands):</w:t>
            </w:r>
          </w:p>
        </w:tc>
        <w:tc>
          <w:tcPr>
            <w:tcW w:w="2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46"/>
        </w:trPr>
        <w:tc>
          <w:tcPr>
            <w:tcW w:w="9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20" w:type="dxa"/>
            <w:vAlign w:val="bottom"/>
          </w:tcPr>
          <w:p>
            <w:pPr>
              <w:jc w:val="right"/>
              <w:ind w:right="230"/>
              <w:spacing w:after="0"/>
              <w:rPr>
                <w:sz w:val="20"/>
                <w:szCs w:val="20"/>
                <w:color w:val="auto"/>
              </w:rPr>
            </w:pPr>
            <w:r>
              <w:rPr>
                <w:rFonts w:ascii="Arial" w:cs="Arial" w:eastAsia="Arial" w:hAnsi="Arial"/>
                <w:sz w:val="18"/>
                <w:szCs w:val="18"/>
                <w:b w:val="1"/>
                <w:bCs w:val="1"/>
                <w:color w:val="auto"/>
                <w:w w:val="95"/>
              </w:rPr>
              <w:t>September 30,</w:t>
            </w:r>
          </w:p>
        </w:tc>
        <w:tc>
          <w:tcPr>
            <w:tcW w:w="100" w:type="dxa"/>
            <w:vAlign w:val="bottom"/>
          </w:tcPr>
          <w:p>
            <w:pPr>
              <w:spacing w:after="0"/>
              <w:rPr>
                <w:sz w:val="24"/>
                <w:szCs w:val="24"/>
                <w:color w:val="auto"/>
              </w:rPr>
            </w:pPr>
          </w:p>
        </w:tc>
      </w:tr>
      <w:tr>
        <w:trPr>
          <w:trHeight w:val="241"/>
        </w:trPr>
        <w:tc>
          <w:tcPr>
            <w:tcW w:w="94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r>
      <w:tr>
        <w:trPr>
          <w:trHeight w:val="290"/>
        </w:trPr>
        <w:tc>
          <w:tcPr>
            <w:tcW w:w="94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Operating lease right-of-use asset</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412</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44"/>
        </w:trPr>
        <w:tc>
          <w:tcPr>
            <w:tcW w:w="9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56"/>
        </w:trPr>
        <w:tc>
          <w:tcPr>
            <w:tcW w:w="9400" w:type="dxa"/>
            <w:vAlign w:val="bottom"/>
            <w:shd w:val="clear" w:color="auto" w:fill="CFF0FC"/>
          </w:tcPr>
          <w:p>
            <w:pPr>
              <w:ind w:left="20"/>
              <w:spacing w:after="0"/>
              <w:rPr>
                <w:sz w:val="20"/>
                <w:szCs w:val="20"/>
                <w:color w:val="auto"/>
              </w:rPr>
            </w:pPr>
            <w:r>
              <w:rPr>
                <w:rFonts w:ascii="Arial" w:cs="Arial" w:eastAsia="Arial" w:hAnsi="Arial"/>
                <w:sz w:val="18"/>
                <w:szCs w:val="18"/>
                <w:color w:val="auto"/>
              </w:rPr>
              <w:t>Liabilities</w:t>
            </w:r>
          </w:p>
        </w:tc>
        <w:tc>
          <w:tcPr>
            <w:tcW w:w="220" w:type="dxa"/>
            <w:vAlign w:val="bottom"/>
            <w:shd w:val="clear" w:color="auto" w:fill="CFF0FC"/>
          </w:tcPr>
          <w:p>
            <w:pPr>
              <w:spacing w:after="0"/>
              <w:rPr>
                <w:sz w:val="22"/>
                <w:szCs w:val="22"/>
                <w:color w:val="auto"/>
              </w:rPr>
            </w:pPr>
          </w:p>
        </w:tc>
        <w:tc>
          <w:tcPr>
            <w:tcW w:w="15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9400" w:type="dxa"/>
            <w:vAlign w:val="bottom"/>
          </w:tcPr>
          <w:p>
            <w:pPr>
              <w:ind w:left="200"/>
              <w:spacing w:after="0"/>
              <w:rPr>
                <w:sz w:val="20"/>
                <w:szCs w:val="20"/>
                <w:color w:val="auto"/>
              </w:rPr>
            </w:pPr>
            <w:r>
              <w:rPr>
                <w:rFonts w:ascii="Arial" w:cs="Arial" w:eastAsia="Arial" w:hAnsi="Arial"/>
                <w:sz w:val="18"/>
                <w:szCs w:val="18"/>
                <w:color w:val="auto"/>
              </w:rPr>
              <w:t>Current portion of operating lease liabilities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384</w:t>
            </w:r>
          </w:p>
        </w:tc>
        <w:tc>
          <w:tcPr>
            <w:tcW w:w="100" w:type="dxa"/>
            <w:vAlign w:val="bottom"/>
          </w:tcPr>
          <w:p>
            <w:pPr>
              <w:spacing w:after="0"/>
              <w:rPr>
                <w:sz w:val="21"/>
                <w:szCs w:val="21"/>
                <w:color w:val="auto"/>
              </w:rPr>
            </w:pPr>
          </w:p>
        </w:tc>
      </w:tr>
      <w:tr>
        <w:trPr>
          <w:trHeight w:val="257"/>
        </w:trPr>
        <w:tc>
          <w:tcPr>
            <w:tcW w:w="94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Operating lease liabilities</w:t>
            </w:r>
          </w:p>
        </w:tc>
        <w:tc>
          <w:tcPr>
            <w:tcW w:w="220" w:type="dxa"/>
            <w:vAlign w:val="bottom"/>
            <w:tcBorders>
              <w:bottom w:val="single" w:sz="8" w:color="auto"/>
            </w:tcBorders>
            <w:shd w:val="clear" w:color="auto" w:fill="CFF0FC"/>
          </w:tcPr>
          <w:p>
            <w:pPr>
              <w:spacing w:after="0"/>
              <w:rPr>
                <w:sz w:val="22"/>
                <w:szCs w:val="22"/>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374</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50"/>
        </w:trPr>
        <w:tc>
          <w:tcPr>
            <w:tcW w:w="9400" w:type="dxa"/>
            <w:vAlign w:val="bottom"/>
          </w:tcPr>
          <w:p>
            <w:pPr>
              <w:ind w:left="380"/>
              <w:spacing w:after="0"/>
              <w:rPr>
                <w:sz w:val="20"/>
                <w:szCs w:val="20"/>
                <w:color w:val="auto"/>
              </w:rPr>
            </w:pPr>
            <w:r>
              <w:rPr>
                <w:rFonts w:ascii="Arial" w:cs="Arial" w:eastAsia="Arial" w:hAnsi="Arial"/>
                <w:sz w:val="18"/>
                <w:szCs w:val="18"/>
                <w:color w:val="auto"/>
              </w:rPr>
              <w:t>Total operating lease liabilities</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758</w:t>
            </w:r>
          </w:p>
        </w:tc>
        <w:tc>
          <w:tcPr>
            <w:tcW w:w="100" w:type="dxa"/>
            <w:vAlign w:val="bottom"/>
          </w:tcPr>
          <w:p>
            <w:pPr>
              <w:spacing w:after="0"/>
              <w:rPr>
                <w:sz w:val="21"/>
                <w:szCs w:val="21"/>
                <w:color w:val="auto"/>
              </w:rPr>
            </w:pPr>
          </w:p>
        </w:tc>
      </w:tr>
      <w:tr>
        <w:trPr>
          <w:trHeight w:val="20"/>
        </w:trPr>
        <w:tc>
          <w:tcPr>
            <w:tcW w:w="94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-873760</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-856615</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-193675</wp:posOffset>
            </wp:positionV>
            <wp:extent cx="68580" cy="571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87" w:lineRule="exact"/>
        <w:rPr>
          <w:sz w:val="20"/>
          <w:szCs w:val="20"/>
          <w:color w:val="auto"/>
        </w:rPr>
      </w:pPr>
    </w:p>
    <w:p>
      <w:pPr>
        <w:ind w:right="180" w:firstLine="562"/>
        <w:spacing w:after="0" w:line="299" w:lineRule="auto"/>
        <w:rPr>
          <w:sz w:val="20"/>
          <w:szCs w:val="20"/>
          <w:color w:val="auto"/>
        </w:rPr>
      </w:pPr>
      <w:r>
        <w:rPr>
          <w:rFonts w:ascii="Arial" w:cs="Arial" w:eastAsia="Arial" w:hAnsi="Arial"/>
          <w:sz w:val="16"/>
          <w:szCs w:val="16"/>
          <w:color w:val="auto"/>
        </w:rPr>
        <w:t>The Company recognizes a right-of-use asset for the right to use the underlying asset for the lease term, and a lease liability, which represents the present value of the Company’s obligation to make payments over the lease term. The renewal option is not included in the calculation of the right-of-use asset and the lease liabilities as the Company has not yet determined if the Alpharetta, Georgia lease will be renewed. The present value of the lease payments is calculated using an incremental borrowing rate as the Company’s leases do not provide an implicit interest rate. At September 30, 2021, the Company’s weighted average discount rate was 11.0% and the weighted average lease term was 2.0 years.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type w:val="continuous"/>
        </w:sectPr>
      </w:pPr>
    </w:p>
    <w:bookmarkStart w:id="12" w:name="page13"/>
    <w:bookmarkEnd w:id="12"/>
    <w:p>
      <w:pPr>
        <w:ind w:left="520"/>
        <w:spacing w:after="0"/>
        <w:rPr>
          <w:sz w:val="20"/>
          <w:szCs w:val="20"/>
          <w:color w:val="auto"/>
        </w:rPr>
      </w:pPr>
      <w:r>
        <w:rPr>
          <w:rFonts w:ascii="Arial" w:cs="Arial" w:eastAsia="Arial" w:hAnsi="Arial"/>
          <w:sz w:val="18"/>
          <w:szCs w:val="18"/>
          <w:color w:val="auto"/>
        </w:rPr>
        <w:t>Minimum lease payments were as follows at September 30, 2021 (in thousands):</w:t>
      </w:r>
    </w:p>
    <w:p>
      <w:pPr>
        <w:spacing w:after="0" w:line="253" w:lineRule="exact"/>
        <w:rPr>
          <w:sz w:val="20"/>
          <w:szCs w:val="20"/>
          <w:color w:val="auto"/>
        </w:rPr>
      </w:pPr>
    </w:p>
    <w:tbl>
      <w:tblPr>
        <w:tblLayout w:type="fixed"/>
        <w:tblInd w:w="2260" w:type="dxa"/>
        <w:tblCellMar>
          <w:top w:w="0" w:type="dxa"/>
          <w:left w:w="0" w:type="dxa"/>
          <w:bottom w:w="0" w:type="dxa"/>
          <w:right w:w="0" w:type="dxa"/>
        </w:tblCellMar>
      </w:tblPr>
      <w:tr>
        <w:trPr>
          <w:trHeight w:val="237"/>
        </w:trPr>
        <w:tc>
          <w:tcPr>
            <w:tcW w:w="53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Year Ending December 31,</w:t>
            </w:r>
          </w:p>
        </w:tc>
        <w:tc>
          <w:tcPr>
            <w:tcW w:w="540" w:type="dxa"/>
            <w:vAlign w:val="bottom"/>
            <w:tcBorders>
              <w:bottom w:val="single" w:sz="8" w:color="CFF0FC"/>
            </w:tcBorders>
            <w:shd w:val="clear" w:color="auto" w:fill="CFF0FC"/>
          </w:tcPr>
          <w:p>
            <w:pPr>
              <w:spacing w:after="0"/>
              <w:rPr>
                <w:sz w:val="20"/>
                <w:szCs w:val="20"/>
                <w:color w:val="auto"/>
              </w:rPr>
            </w:pPr>
          </w:p>
        </w:tc>
        <w:tc>
          <w:tcPr>
            <w:tcW w:w="74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r>
      <w:tr>
        <w:trPr>
          <w:trHeight w:val="250"/>
        </w:trPr>
        <w:tc>
          <w:tcPr>
            <w:tcW w:w="5340" w:type="dxa"/>
            <w:vAlign w:val="bottom"/>
          </w:tcPr>
          <w:p>
            <w:pPr>
              <w:spacing w:after="0"/>
              <w:rPr>
                <w:sz w:val="20"/>
                <w:szCs w:val="20"/>
                <w:color w:val="auto"/>
              </w:rPr>
            </w:pPr>
            <w:r>
              <w:rPr>
                <w:rFonts w:ascii="Arial" w:cs="Arial" w:eastAsia="Arial" w:hAnsi="Arial"/>
                <w:sz w:val="18"/>
                <w:szCs w:val="18"/>
                <w:color w:val="auto"/>
              </w:rPr>
              <w:t>2021</w:t>
            </w: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99</w:t>
            </w:r>
          </w:p>
        </w:tc>
        <w:tc>
          <w:tcPr>
            <w:tcW w:w="120" w:type="dxa"/>
            <w:vAlign w:val="bottom"/>
          </w:tcPr>
          <w:p>
            <w:pPr>
              <w:spacing w:after="0"/>
              <w:rPr>
                <w:sz w:val="21"/>
                <w:szCs w:val="21"/>
                <w:color w:val="auto"/>
              </w:rPr>
            </w:pPr>
          </w:p>
        </w:tc>
      </w:tr>
      <w:tr>
        <w:trPr>
          <w:trHeight w:val="263"/>
        </w:trPr>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540" w:type="dxa"/>
            <w:vAlign w:val="bottom"/>
            <w:shd w:val="clear" w:color="auto" w:fill="CFF0FC"/>
          </w:tcPr>
          <w:p>
            <w:pPr>
              <w:spacing w:after="0"/>
              <w:rPr>
                <w:sz w:val="22"/>
                <w:szCs w:val="2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407</w:t>
            </w:r>
          </w:p>
        </w:tc>
        <w:tc>
          <w:tcPr>
            <w:tcW w:w="120" w:type="dxa"/>
            <w:vAlign w:val="bottom"/>
            <w:shd w:val="clear" w:color="auto" w:fill="CFF0FC"/>
          </w:tcPr>
          <w:p>
            <w:pPr>
              <w:spacing w:after="0"/>
              <w:rPr>
                <w:sz w:val="22"/>
                <w:szCs w:val="22"/>
                <w:color w:val="auto"/>
              </w:rPr>
            </w:pPr>
          </w:p>
        </w:tc>
      </w:tr>
      <w:tr>
        <w:trPr>
          <w:trHeight w:val="250"/>
        </w:trPr>
        <w:tc>
          <w:tcPr>
            <w:tcW w:w="5340" w:type="dxa"/>
            <w:vAlign w:val="bottom"/>
          </w:tcPr>
          <w:p>
            <w:pPr>
              <w:spacing w:after="0"/>
              <w:rPr>
                <w:sz w:val="20"/>
                <w:szCs w:val="20"/>
                <w:color w:val="auto"/>
              </w:rPr>
            </w:pPr>
            <w:r>
              <w:rPr>
                <w:rFonts w:ascii="Arial" w:cs="Arial" w:eastAsia="Arial" w:hAnsi="Arial"/>
                <w:sz w:val="18"/>
                <w:szCs w:val="18"/>
                <w:color w:val="auto"/>
              </w:rPr>
              <w:t>2023</w:t>
            </w:r>
          </w:p>
        </w:tc>
        <w:tc>
          <w:tcPr>
            <w:tcW w:w="54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w:t>
            </w:r>
          </w:p>
        </w:tc>
        <w:tc>
          <w:tcPr>
            <w:tcW w:w="120" w:type="dxa"/>
            <w:vAlign w:val="bottom"/>
          </w:tcPr>
          <w:p>
            <w:pPr>
              <w:spacing w:after="0"/>
              <w:rPr>
                <w:sz w:val="21"/>
                <w:szCs w:val="21"/>
                <w:color w:val="auto"/>
              </w:rPr>
            </w:pPr>
          </w:p>
        </w:tc>
      </w:tr>
      <w:tr>
        <w:trPr>
          <w:trHeight w:val="257"/>
        </w:trPr>
        <w:tc>
          <w:tcPr>
            <w:tcW w:w="53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Total minimum lease payments</w:t>
            </w:r>
          </w:p>
        </w:tc>
        <w:tc>
          <w:tcPr>
            <w:tcW w:w="540" w:type="dxa"/>
            <w:vAlign w:val="bottom"/>
            <w:shd w:val="clear" w:color="auto" w:fill="CFF0FC"/>
          </w:tcPr>
          <w:p>
            <w:pPr>
              <w:spacing w:after="0"/>
              <w:rPr>
                <w:sz w:val="22"/>
                <w:szCs w:val="2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822</w:t>
            </w:r>
          </w:p>
        </w:tc>
        <w:tc>
          <w:tcPr>
            <w:tcW w:w="120" w:type="dxa"/>
            <w:vAlign w:val="bottom"/>
            <w:shd w:val="clear" w:color="auto" w:fill="CFF0FC"/>
          </w:tcPr>
          <w:p>
            <w:pPr>
              <w:spacing w:after="0"/>
              <w:rPr>
                <w:sz w:val="22"/>
                <w:szCs w:val="22"/>
                <w:color w:val="auto"/>
              </w:rPr>
            </w:pPr>
          </w:p>
        </w:tc>
      </w:tr>
      <w:tr>
        <w:trPr>
          <w:trHeight w:val="250"/>
        </w:trPr>
        <w:tc>
          <w:tcPr>
            <w:tcW w:w="5340" w:type="dxa"/>
            <w:vAlign w:val="bottom"/>
          </w:tcPr>
          <w:p>
            <w:pPr>
              <w:ind w:left="180"/>
              <w:spacing w:after="0"/>
              <w:rPr>
                <w:sz w:val="20"/>
                <w:szCs w:val="20"/>
                <w:color w:val="auto"/>
              </w:rPr>
            </w:pPr>
            <w:r>
              <w:rPr>
                <w:rFonts w:ascii="Arial" w:cs="Arial" w:eastAsia="Arial" w:hAnsi="Arial"/>
                <w:sz w:val="18"/>
                <w:szCs w:val="18"/>
                <w:color w:val="auto"/>
              </w:rPr>
              <w:t>Less imputed interest</w:t>
            </w:r>
          </w:p>
        </w:tc>
        <w:tc>
          <w:tcPr>
            <w:tcW w:w="540" w:type="dxa"/>
            <w:vAlign w:val="bottom"/>
          </w:tcPr>
          <w:p>
            <w:pPr>
              <w:spacing w:after="0"/>
              <w:rPr>
                <w:sz w:val="21"/>
                <w:szCs w:val="21"/>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(64 )</w:t>
            </w:r>
          </w:p>
        </w:tc>
      </w:tr>
      <w:tr>
        <w:trPr>
          <w:trHeight w:val="290"/>
        </w:trPr>
        <w:tc>
          <w:tcPr>
            <w:tcW w:w="534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Total operating lease liabilities</w:t>
            </w:r>
          </w:p>
        </w:tc>
        <w:tc>
          <w:tcPr>
            <w:tcW w:w="540" w:type="dxa"/>
            <w:vAlign w:val="bottom"/>
            <w:tcBorders>
              <w:top w:val="single" w:sz="8" w:color="auto"/>
              <w:bottom w:val="single" w:sz="8" w:color="auto"/>
            </w:tcBorders>
            <w:shd w:val="clear" w:color="auto" w:fill="CFF0FC"/>
          </w:tcPr>
          <w:p>
            <w:pPr>
              <w:jc w:val="right"/>
              <w:ind w:right="35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758</w:t>
            </w:r>
          </w:p>
        </w:tc>
        <w:tc>
          <w:tcPr>
            <w:tcW w:w="12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5636895</wp:posOffset>
            </wp:positionH>
            <wp:positionV relativeFrom="paragraph">
              <wp:posOffset>-25400</wp:posOffset>
            </wp:positionV>
            <wp:extent cx="7747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-8255</wp:posOffset>
            </wp:positionV>
            <wp:extent cx="7747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87" w:lineRule="exact"/>
        <w:rPr>
          <w:sz w:val="20"/>
          <w:szCs w:val="20"/>
          <w:color w:val="auto"/>
        </w:rPr>
      </w:pPr>
    </w:p>
    <w:p>
      <w:pPr>
        <w:ind w:right="300" w:firstLine="509"/>
        <w:spacing w:after="0" w:line="293" w:lineRule="auto"/>
        <w:rPr>
          <w:sz w:val="20"/>
          <w:szCs w:val="20"/>
          <w:color w:val="auto"/>
        </w:rPr>
      </w:pPr>
      <w:r>
        <w:rPr>
          <w:rFonts w:ascii="Arial" w:cs="Arial" w:eastAsia="Arial" w:hAnsi="Arial"/>
          <w:sz w:val="18"/>
          <w:szCs w:val="18"/>
          <w:color w:val="auto"/>
        </w:rPr>
        <w:t>Equipment leases with an initial term of 12 months or less are not recorded with operating lease liabilities. The Company recognizes expense for these leases on a straight-line basis over the lease term. The equipment leases were deemed to be immaterial.</w:t>
      </w:r>
    </w:p>
    <w:p>
      <w:pPr>
        <w:spacing w:after="0" w:line="62" w:lineRule="exact"/>
        <w:rPr>
          <w:sz w:val="20"/>
          <w:szCs w:val="20"/>
          <w:color w:val="auto"/>
        </w:rPr>
      </w:pPr>
    </w:p>
    <w:p>
      <w:pPr>
        <w:ind w:firstLine="509"/>
        <w:spacing w:after="0" w:line="271" w:lineRule="auto"/>
        <w:rPr>
          <w:sz w:val="20"/>
          <w:szCs w:val="20"/>
          <w:color w:val="auto"/>
        </w:rPr>
      </w:pPr>
      <w:r>
        <w:rPr>
          <w:rFonts w:ascii="Arial" w:cs="Arial" w:eastAsia="Arial" w:hAnsi="Arial"/>
          <w:sz w:val="18"/>
          <w:szCs w:val="18"/>
          <w:color w:val="auto"/>
        </w:rPr>
        <w:t>Operating lease cost was $62,000 for each of the three months ended September 30, 2021 and 2020, and $185,000 for each of the nine months ended September 30, 2021 and 2020. Variable lease cost was $24,000 for each of the three months ended September 30, 2021 and 2020, and $71,000 for each of the nine months ended September 30, 2021 and 2020. Short-term lease cost was $2,000 for each of the three months ended September 30, 2021 and 2020, respectively, and $6,000 and $10,000 for the nine months ended September 30, 2021 and 2020, respectively. Cash payments included in operating activities on the statement of cash flows for operating lease liabilities were $293,000 and $283,000 for the nine months ended September 30, 2021 and 2020, respectively.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Service Providers</w:t>
      </w:r>
    </w:p>
    <w:p>
      <w:pPr>
        <w:spacing w:after="0" w:line="131" w:lineRule="exact"/>
        <w:rPr>
          <w:sz w:val="20"/>
          <w:szCs w:val="20"/>
          <w:color w:val="auto"/>
        </w:rPr>
      </w:pPr>
    </w:p>
    <w:p>
      <w:pPr>
        <w:ind w:right="420" w:firstLine="509"/>
        <w:spacing w:after="0" w:line="359" w:lineRule="auto"/>
        <w:rPr>
          <w:sz w:val="20"/>
          <w:szCs w:val="20"/>
          <w:color w:val="auto"/>
        </w:rPr>
      </w:pPr>
      <w:r>
        <w:rPr>
          <w:rFonts w:ascii="Arial" w:cs="Arial" w:eastAsia="Arial" w:hAnsi="Arial"/>
          <w:sz w:val="16"/>
          <w:szCs w:val="16"/>
          <w:color w:val="auto"/>
        </w:rPr>
        <w:t>In the course of the Company’s normal business operations, it has agreements with contract service providers to assist in the performance of its research and development, clinical research and manufacturing. Substantially all of these contracts are on an as needed basis.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License and Other Agreements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Bausch + Lomb</w:t>
      </w:r>
    </w:p>
    <w:p>
      <w:pPr>
        <w:spacing w:after="0" w:line="131" w:lineRule="exact"/>
        <w:rPr>
          <w:sz w:val="20"/>
          <w:szCs w:val="20"/>
          <w:color w:val="auto"/>
        </w:rPr>
      </w:pPr>
    </w:p>
    <w:p>
      <w:pPr>
        <w:ind w:right="460" w:firstLine="509"/>
        <w:spacing w:after="0" w:line="314" w:lineRule="auto"/>
        <w:rPr>
          <w:sz w:val="20"/>
          <w:szCs w:val="20"/>
          <w:color w:val="auto"/>
        </w:rPr>
      </w:pPr>
      <w:r>
        <w:rPr>
          <w:rFonts w:ascii="Arial" w:cs="Arial" w:eastAsia="Arial" w:hAnsi="Arial"/>
          <w:sz w:val="16"/>
          <w:szCs w:val="16"/>
          <w:color w:val="auto"/>
        </w:rPr>
        <w:t>On October 22, 2019, the Company entered into a License Agreement with Bausch + Lomb, a division of Bausch Health Companies, Inc. (“Bausch”). Pursuant to the Bausch License Agreement, the Company has granted an exclusive license to Bausch to develop, manufacture, distribute, promote, market and commercialize XIPERE using the Company’s proprietary microinjector (the “Device”), as well as specified other steroids, corticosteroids and NSAIDs in combination with the Device (“Other Products,” and together with XIPERE, the “Products”), subject to specified exceptions, in the United States and Canada (the “Territory”) for the treatment of ophthalmology indications, including non-infectious uveitis.</w:t>
      </w:r>
    </w:p>
    <w:p>
      <w:pPr>
        <w:spacing w:after="0" w:line="52" w:lineRule="exact"/>
        <w:rPr>
          <w:sz w:val="20"/>
          <w:szCs w:val="20"/>
          <w:color w:val="auto"/>
        </w:rPr>
      </w:pPr>
    </w:p>
    <w:p>
      <w:pPr>
        <w:ind w:right="400" w:firstLine="554"/>
        <w:spacing w:after="0" w:line="293" w:lineRule="auto"/>
        <w:rPr>
          <w:sz w:val="20"/>
          <w:szCs w:val="20"/>
          <w:color w:val="auto"/>
        </w:rPr>
      </w:pPr>
      <w:r>
        <w:rPr>
          <w:rFonts w:ascii="Arial" w:cs="Arial" w:eastAsia="Arial" w:hAnsi="Arial"/>
          <w:sz w:val="18"/>
          <w:szCs w:val="18"/>
          <w:color w:val="auto"/>
        </w:rPr>
        <w:t>On April 27, 2020, the Company and Bausch entered into an amendment to the Company’s License Agreement with Bausch dated October 22, 2019 (as amended, the “Bausch License Agreement”).</w:t>
      </w:r>
    </w:p>
    <w:p>
      <w:pPr>
        <w:spacing w:after="0" w:line="62" w:lineRule="exact"/>
        <w:rPr>
          <w:sz w:val="20"/>
          <w:szCs w:val="20"/>
          <w:color w:val="auto"/>
        </w:rPr>
      </w:pPr>
    </w:p>
    <w:p>
      <w:pPr>
        <w:ind w:right="80" w:firstLine="509"/>
        <w:spacing w:after="0" w:line="308" w:lineRule="auto"/>
        <w:rPr>
          <w:sz w:val="20"/>
          <w:szCs w:val="20"/>
          <w:color w:val="auto"/>
        </w:rPr>
      </w:pPr>
      <w:r>
        <w:rPr>
          <w:rFonts w:ascii="Arial" w:cs="Arial" w:eastAsia="Arial" w:hAnsi="Arial"/>
          <w:sz w:val="16"/>
          <w:szCs w:val="16"/>
          <w:color w:val="auto"/>
        </w:rPr>
        <w:t>Pursuant to the Bausch License Agreement, Bausch made an upfront payment of $5.0 million (the “Upfront Payment”) in October 2019. In October 2021, the FDA approved XIPERE. The Company is entitled to receive $5.0 million from Bausch as a result of the approval. An additional payment of $10.0 million is due upon completion of pre-launch activities for XIPERE. In addition, Bausch has agreed to pay up to an aggregate of $55.0 million in additional milestone payments upon the achievement of (i) specified regulatory approvals for specified additional indications of XIPERE and (ii) specified levels of annual net sales (as defined in the Bausch License Agreement). Further, during the applicable royalty term, the Company will also be entitled to receive tiered royalties at increasing percentages, from the high-teens to twenty percent, based on XIPERE achieving certain annual net sales thresholds in the Territory, in each case subject to reductions in specified circumstances; provided that the Company will not receive any royalties on the first $45.0 million of cumulative net sales of all products in the Territory. Bausch expects to launch XIPERE in the United States in the first quarter of 2022.</w:t>
      </w:r>
    </w:p>
    <w:p>
      <w:pPr>
        <w:spacing w:after="0" w:line="55" w:lineRule="exact"/>
        <w:rPr>
          <w:sz w:val="20"/>
          <w:szCs w:val="20"/>
          <w:color w:val="auto"/>
        </w:rPr>
      </w:pPr>
    </w:p>
    <w:p>
      <w:pPr>
        <w:ind w:right="20" w:firstLine="509"/>
        <w:spacing w:after="0" w:line="287" w:lineRule="auto"/>
        <w:rPr>
          <w:sz w:val="20"/>
          <w:szCs w:val="20"/>
          <w:color w:val="auto"/>
        </w:rPr>
      </w:pPr>
      <w:r>
        <w:rPr>
          <w:rFonts w:ascii="Arial" w:cs="Arial" w:eastAsia="Arial" w:hAnsi="Arial"/>
          <w:sz w:val="17"/>
          <w:szCs w:val="17"/>
          <w:color w:val="auto"/>
        </w:rPr>
        <w:t>The Bausch License Agreement will expire upon expiration of the royalty terms for all Products and countries in the Territory, with each royalty term for a given Product and country ending on the latest of (i) the date of expiration of the last-to-expire valid claim of any licensed patent rights covering such Product in such country in the Territory, (ii) the date of the loss of regulatory exclusivity for such Product in such country in the Territory, or (iii) ten years from the later of the first sale of such Product in such country in the Territory. Following the payment of the Pre-Launch Milestone Payments, Bausch may also terminate the Bausch License Agreement for convenience upon 180 days’ written notice. In addition, the Company can terminate the Bausch License Agreement if Bausch commences a legal action challenging the validity, enforceability or scope of any of the licensed patents. Both parties may terminate the Bausch License Agreement (i) upon a material breach of the Bausch License Agreement, subject to a specified cure period and specified exceptions, or (ii) if the other party encounters bankruptcy or insolvency.</w:t>
      </w:r>
    </w:p>
    <w:p>
      <w:pPr>
        <w:spacing w:after="0" w:line="74" w:lineRule="exact"/>
        <w:rPr>
          <w:sz w:val="20"/>
          <w:szCs w:val="20"/>
          <w:color w:val="auto"/>
        </w:rPr>
      </w:pPr>
    </w:p>
    <w:p>
      <w:pPr>
        <w:jc w:val="both"/>
        <w:ind w:right="40" w:firstLine="554"/>
        <w:spacing w:after="0" w:line="266" w:lineRule="auto"/>
        <w:rPr>
          <w:sz w:val="20"/>
          <w:szCs w:val="20"/>
          <w:color w:val="auto"/>
        </w:rPr>
      </w:pPr>
      <w:r>
        <w:rPr>
          <w:rFonts w:ascii="Arial" w:cs="Arial" w:eastAsia="Arial" w:hAnsi="Arial"/>
          <w:sz w:val="18"/>
          <w:szCs w:val="18"/>
          <w:color w:val="auto"/>
        </w:rPr>
        <w:t>The Company was responsible for all development expenses for XIPERE in the Territory until the Company's New Drug Application ("NDA") was approved by the FDA, subject to specified exceptions, as well as manufacturing costs in connection with the NDA. The Company was also responsible for all clinical and development expenses conducted to satisfy the FDA’s requests in the</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13" w:name="page14"/>
    <w:bookmarkEnd w:id="13"/>
    <w:p>
      <w:pPr>
        <w:ind w:right="20"/>
        <w:spacing w:after="0" w:line="293" w:lineRule="auto"/>
        <w:rPr>
          <w:sz w:val="20"/>
          <w:szCs w:val="20"/>
          <w:color w:val="auto"/>
        </w:rPr>
      </w:pPr>
      <w:r>
        <w:rPr>
          <w:rFonts w:ascii="Arial" w:cs="Arial" w:eastAsia="Arial" w:hAnsi="Arial"/>
          <w:sz w:val="18"/>
          <w:szCs w:val="18"/>
          <w:color w:val="auto"/>
        </w:rPr>
        <w:t>complete response letter issued on October 18, 2019 related to the NDA and any subsequent complete response letter related to the NDA (the “CRL-related expenses”). Following FDA approval of XIPERE, Bausch is responsible for all such expenses.</w:t>
      </w:r>
    </w:p>
    <w:p>
      <w:pPr>
        <w:spacing w:after="0" w:line="62" w:lineRule="exact"/>
        <w:rPr>
          <w:sz w:val="20"/>
          <w:szCs w:val="20"/>
          <w:color w:val="auto"/>
        </w:rPr>
      </w:pPr>
    </w:p>
    <w:p>
      <w:pPr>
        <w:ind w:right="360" w:firstLine="554"/>
        <w:spacing w:after="0" w:line="279" w:lineRule="auto"/>
        <w:rPr>
          <w:sz w:val="20"/>
          <w:szCs w:val="20"/>
          <w:color w:val="auto"/>
        </w:rPr>
      </w:pPr>
      <w:r>
        <w:rPr>
          <w:rFonts w:ascii="Arial" w:cs="Arial" w:eastAsia="Arial" w:hAnsi="Arial"/>
          <w:sz w:val="18"/>
          <w:szCs w:val="18"/>
          <w:color w:val="auto"/>
        </w:rPr>
        <w:t>Due to the refund provisions in the License Agreement, the upfront payment of $5.0 million received from Bausch was included on the balance sheet as deferred revenue as of September 30, 2021 and December 31, 2020. The refund provisions lapsed upon FDA approval of XIPERE. The $5.0 million will be recognized as revenue in the fourth quarter of 2021.</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Arctic Vision (Hong Kong) Limited</w:t>
      </w:r>
    </w:p>
    <w:p>
      <w:pPr>
        <w:spacing w:after="0" w:line="131" w:lineRule="exact"/>
        <w:rPr>
          <w:sz w:val="20"/>
          <w:szCs w:val="20"/>
          <w:color w:val="auto"/>
        </w:rPr>
      </w:pPr>
    </w:p>
    <w:p>
      <w:pPr>
        <w:ind w:right="20" w:firstLine="554"/>
        <w:spacing w:after="0" w:line="270" w:lineRule="auto"/>
        <w:rPr>
          <w:sz w:val="20"/>
          <w:szCs w:val="20"/>
          <w:color w:val="auto"/>
        </w:rPr>
      </w:pPr>
      <w:r>
        <w:rPr>
          <w:rFonts w:ascii="Arial" w:cs="Arial" w:eastAsia="Arial" w:hAnsi="Arial"/>
          <w:sz w:val="18"/>
          <w:szCs w:val="18"/>
          <w:color w:val="auto"/>
        </w:rPr>
        <w:t>On March 10, 2020, the Company entered into a License Agreement (the “License Agreement”) with Arctic Vision (Hong Kong) Limited (“Arctic Vision”). Pursuant to the License Agreement, the Company has granted an exclusive license to Arctic Vision to develop, distribute, promote, market and commercialize XIPERE, subject to specified exceptions, in China, Hong Kong, Macau, Taiwan and South Korea (the “Arctic Territory”). Under the terms of the License Agreement, neither party may commercialize XIPERE in the other party’s territory. Arctic Vision has agreed to use commercially reasonably efforts to pursue development and commercialization of XIPERE for indications associated with uveitis in the Arctic Territory. In addition, upon receipt of the Company’s consent, Arctic Vision will have the right, but not the obligation, to develop and commercialize XIPERE for additional indications in the Arctic Territory.</w:t>
      </w:r>
    </w:p>
    <w:p>
      <w:pPr>
        <w:spacing w:after="0" w:line="85" w:lineRule="exact"/>
        <w:rPr>
          <w:sz w:val="20"/>
          <w:szCs w:val="20"/>
          <w:color w:val="auto"/>
        </w:rPr>
      </w:pPr>
    </w:p>
    <w:p>
      <w:pPr>
        <w:ind w:right="80" w:firstLine="554"/>
        <w:spacing w:after="0" w:line="309" w:lineRule="auto"/>
        <w:rPr>
          <w:sz w:val="20"/>
          <w:szCs w:val="20"/>
          <w:color w:val="auto"/>
        </w:rPr>
      </w:pPr>
      <w:r>
        <w:rPr>
          <w:rFonts w:ascii="Arial" w:cs="Arial" w:eastAsia="Arial" w:hAnsi="Arial"/>
          <w:sz w:val="16"/>
          <w:szCs w:val="16"/>
          <w:color w:val="auto"/>
        </w:rPr>
        <w:t>Pursuant to the License Agreement, Arctic Vision paid the Company an upfront payment of $4.0 million in March 2020. In addition, Arctic Vision has agreed to pay up to $31.5 million in development milestone payments for specified events, including $4.0 million upon receipt of FDA approval of XIPERE in the United States and sales milestone payments for achievement of specified levels of net sales. Further, during the applicable royalty term, the Company will also be entitled to receive tiered royalties of ten to twelve percent of net sales based on achieving certain annual net sales thresholds in the Territory, subject to customary reductions, payable on a product-by-product and country-by-country basis, commencing at launch in such country and lasting until the latest of (i) the date that all valid claims within the licensed patent rights covering XIPERE have expired, (ii) the date of the loss of marketing or regulatory exclusivity of XIPERE in a given country, or (iii) ten years from the first commercial sale of XIPERE in a given country.</w:t>
      </w:r>
    </w:p>
    <w:p>
      <w:pPr>
        <w:spacing w:after="0" w:line="56" w:lineRule="exact"/>
        <w:rPr>
          <w:sz w:val="20"/>
          <w:szCs w:val="20"/>
          <w:color w:val="auto"/>
        </w:rPr>
      </w:pPr>
    </w:p>
    <w:p>
      <w:pPr>
        <w:ind w:firstLine="554"/>
        <w:spacing w:after="0" w:line="319" w:lineRule="auto"/>
        <w:rPr>
          <w:sz w:val="20"/>
          <w:szCs w:val="20"/>
          <w:color w:val="auto"/>
        </w:rPr>
      </w:pPr>
      <w:r>
        <w:rPr>
          <w:rFonts w:ascii="Arial" w:cs="Arial" w:eastAsia="Arial" w:hAnsi="Arial"/>
          <w:sz w:val="16"/>
          <w:szCs w:val="16"/>
          <w:color w:val="auto"/>
        </w:rPr>
        <w:t>In August 2021, the Company entered into an amendment to the Arctic Vision License Agreement to expand the territories covered by the license to include India and the ASEAN Countries (Brunei, Cambodia, Indonesia, Laos, Malaysia, Myanmar, the Philippines, Singapore, Thailand, and Vietnam). In September 2021, the Company entered into a second amendment to the Arctic Vision License Agreement to expand the Arctic Territory to include Australia and New Zealand. The Company received an aggregate of $3.0 million in consideration for the expansion of the Arctic Territory.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131" w:lineRule="exact"/>
        <w:rPr>
          <w:sz w:val="20"/>
          <w:szCs w:val="20"/>
          <w:color w:val="auto"/>
        </w:rPr>
      </w:pPr>
    </w:p>
    <w:p>
      <w:pPr>
        <w:jc w:val="both"/>
        <w:ind w:right="20" w:firstLine="554"/>
        <w:spacing w:after="0" w:line="279" w:lineRule="auto"/>
        <w:rPr>
          <w:sz w:val="20"/>
          <w:szCs w:val="20"/>
          <w:color w:val="auto"/>
        </w:rPr>
      </w:pPr>
      <w:r>
        <w:rPr>
          <w:rFonts w:ascii="Arial" w:cs="Arial" w:eastAsia="Arial" w:hAnsi="Arial"/>
          <w:sz w:val="18"/>
          <w:szCs w:val="18"/>
          <w:color w:val="auto"/>
        </w:rPr>
        <w:t>The Company periodically enters into short-term agreements with other customers to evaluate the potential use of its proprietary SCS Microinjector with third-party product candidates for the treatment of various diseases. Funds received from these agreements are recognized as revenue over the term of the agreement.</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Fair Value Measurements</w:t>
      </w:r>
    </w:p>
    <w:p>
      <w:pPr>
        <w:spacing w:after="0" w:line="135" w:lineRule="exact"/>
        <w:rPr>
          <w:sz w:val="20"/>
          <w:szCs w:val="20"/>
          <w:color w:val="auto"/>
        </w:rPr>
      </w:pPr>
    </w:p>
    <w:p>
      <w:pPr>
        <w:ind w:firstLine="509"/>
        <w:spacing w:after="0" w:line="314" w:lineRule="auto"/>
        <w:rPr>
          <w:sz w:val="20"/>
          <w:szCs w:val="20"/>
          <w:color w:val="auto"/>
        </w:rPr>
      </w:pPr>
      <w:r>
        <w:rPr>
          <w:rFonts w:ascii="Arial" w:cs="Arial" w:eastAsia="Arial" w:hAnsi="Arial"/>
          <w:sz w:val="16"/>
          <w:szCs w:val="16"/>
          <w:color w:val="auto"/>
        </w:rPr>
        <w:t xml:space="preserve">The Company records certain financial assets and liabilities at fair value in accordance with the provisions of ASC Topic 820, </w:t>
      </w:r>
      <w:r>
        <w:rPr>
          <w:rFonts w:ascii="Arial" w:cs="Arial" w:eastAsia="Arial" w:hAnsi="Arial"/>
          <w:sz w:val="16"/>
          <w:szCs w:val="16"/>
          <w:i w:val="1"/>
          <w:iCs w:val="1"/>
          <w:color w:val="auto"/>
        </w:rPr>
        <w:t>Fair Value</w:t>
      </w:r>
      <w:r>
        <w:rPr>
          <w:rFonts w:ascii="Arial" w:cs="Arial" w:eastAsia="Arial" w:hAnsi="Arial"/>
          <w:sz w:val="16"/>
          <w:szCs w:val="16"/>
          <w:color w:val="auto"/>
        </w:rPr>
        <w:t xml:space="preserve"> </w:t>
      </w:r>
      <w:r>
        <w:rPr>
          <w:rFonts w:ascii="Arial" w:cs="Arial" w:eastAsia="Arial" w:hAnsi="Arial"/>
          <w:sz w:val="16"/>
          <w:szCs w:val="16"/>
          <w:i w:val="1"/>
          <w:iCs w:val="1"/>
          <w:color w:val="auto"/>
        </w:rPr>
        <w:t>Measurements and Disclosures</w:t>
      </w:r>
      <w:r>
        <w:rPr>
          <w:rFonts w:ascii="Arial" w:cs="Arial" w:eastAsia="Arial" w:hAnsi="Arial"/>
          <w:sz w:val="16"/>
          <w:szCs w:val="16"/>
          <w:color w:val="auto"/>
        </w:rPr>
        <w:t>, on fair value measurements. As defined in the guidance, fair value, defined as an exit price, represents the amount that</w:t>
      </w:r>
      <w:r>
        <w:rPr>
          <w:rFonts w:ascii="Arial" w:cs="Arial" w:eastAsia="Arial" w:hAnsi="Arial"/>
          <w:sz w:val="16"/>
          <w:szCs w:val="16"/>
          <w:i w:val="1"/>
          <w:iCs w:val="1"/>
          <w:color w:val="auto"/>
        </w:rPr>
        <w:t xml:space="preserve"> </w:t>
      </w:r>
      <w:r>
        <w:rPr>
          <w:rFonts w:ascii="Arial" w:cs="Arial" w:eastAsia="Arial" w:hAnsi="Arial"/>
          <w:sz w:val="16"/>
          <w:szCs w:val="16"/>
          <w:color w:val="auto"/>
        </w:rPr>
        <w:t>would be received to sell an asset or pay to transfer a liability in an orderly transaction between market participants. As a result, fair value is a market-based approach that should be determined based on assumptions that market participants would use in pricing an asset or a liability. As a basis for considering these assumptions, the guidance defines a three-tier value hierarchy that prioritizes the inputs used in the valuation methodologies in measuring fair value.</w:t>
      </w:r>
    </w:p>
    <w:p>
      <w:pPr>
        <w:spacing w:after="0" w:line="52" w:lineRule="exact"/>
        <w:rPr>
          <w:sz w:val="20"/>
          <w:szCs w:val="20"/>
          <w:color w:val="auto"/>
        </w:rPr>
      </w:pPr>
    </w:p>
    <w:p>
      <w:pPr>
        <w:ind w:left="960"/>
        <w:spacing w:after="0"/>
        <w:rPr>
          <w:sz w:val="20"/>
          <w:szCs w:val="20"/>
          <w:color w:val="auto"/>
        </w:rPr>
      </w:pPr>
      <w:r>
        <w:rPr>
          <w:rFonts w:ascii="Arial" w:cs="Arial" w:eastAsia="Arial" w:hAnsi="Arial"/>
          <w:sz w:val="18"/>
          <w:szCs w:val="18"/>
          <w:color w:val="auto"/>
        </w:rPr>
        <w:t>Level 1—Unadjusted quoted prices in active, accessible markets for identical assets or liabilities.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Level 2—Other inputs that are directly or indirectly observable in the marketplace.</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Level 3—Unobservable inputs that are supported by little or no market activity.</w:t>
      </w:r>
    </w:p>
    <w:p>
      <w:pPr>
        <w:spacing w:after="0" w:line="239" w:lineRule="exact"/>
        <w:rPr>
          <w:sz w:val="20"/>
          <w:szCs w:val="20"/>
          <w:color w:val="auto"/>
        </w:rPr>
      </w:pPr>
    </w:p>
    <w:p>
      <w:pPr>
        <w:ind w:right="660" w:firstLine="509"/>
        <w:spacing w:after="0" w:line="293" w:lineRule="auto"/>
        <w:rPr>
          <w:sz w:val="20"/>
          <w:szCs w:val="20"/>
          <w:color w:val="auto"/>
        </w:rPr>
      </w:pPr>
      <w:r>
        <w:rPr>
          <w:rFonts w:ascii="Arial" w:cs="Arial" w:eastAsia="Arial" w:hAnsi="Arial"/>
          <w:sz w:val="18"/>
          <w:szCs w:val="18"/>
          <w:color w:val="auto"/>
        </w:rPr>
        <w:t>The fair value hierarchy also requires an entity to maximize the use of observable inputs and minimize the use of unobservable inputs when measuring fair value.</w:t>
      </w:r>
    </w:p>
    <w:p>
      <w:pPr>
        <w:spacing w:after="0" w:line="62" w:lineRule="exact"/>
        <w:rPr>
          <w:sz w:val="20"/>
          <w:szCs w:val="20"/>
          <w:color w:val="auto"/>
        </w:rPr>
      </w:pPr>
    </w:p>
    <w:p>
      <w:pPr>
        <w:ind w:right="80" w:firstLine="509"/>
        <w:spacing w:after="0" w:line="272" w:lineRule="auto"/>
        <w:rPr>
          <w:sz w:val="20"/>
          <w:szCs w:val="20"/>
          <w:color w:val="auto"/>
        </w:rPr>
      </w:pPr>
      <w:r>
        <w:rPr>
          <w:rFonts w:ascii="Arial" w:cs="Arial" w:eastAsia="Arial" w:hAnsi="Arial"/>
          <w:sz w:val="18"/>
          <w:szCs w:val="18"/>
          <w:color w:val="auto"/>
        </w:rPr>
        <w:t>The Company’s material financial instruments at September 30, 2021 and December 31, 2020 consisted primarily of cash and cash equivalents, and at December 31, 2020, also included long-term debt. The fair values of cash and cash equivalents, other current assets and accounts payable approximate their respective carrying values due to the short term nature of these instruments and are classified as Level 1 in the fair value hierarchy. The fair value of long-term debt approximates the carrying value due to variable interest rates that correspond to market rates and is classified as Level 1 in the fair value hierarchy.</w:t>
      </w:r>
    </w:p>
    <w:p>
      <w:pPr>
        <w:spacing w:after="0" w:line="83"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There were no significant transfers between Levels 1, 2 and 3 during the nine months ended September 30, 2021 and the year ended December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2020.</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12. Net Loss Per Share</w:t>
      </w:r>
    </w:p>
    <w:p>
      <w:pPr>
        <w:spacing w:after="0" w:line="135" w:lineRule="exact"/>
        <w:rPr>
          <w:sz w:val="20"/>
          <w:szCs w:val="20"/>
          <w:color w:val="auto"/>
        </w:rPr>
      </w:pPr>
    </w:p>
    <w:p>
      <w:pPr>
        <w:ind w:right="40" w:firstLine="509"/>
        <w:spacing w:after="0" w:line="288" w:lineRule="auto"/>
        <w:rPr>
          <w:sz w:val="20"/>
          <w:szCs w:val="20"/>
          <w:color w:val="auto"/>
        </w:rPr>
      </w:pPr>
      <w:r>
        <w:rPr>
          <w:rFonts w:ascii="Arial" w:cs="Arial" w:eastAsia="Arial" w:hAnsi="Arial"/>
          <w:sz w:val="17"/>
          <w:szCs w:val="17"/>
          <w:color w:val="auto"/>
        </w:rPr>
        <w:t>Basic net loss per share is calculated by dividing the net loss by the weighted average number of shares of common stock outstanding for the period, without consideration of the dilutive effect of potential common stock equivalents. Diluted net loss per share gives effect to all dilutive potential shares of common stock outstanding during this period. For all periods presented, the Company’s potential common stock equivalents, which included stock options, restricted stock units and stock purchase warrants, have been excluded from the computation of diluted net loss per share as their inclusion would have the effect of reducing the net loss per share. Therefore, the denominator used to calculate both basic and diluted net loss per share is the same in all periods presented. The Company’s potential common stock equivalents that have been excluded from the computation of diluted net loss per share for all periods presented because of their antidilutive effect consisted of the following:</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740" w:type="dxa"/>
            <w:vAlign w:val="bottom"/>
          </w:tcPr>
          <w:p>
            <w:pPr>
              <w:spacing w:after="0"/>
              <w:rPr>
                <w:sz w:val="17"/>
                <w:szCs w:val="17"/>
                <w:color w:val="auto"/>
              </w:rPr>
            </w:pPr>
          </w:p>
        </w:tc>
        <w:tc>
          <w:tcPr>
            <w:tcW w:w="2520" w:type="dxa"/>
            <w:vAlign w:val="bottom"/>
            <w:gridSpan w:val="4"/>
          </w:tcPr>
          <w:p>
            <w:pPr>
              <w:jc w:val="center"/>
              <w:spacing w:after="0"/>
              <w:rPr>
                <w:sz w:val="20"/>
                <w:szCs w:val="20"/>
                <w:color w:val="auto"/>
              </w:rPr>
            </w:pPr>
            <w:r>
              <w:rPr>
                <w:rFonts w:ascii="Arial" w:cs="Arial" w:eastAsia="Arial" w:hAnsi="Arial"/>
                <w:sz w:val="16"/>
                <w:szCs w:val="16"/>
                <w:b w:val="1"/>
                <w:bCs w:val="1"/>
                <w:color w:val="auto"/>
                <w:w w:val="93"/>
              </w:rPr>
              <w:t>Three Months Ended</w:t>
            </w:r>
          </w:p>
        </w:tc>
        <w:tc>
          <w:tcPr>
            <w:tcW w:w="380" w:type="dxa"/>
            <w:vAlign w:val="bottom"/>
          </w:tcPr>
          <w:p>
            <w:pPr>
              <w:spacing w:after="0"/>
              <w:rPr>
                <w:sz w:val="17"/>
                <w:szCs w:val="17"/>
                <w:color w:val="auto"/>
              </w:rPr>
            </w:pPr>
          </w:p>
        </w:tc>
        <w:tc>
          <w:tcPr>
            <w:tcW w:w="2500" w:type="dxa"/>
            <w:vAlign w:val="bottom"/>
            <w:gridSpan w:val="4"/>
          </w:tcPr>
          <w:p>
            <w:pPr>
              <w:jc w:val="center"/>
              <w:spacing w:after="0"/>
              <w:rPr>
                <w:sz w:val="20"/>
                <w:szCs w:val="20"/>
                <w:color w:val="auto"/>
              </w:rPr>
            </w:pPr>
            <w:r>
              <w:rPr>
                <w:rFonts w:ascii="Arial" w:cs="Arial" w:eastAsia="Arial" w:hAnsi="Arial"/>
                <w:sz w:val="16"/>
                <w:szCs w:val="16"/>
                <w:b w:val="1"/>
                <w:bCs w:val="1"/>
                <w:color w:val="auto"/>
                <w:w w:val="92"/>
              </w:rPr>
              <w:t>Nine Months Ended</w:t>
            </w:r>
          </w:p>
        </w:tc>
        <w:tc>
          <w:tcPr>
            <w:tcW w:w="100" w:type="dxa"/>
            <w:vAlign w:val="bottom"/>
          </w:tcPr>
          <w:p>
            <w:pPr>
              <w:spacing w:after="0"/>
              <w:rPr>
                <w:sz w:val="17"/>
                <w:szCs w:val="17"/>
                <w:color w:val="auto"/>
              </w:rPr>
            </w:pPr>
          </w:p>
        </w:tc>
      </w:tr>
      <w:tr>
        <w:trPr>
          <w:trHeight w:val="223"/>
        </w:trPr>
        <w:tc>
          <w:tcPr>
            <w:tcW w:w="5740" w:type="dxa"/>
            <w:vAlign w:val="bottom"/>
          </w:tcPr>
          <w:p>
            <w:pPr>
              <w:spacing w:after="0"/>
              <w:rPr>
                <w:sz w:val="19"/>
                <w:szCs w:val="19"/>
                <w:color w:val="auto"/>
              </w:rPr>
            </w:pPr>
          </w:p>
        </w:tc>
        <w:tc>
          <w:tcPr>
            <w:tcW w:w="1760" w:type="dxa"/>
            <w:vAlign w:val="bottom"/>
            <w:tcBorders>
              <w:bottom w:val="single" w:sz="8" w:color="auto"/>
            </w:tcBorders>
            <w:gridSpan w:val="3"/>
          </w:tcPr>
          <w:p>
            <w:pPr>
              <w:jc w:val="center"/>
              <w:ind w:left="655"/>
              <w:spacing w:after="0"/>
              <w:rPr>
                <w:sz w:val="20"/>
                <w:szCs w:val="20"/>
                <w:color w:val="auto"/>
              </w:rPr>
            </w:pPr>
            <w:r>
              <w:rPr>
                <w:rFonts w:ascii="Arial" w:cs="Arial" w:eastAsia="Arial" w:hAnsi="Arial"/>
                <w:sz w:val="16"/>
                <w:szCs w:val="16"/>
                <w:b w:val="1"/>
                <w:bCs w:val="1"/>
                <w:color w:val="auto"/>
                <w:w w:val="89"/>
              </w:rPr>
              <w:t>September 30,</w:t>
            </w:r>
          </w:p>
        </w:tc>
        <w:tc>
          <w:tcPr>
            <w:tcW w:w="76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760" w:type="dxa"/>
            <w:vAlign w:val="bottom"/>
            <w:tcBorders>
              <w:bottom w:val="single" w:sz="8" w:color="auto"/>
            </w:tcBorders>
            <w:gridSpan w:val="3"/>
          </w:tcPr>
          <w:p>
            <w:pPr>
              <w:jc w:val="center"/>
              <w:ind w:left="659"/>
              <w:spacing w:after="0"/>
              <w:rPr>
                <w:sz w:val="20"/>
                <w:szCs w:val="20"/>
                <w:color w:val="auto"/>
              </w:rPr>
            </w:pPr>
            <w:r>
              <w:rPr>
                <w:rFonts w:ascii="Arial" w:cs="Arial" w:eastAsia="Arial" w:hAnsi="Arial"/>
                <w:sz w:val="16"/>
                <w:szCs w:val="16"/>
                <w:b w:val="1"/>
                <w:bCs w:val="1"/>
                <w:color w:val="auto"/>
                <w:w w:val="89"/>
              </w:rPr>
              <w:t>September 30,</w:t>
            </w:r>
          </w:p>
        </w:tc>
        <w:tc>
          <w:tcPr>
            <w:tcW w:w="7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7"/>
        </w:trPr>
        <w:tc>
          <w:tcPr>
            <w:tcW w:w="5740" w:type="dxa"/>
            <w:vAlign w:val="bottom"/>
          </w:tcPr>
          <w:p>
            <w:pPr>
              <w:spacing w:after="0"/>
              <w:rPr>
                <w:sz w:val="17"/>
                <w:szCs w:val="17"/>
                <w:color w:val="auto"/>
              </w:rPr>
            </w:pPr>
          </w:p>
        </w:tc>
        <w:tc>
          <w:tcPr>
            <w:tcW w:w="114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2020</w:t>
            </w:r>
          </w:p>
        </w:tc>
        <w:tc>
          <w:tcPr>
            <w:tcW w:w="380" w:type="dxa"/>
            <w:vAlign w:val="bottom"/>
          </w:tcPr>
          <w:p>
            <w:pPr>
              <w:spacing w:after="0"/>
              <w:rPr>
                <w:sz w:val="17"/>
                <w:szCs w:val="17"/>
                <w:color w:val="auto"/>
              </w:rPr>
            </w:pPr>
          </w:p>
        </w:tc>
        <w:tc>
          <w:tcPr>
            <w:tcW w:w="112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w w:val="96"/>
              </w:rPr>
              <w:t>2020</w:t>
            </w:r>
          </w:p>
        </w:tc>
        <w:tc>
          <w:tcPr>
            <w:tcW w:w="100" w:type="dxa"/>
            <w:vAlign w:val="bottom"/>
          </w:tcPr>
          <w:p>
            <w:pPr>
              <w:spacing w:after="0"/>
              <w:rPr>
                <w:sz w:val="17"/>
                <w:szCs w:val="17"/>
                <w:color w:val="auto"/>
              </w:rPr>
            </w:pPr>
          </w:p>
        </w:tc>
      </w:tr>
      <w:tr>
        <w:trPr>
          <w:trHeight w:val="256"/>
        </w:trPr>
        <w:tc>
          <w:tcPr>
            <w:tcW w:w="5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Outstanding stock options</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5,858,739</w:t>
            </w:r>
          </w:p>
        </w:tc>
        <w:tc>
          <w:tcPr>
            <w:tcW w:w="26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4,249,443</w:t>
            </w:r>
          </w:p>
        </w:tc>
        <w:tc>
          <w:tcPr>
            <w:tcW w:w="15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5,858,739</w:t>
            </w:r>
          </w:p>
        </w:tc>
        <w:tc>
          <w:tcPr>
            <w:tcW w:w="26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4,249,443</w:t>
            </w:r>
          </w:p>
        </w:tc>
        <w:tc>
          <w:tcPr>
            <w:tcW w:w="100" w:type="dxa"/>
            <w:vAlign w:val="bottom"/>
            <w:shd w:val="clear" w:color="auto" w:fill="CFF0FC"/>
          </w:tcPr>
          <w:p>
            <w:pPr>
              <w:spacing w:after="0"/>
              <w:rPr>
                <w:sz w:val="22"/>
                <w:szCs w:val="22"/>
                <w:color w:val="auto"/>
              </w:rPr>
            </w:pPr>
          </w:p>
        </w:tc>
      </w:tr>
      <w:tr>
        <w:trPr>
          <w:trHeight w:val="250"/>
        </w:trPr>
        <w:tc>
          <w:tcPr>
            <w:tcW w:w="5740" w:type="dxa"/>
            <w:vAlign w:val="bottom"/>
          </w:tcPr>
          <w:p>
            <w:pPr>
              <w:ind w:left="20"/>
              <w:spacing w:after="0"/>
              <w:rPr>
                <w:sz w:val="20"/>
                <w:szCs w:val="20"/>
                <w:color w:val="auto"/>
              </w:rPr>
            </w:pPr>
            <w:r>
              <w:rPr>
                <w:rFonts w:ascii="Arial" w:cs="Arial" w:eastAsia="Arial" w:hAnsi="Arial"/>
                <w:sz w:val="18"/>
                <w:szCs w:val="18"/>
                <w:color w:val="auto"/>
              </w:rPr>
              <w:t>Non-vested restricted stock units</w:t>
            </w:r>
          </w:p>
        </w:tc>
        <w:tc>
          <w:tcPr>
            <w:tcW w:w="1140" w:type="dxa"/>
            <w:vAlign w:val="bottom"/>
          </w:tcPr>
          <w:p>
            <w:pPr>
              <w:jc w:val="right"/>
              <w:spacing w:after="0"/>
              <w:rPr>
                <w:sz w:val="20"/>
                <w:szCs w:val="20"/>
                <w:color w:val="auto"/>
              </w:rPr>
            </w:pPr>
            <w:r>
              <w:rPr>
                <w:rFonts w:ascii="Arial" w:cs="Arial" w:eastAsia="Arial" w:hAnsi="Arial"/>
                <w:sz w:val="18"/>
                <w:szCs w:val="18"/>
                <w:color w:val="auto"/>
              </w:rPr>
              <w:t>1,317,347</w:t>
            </w:r>
          </w:p>
        </w:tc>
        <w:tc>
          <w:tcPr>
            <w:tcW w:w="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861,025</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1,317,347</w:t>
            </w:r>
          </w:p>
        </w:tc>
        <w:tc>
          <w:tcPr>
            <w:tcW w:w="2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861,025</w:t>
            </w:r>
          </w:p>
        </w:tc>
        <w:tc>
          <w:tcPr>
            <w:tcW w:w="100" w:type="dxa"/>
            <w:vAlign w:val="bottom"/>
          </w:tcPr>
          <w:p>
            <w:pPr>
              <w:spacing w:after="0"/>
              <w:rPr>
                <w:sz w:val="21"/>
                <w:szCs w:val="21"/>
                <w:color w:val="auto"/>
              </w:rPr>
            </w:pPr>
          </w:p>
        </w:tc>
      </w:tr>
      <w:tr>
        <w:trPr>
          <w:trHeight w:val="257"/>
        </w:trPr>
        <w:tc>
          <w:tcPr>
            <w:tcW w:w="5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Stock purchase warrants</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29,796</w:t>
            </w:r>
          </w:p>
        </w:tc>
        <w:tc>
          <w:tcPr>
            <w:tcW w:w="260" w:type="dxa"/>
            <w:vAlign w:val="bottom"/>
            <w:tcBorders>
              <w:bottom w:val="single" w:sz="8" w:color="CFF0FC"/>
            </w:tcBorders>
            <w:shd w:val="clear" w:color="auto" w:fill="CFF0FC"/>
          </w:tcPr>
          <w:p>
            <w:pPr>
              <w:spacing w:after="0"/>
              <w:rPr>
                <w:sz w:val="22"/>
                <w:szCs w:val="22"/>
                <w:color w:val="auto"/>
              </w:rPr>
            </w:pPr>
          </w:p>
        </w:tc>
        <w:tc>
          <w:tcPr>
            <w:tcW w:w="360" w:type="dxa"/>
            <w:vAlign w:val="bottom"/>
            <w:tcBorders>
              <w:bottom w:val="single" w:sz="8" w:color="auto"/>
            </w:tcBorders>
            <w:shd w:val="clear" w:color="auto" w:fill="CFF0FC"/>
          </w:tcPr>
          <w:p>
            <w:pPr>
              <w:spacing w:after="0"/>
              <w:rPr>
                <w:sz w:val="22"/>
                <w:szCs w:val="22"/>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29,796</w:t>
            </w:r>
          </w:p>
        </w:tc>
        <w:tc>
          <w:tcPr>
            <w:tcW w:w="380" w:type="dxa"/>
            <w:vAlign w:val="bottom"/>
            <w:tcBorders>
              <w:bottom w:val="single" w:sz="8" w:color="CFF0FC"/>
            </w:tcBorders>
            <w:shd w:val="clear" w:color="auto" w:fill="CFF0FC"/>
          </w:tcPr>
          <w:p>
            <w:pPr>
              <w:spacing w:after="0"/>
              <w:rPr>
                <w:sz w:val="22"/>
                <w:szCs w:val="22"/>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29,796</w:t>
            </w:r>
          </w:p>
        </w:tc>
        <w:tc>
          <w:tcPr>
            <w:tcW w:w="260" w:type="dxa"/>
            <w:vAlign w:val="bottom"/>
            <w:tcBorders>
              <w:bottom w:val="single" w:sz="8" w:color="CFF0FC"/>
            </w:tcBorders>
            <w:shd w:val="clear" w:color="auto" w:fill="CFF0FC"/>
          </w:tcPr>
          <w:p>
            <w:pPr>
              <w:spacing w:after="0"/>
              <w:rPr>
                <w:sz w:val="22"/>
                <w:szCs w:val="22"/>
                <w:color w:val="auto"/>
              </w:rPr>
            </w:pPr>
          </w:p>
        </w:tc>
        <w:tc>
          <w:tcPr>
            <w:tcW w:w="380" w:type="dxa"/>
            <w:vAlign w:val="bottom"/>
            <w:tcBorders>
              <w:bottom w:val="single" w:sz="8" w:color="auto"/>
            </w:tcBorders>
            <w:shd w:val="clear" w:color="auto" w:fill="CFF0FC"/>
          </w:tcPr>
          <w:p>
            <w:pPr>
              <w:spacing w:after="0"/>
              <w:rPr>
                <w:sz w:val="22"/>
                <w:szCs w:val="22"/>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29,796</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50"/>
        </w:trPr>
        <w:tc>
          <w:tcPr>
            <w:tcW w:w="57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7,205,882</w:t>
            </w:r>
          </w:p>
        </w:tc>
        <w:tc>
          <w:tcPr>
            <w:tcW w:w="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89"/>
              </w:rPr>
              <w:t>5,140,264</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7,205,882</w:t>
            </w:r>
          </w:p>
        </w:tc>
        <w:tc>
          <w:tcPr>
            <w:tcW w:w="2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7"/>
              </w:rPr>
              <w:t>5,140,264</w:t>
            </w:r>
          </w:p>
        </w:tc>
        <w:tc>
          <w:tcPr>
            <w:tcW w:w="100" w:type="dxa"/>
            <w:vAlign w:val="bottom"/>
          </w:tcPr>
          <w:p>
            <w:pPr>
              <w:spacing w:after="0"/>
              <w:rPr>
                <w:sz w:val="21"/>
                <w:szCs w:val="21"/>
                <w:color w:val="auto"/>
              </w:rPr>
            </w:pPr>
          </w:p>
        </w:tc>
      </w:tr>
      <w:tr>
        <w:trPr>
          <w:trHeight w:val="20"/>
        </w:trPr>
        <w:tc>
          <w:tcPr>
            <w:tcW w:w="57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4368165</wp:posOffset>
            </wp:positionH>
            <wp:positionV relativeFrom="paragraph">
              <wp:posOffset>-193675</wp:posOffset>
            </wp:positionV>
            <wp:extent cx="163195" cy="571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-193675</wp:posOffset>
            </wp:positionV>
            <wp:extent cx="248920" cy="571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48920" cy="571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-193675</wp:posOffset>
            </wp:positionV>
            <wp:extent cx="154305" cy="571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-193675</wp:posOffset>
            </wp:positionV>
            <wp:extent cx="68580" cy="571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35" w:lineRule="exact"/>
        <w:rPr>
          <w:sz w:val="20"/>
          <w:szCs w:val="20"/>
          <w:color w:val="auto"/>
        </w:rPr>
      </w:pPr>
    </w:p>
    <w:p>
      <w:pPr>
        <w:ind w:firstLine="509"/>
        <w:spacing w:after="0" w:line="286" w:lineRule="auto"/>
        <w:rPr>
          <w:sz w:val="20"/>
          <w:szCs w:val="20"/>
          <w:color w:val="auto"/>
        </w:rPr>
      </w:pPr>
      <w:r>
        <w:rPr>
          <w:rFonts w:ascii="Arial" w:cs="Arial" w:eastAsia="Arial" w:hAnsi="Arial"/>
          <w:sz w:val="17"/>
          <w:szCs w:val="17"/>
          <w:i w:val="1"/>
          <w:iCs w:val="1"/>
          <w:color w:val="auto"/>
        </w:rPr>
        <w:t>Certain statements contained in this Quarterly Report on Form 10-Q may constitute forward-looking statements within the meaning of Section 27A of the Securities Act of 1933, as amended, and Section 21E of the Securities Exchange Act of 1934, as amended. The words or phrases “would be,” “will allow,” “intends to,” “will likely result,” “are expected to,” “will continue,” “is anticipated,” “estimate,” “project,” or similar expressions, or the negative of such words or phrases, are intended to identify “forward-looking statements.” We have based these forward-looking statements on our current expectations and projections about future events. Because such statements include risks and uncertainties, actual results may differ materially from those expressed or implied by such forward-looking statements. Factors that could cause or contribute to these differences include those below and elsewhere in this Quarterly Report on Form 10-Q and our other filings with the Securities and Exchange Commission, or SEC, under the heading “Risk Factors”. Such risks and uncertainties may be amplified by the COVID-19 pandemic and its potential impact on our business and the global economy. Statements made herein are as of the date of the filing of this Form 10-Q with the SEC and should not be relied upon as of any subsequent date. Unless otherwise required by applicable law, we do not undertake, and we specifically disclaim, any obligation to update any forward-looking statements to reflect occurrences, developments, unanticipated events or circumstances after the date of such statement.</w:t>
      </w:r>
    </w:p>
    <w:p>
      <w:pPr>
        <w:spacing w:after="0" w:line="178" w:lineRule="exact"/>
        <w:rPr>
          <w:sz w:val="20"/>
          <w:szCs w:val="20"/>
          <w:color w:val="auto"/>
        </w:rPr>
      </w:pPr>
    </w:p>
    <w:p>
      <w:pPr>
        <w:jc w:val="both"/>
        <w:ind w:right="40" w:firstLine="509"/>
        <w:spacing w:after="0" w:line="303" w:lineRule="auto"/>
        <w:rPr>
          <w:sz w:val="20"/>
          <w:szCs w:val="20"/>
          <w:color w:val="auto"/>
        </w:rPr>
      </w:pPr>
      <w:r>
        <w:rPr>
          <w:rFonts w:ascii="Arial" w:cs="Arial" w:eastAsia="Arial" w:hAnsi="Arial"/>
          <w:sz w:val="17"/>
          <w:szCs w:val="17"/>
          <w:color w:val="auto"/>
        </w:rPr>
        <w:t>The following discussion and analysis of our financial condition and results of operations should be read in conjunction with our unaudited financial statements and related notes that appear in Item 1 of this Quarterly Report on Form 10-Q and with our audited financial statements and related notes for the year ended December 31, 2020 appearing in our Annual Report on Form 10-K filed with the SEC on March 15, 2021.</w:t>
      </w:r>
    </w:p>
    <w:p>
      <w:pPr>
        <w:spacing w:after="0" w:line="160"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Overview</w:t>
      </w:r>
    </w:p>
    <w:p>
      <w:pPr>
        <w:spacing w:after="0" w:line="135" w:lineRule="exact"/>
        <w:rPr>
          <w:sz w:val="20"/>
          <w:szCs w:val="20"/>
          <w:color w:val="auto"/>
        </w:rPr>
      </w:pPr>
    </w:p>
    <w:p>
      <w:pPr>
        <w:ind w:right="60" w:firstLine="509"/>
        <w:spacing w:after="0" w:line="243" w:lineRule="auto"/>
        <w:rPr>
          <w:sz w:val="20"/>
          <w:szCs w:val="20"/>
          <w:color w:val="auto"/>
        </w:rPr>
      </w:pPr>
      <w:r>
        <w:rPr>
          <w:rFonts w:ascii="Arial" w:cs="Arial" w:eastAsia="Arial" w:hAnsi="Arial"/>
          <w:sz w:val="18"/>
          <w:szCs w:val="18"/>
          <w:color w:val="auto"/>
        </w:rPr>
        <w:t>We are a biopharmaceutical company focused on revolutionizing the delivery of therapies to the back of the eye through the suprachoroidal space (SCS</w:t>
      </w:r>
      <w:r>
        <w:rPr>
          <w:rFonts w:ascii="Arial" w:cs="Arial" w:eastAsia="Arial" w:hAnsi="Arial"/>
          <w:sz w:val="24"/>
          <w:szCs w:val="24"/>
          <w:color w:val="auto"/>
          <w:vertAlign w:val="superscript"/>
        </w:rPr>
        <w:t>®</w:t>
      </w:r>
      <w:r>
        <w:rPr>
          <w:rFonts w:ascii="Arial" w:cs="Arial" w:eastAsia="Arial" w:hAnsi="Arial"/>
          <w:sz w:val="18"/>
          <w:szCs w:val="18"/>
          <w:color w:val="auto"/>
        </w:rPr>
        <w:t>). Our SCS injection platform, utilizing our proprietary SCS Microinjector</w:t>
      </w:r>
      <w:r>
        <w:rPr>
          <w:rFonts w:ascii="Arial" w:cs="Arial" w:eastAsia="Arial" w:hAnsi="Arial"/>
          <w:sz w:val="24"/>
          <w:szCs w:val="24"/>
          <w:color w:val="auto"/>
          <w:vertAlign w:val="superscript"/>
        </w:rPr>
        <w:t>®</w:t>
      </w:r>
      <w:r>
        <w:rPr>
          <w:rFonts w:ascii="Arial" w:cs="Arial" w:eastAsia="Arial" w:hAnsi="Arial"/>
          <w:sz w:val="18"/>
          <w:szCs w:val="18"/>
          <w:color w:val="auto"/>
        </w:rPr>
        <w:t>, enables an in-office, repeatable, non-surgical procedure for the targeted and compartmentalized delivery of a wide variety of therapies to the macula, retina or choroid to potentially preserve and improve vision in patients with sight-threatening eye diseases. We are developing our own pipeline of small molecule product candidates for administration via our SCS Microinjector and strategically partner our SCS injection platform with companies utilizing other ophthalmic therapeutic innovations. Our first product, XIPERE</w:t>
      </w:r>
      <w:r>
        <w:rPr>
          <w:rFonts w:ascii="Arial" w:cs="Arial" w:eastAsia="Arial" w:hAnsi="Arial"/>
          <w:sz w:val="24"/>
          <w:szCs w:val="24"/>
          <w:color w:val="auto"/>
          <w:vertAlign w:val="superscript"/>
        </w:rPr>
        <w:t>™</w:t>
      </w:r>
      <w:r>
        <w:rPr>
          <w:rFonts w:ascii="Arial" w:cs="Arial" w:eastAsia="Arial" w:hAnsi="Arial"/>
          <w:sz w:val="18"/>
          <w:szCs w:val="18"/>
          <w:color w:val="auto"/>
        </w:rPr>
        <w:t xml:space="preserve"> (triamcinolone acetonide injectable suspension) for suprachoroidal use, was approved by the U.S. Food and Drug Administration, or the FDA, in October 2021.</w:t>
      </w:r>
    </w:p>
    <w:p>
      <w:pPr>
        <w:spacing w:after="0" w:line="108" w:lineRule="exact"/>
        <w:rPr>
          <w:sz w:val="20"/>
          <w:szCs w:val="20"/>
          <w:color w:val="auto"/>
        </w:rPr>
      </w:pPr>
    </w:p>
    <w:p>
      <w:pPr>
        <w:ind w:right="200" w:firstLine="509"/>
        <w:spacing w:after="0" w:line="275" w:lineRule="auto"/>
        <w:rPr>
          <w:sz w:val="20"/>
          <w:szCs w:val="20"/>
          <w:color w:val="auto"/>
        </w:rPr>
      </w:pPr>
      <w:r>
        <w:rPr>
          <w:rFonts w:ascii="Arial" w:cs="Arial" w:eastAsia="Arial" w:hAnsi="Arial"/>
          <w:sz w:val="18"/>
          <w:szCs w:val="18"/>
          <w:color w:val="auto"/>
        </w:rPr>
        <w:t>We are leveraging our SCS injection platform by building an internal research and development pipeline targeting chorioretinal diseases and by creating external collaborations with other companies. Using our suprachoroidal injection technology in conjunction with proprietary formulations of existing drugs as well as novel therapies, we believe we have created a broad therapeutic platform for developing product candidates to treat serious back of the eye diseases.</w:t>
      </w: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10" w:right="339" w:bottom="1440" w:gutter="0" w:footer="0" w:header="0"/>
        </w:sectPr>
      </w:pPr>
    </w:p>
    <w:bookmarkStart w:id="15" w:name="page16"/>
    <w:bookmarkEnd w:id="15"/>
    <w:p>
      <w:pPr>
        <w:ind w:left="520"/>
        <w:spacing w:after="0"/>
        <w:rPr>
          <w:sz w:val="20"/>
          <w:szCs w:val="20"/>
          <w:color w:val="auto"/>
        </w:rPr>
      </w:pPr>
      <w:r>
        <w:rPr>
          <w:rFonts w:ascii="Arial" w:cs="Arial" w:eastAsia="Arial" w:hAnsi="Arial"/>
          <w:sz w:val="17"/>
          <w:szCs w:val="17"/>
          <w:color w:val="auto"/>
        </w:rPr>
        <w:t>The current development status of our pipeline of internal product candidates and external collaborations is summarized in the chart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90805</wp:posOffset>
            </wp:positionV>
            <wp:extent cx="6172200" cy="302641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172200" cy="3026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Internal Pipeline</w:t>
      </w:r>
    </w:p>
    <w:p>
      <w:pPr>
        <w:spacing w:after="0" w:line="131" w:lineRule="exact"/>
        <w:rPr>
          <w:sz w:val="20"/>
          <w:szCs w:val="20"/>
          <w:color w:val="auto"/>
        </w:rPr>
      </w:pPr>
    </w:p>
    <w:p>
      <w:pPr>
        <w:ind w:right="40" w:firstLine="509"/>
        <w:spacing w:after="0" w:line="319" w:lineRule="auto"/>
        <w:rPr>
          <w:sz w:val="20"/>
          <w:szCs w:val="20"/>
          <w:color w:val="auto"/>
        </w:rPr>
      </w:pPr>
      <w:r>
        <w:rPr>
          <w:rFonts w:ascii="Arial" w:cs="Arial" w:eastAsia="Arial" w:hAnsi="Arial"/>
          <w:sz w:val="16"/>
          <w:szCs w:val="16"/>
          <w:color w:val="auto"/>
        </w:rPr>
        <w:t>Our first product, XIPERE, formerly known as CLS-TA, is a proprietary, preservative-free suspension of the corticosteroid triamcinolone acetonide, or TA, for administration via suprachoroidal injection. Corticosteroids are the standard of care in uveitis. They are effective at treating the inflammatory aspect of ocular disease, but when delivered locally, either topically as drops, intravitreally, or by periocular injection, they have been associated with significant side effects, such as cataract formation or exacerbation, and elevated intraocular pressure, or IOP, which can lead to glaucoma.</w:t>
      </w:r>
    </w:p>
    <w:p>
      <w:pPr>
        <w:spacing w:after="0" w:line="48" w:lineRule="exact"/>
        <w:rPr>
          <w:sz w:val="20"/>
          <w:szCs w:val="20"/>
          <w:color w:val="auto"/>
        </w:rPr>
      </w:pPr>
    </w:p>
    <w:p>
      <w:pPr>
        <w:ind w:right="80" w:firstLine="509"/>
        <w:spacing w:after="0" w:line="271" w:lineRule="auto"/>
        <w:rPr>
          <w:sz w:val="20"/>
          <w:szCs w:val="20"/>
          <w:color w:val="auto"/>
        </w:rPr>
      </w:pPr>
      <w:r>
        <w:rPr>
          <w:rFonts w:ascii="Arial" w:cs="Arial" w:eastAsia="Arial" w:hAnsi="Arial"/>
          <w:sz w:val="18"/>
          <w:szCs w:val="18"/>
          <w:color w:val="auto"/>
        </w:rPr>
        <w:t>On October 25, 2021, we announced that the FDA approved XIPERE for the treatment of macular edema associated with uveitis. Uveitis is a set of ocular inflammatory conditions affecting approximately 350,000 patients in the United States and more than one million worldwide. Approximately one-third of uveitis patients develop uveitic macular edema, a build-up of fluid in the macula, the area of the retina responsible for sharp, straight-ahead vision. Macular edema is the leading cause of vision loss and blindness in uveitis patients and can occur from uveitis affecting any anatomic location—anterior, intermediate, posterior or panuveitis. The uveitis market is expected to grow to nearly $550 million by 2024 in the United States, and over $1 billion globally.</w:t>
      </w:r>
    </w:p>
    <w:p>
      <w:pPr>
        <w:spacing w:after="0" w:line="83" w:lineRule="exact"/>
        <w:rPr>
          <w:sz w:val="20"/>
          <w:szCs w:val="20"/>
          <w:color w:val="auto"/>
        </w:rPr>
      </w:pPr>
    </w:p>
    <w:p>
      <w:pPr>
        <w:jc w:val="both"/>
        <w:ind w:right="120" w:firstLine="509"/>
        <w:spacing w:after="0" w:line="275" w:lineRule="auto"/>
        <w:rPr>
          <w:sz w:val="20"/>
          <w:szCs w:val="20"/>
          <w:color w:val="auto"/>
        </w:rPr>
      </w:pPr>
      <w:r>
        <w:rPr>
          <w:rFonts w:ascii="Arial" w:cs="Arial" w:eastAsia="Arial" w:hAnsi="Arial"/>
          <w:sz w:val="18"/>
          <w:szCs w:val="18"/>
          <w:color w:val="auto"/>
        </w:rPr>
        <w:t>We are developing a proprietary suspension of axitinib, a tyrosine kinase inhibitor, or TKI, for suprachoroidal injection, which we refer to as CLS-AX. In our preclinical studies, administration of CLS-AX through suprachoroidal injection was well tolerated and showed durability over several months, providing us with the opportunity to potentially reduce treatment burden and address a primary need for neovascular age-related macular degeneration, or wet AMD, patients.</w:t>
      </w:r>
    </w:p>
    <w:p>
      <w:pPr>
        <w:spacing w:after="0" w:line="77" w:lineRule="exact"/>
        <w:rPr>
          <w:sz w:val="20"/>
          <w:szCs w:val="20"/>
          <w:color w:val="auto"/>
        </w:rPr>
      </w:pPr>
    </w:p>
    <w:p>
      <w:pPr>
        <w:ind w:right="160" w:firstLine="509"/>
        <w:spacing w:after="0" w:line="314" w:lineRule="auto"/>
        <w:rPr>
          <w:sz w:val="20"/>
          <w:szCs w:val="20"/>
          <w:color w:val="auto"/>
        </w:rPr>
      </w:pPr>
      <w:r>
        <w:rPr>
          <w:rFonts w:ascii="Arial" w:cs="Arial" w:eastAsia="Arial" w:hAnsi="Arial"/>
          <w:sz w:val="16"/>
          <w:szCs w:val="16"/>
          <w:color w:val="auto"/>
        </w:rPr>
        <w:t>In August 2020, we announced that the FDA had accepted our Investigational New Drug application, or IND, for CLS-AX. In January 2021, we announced that the first patients had been enrolled in our Phase 1/2a clinical trial of CLS-AX, known as OASIS. In March 2021, we completed patient dosing in Cohort 1 of OASIS and in June 2021, reported that we achieved our safety and tolerability endpoints. In September 2021, we completed patient enrollment in Cohort 2 and expect to report data by the end of 2021. If the data from Cohort 2 are positive, we intend to continue the clinical trial with a dose escalation in Cohort 3. We have added a three-month extension study to follow Cohort 2 patients over a longer period of time.</w:t>
      </w:r>
    </w:p>
    <w:p>
      <w:pPr>
        <w:spacing w:after="0" w:line="52" w:lineRule="exact"/>
        <w:rPr>
          <w:sz w:val="20"/>
          <w:szCs w:val="20"/>
          <w:color w:val="auto"/>
        </w:rPr>
      </w:pPr>
    </w:p>
    <w:p>
      <w:pPr>
        <w:jc w:val="both"/>
        <w:ind w:firstLine="509"/>
        <w:spacing w:after="0" w:line="299" w:lineRule="auto"/>
        <w:rPr>
          <w:sz w:val="20"/>
          <w:szCs w:val="20"/>
          <w:color w:val="auto"/>
        </w:rPr>
      </w:pPr>
      <w:r>
        <w:rPr>
          <w:rFonts w:ascii="Arial" w:cs="Arial" w:eastAsia="Arial" w:hAnsi="Arial"/>
          <w:sz w:val="16"/>
          <w:szCs w:val="16"/>
          <w:color w:val="auto"/>
        </w:rPr>
        <w:t>We have initiated another small molecule program utilizing suprachoroidal administration of an integrin inhibitor suspension. Integrins play a role in pathologic processes, such as inflammation, angiogenesis and fibrosis. Integrin inhibition has had some recent preliminary validation in preclinical models and clinical studies of diabetic macular edema and macular degeneration conducted by others. We believe that integrin inhibition could potentially serve as primary therapy, adjunctive therapy to anti-VEGF agents or secondary therapy in refractory cases of diabetic macular edema and macular degeneration.</w:t>
      </w:r>
    </w:p>
    <w:p>
      <w:pPr>
        <w:spacing w:after="0" w:line="2" w:lineRule="exact"/>
        <w:rPr>
          <w:sz w:val="20"/>
          <w:szCs w:val="20"/>
          <w:color w:val="auto"/>
        </w:rPr>
      </w:pPr>
    </w:p>
    <w:p>
      <w:pPr>
        <w:ind w:right="80"/>
        <w:spacing w:after="0" w:line="266" w:lineRule="auto"/>
        <w:rPr>
          <w:sz w:val="20"/>
          <w:szCs w:val="20"/>
          <w:color w:val="auto"/>
        </w:rPr>
      </w:pPr>
      <w:r>
        <w:rPr>
          <w:rFonts w:ascii="Arial" w:cs="Arial" w:eastAsia="Arial" w:hAnsi="Arial"/>
          <w:sz w:val="18"/>
          <w:szCs w:val="18"/>
          <w:color w:val="auto"/>
        </w:rPr>
        <w:t>Suprachoroidal delivery of an integrin inhibitor suspension could provide targeting, compartmentalization and durability advantages over topical or intravitreal delivery, similar to what we have observed in other preclinical studies of small molecule suspensions, such as triamcinolone acetonide and axitinib. Therefore, we are assessing ocular tolerability, distribution and pharmacokinetics of our integrin inhibitor suprachoroidal suspension in a series of preclinical studies. These studies are ongoing.</w:t>
      </w: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16" w:name="page17"/>
    <w:bookmarkEnd w:id="16"/>
    <w:p>
      <w:pPr>
        <w:ind w:left="560"/>
        <w:spacing w:after="0"/>
        <w:rPr>
          <w:sz w:val="20"/>
          <w:szCs w:val="20"/>
          <w:color w:val="auto"/>
        </w:rPr>
      </w:pPr>
      <w:r>
        <w:rPr>
          <w:rFonts w:ascii="Arial" w:cs="Arial" w:eastAsia="Arial" w:hAnsi="Arial"/>
          <w:sz w:val="18"/>
          <w:szCs w:val="18"/>
          <w:i w:val="1"/>
          <w:iCs w:val="1"/>
          <w:color w:val="auto"/>
        </w:rPr>
        <w:t>External Collaborations Pipeline</w:t>
      </w:r>
    </w:p>
    <w:p>
      <w:pPr>
        <w:spacing w:after="0" w:line="13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In addition to growing our internal pipeline, we are also focused on collaborating with other companies to provide access to the suprachoroidal</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space.</w:t>
      </w:r>
    </w:p>
    <w:p>
      <w:pPr>
        <w:spacing w:after="0" w:line="130" w:lineRule="exact"/>
        <w:rPr>
          <w:sz w:val="20"/>
          <w:szCs w:val="20"/>
          <w:color w:val="auto"/>
        </w:rPr>
      </w:pPr>
    </w:p>
    <w:p>
      <w:pPr>
        <w:ind w:right="80" w:firstLine="509"/>
        <w:spacing w:after="0" w:line="275" w:lineRule="auto"/>
        <w:rPr>
          <w:sz w:val="20"/>
          <w:szCs w:val="20"/>
          <w:color w:val="auto"/>
        </w:rPr>
      </w:pPr>
      <w:r>
        <w:rPr>
          <w:rFonts w:ascii="Arial" w:cs="Arial" w:eastAsia="Arial" w:hAnsi="Arial"/>
          <w:sz w:val="18"/>
          <w:szCs w:val="18"/>
          <w:color w:val="auto"/>
        </w:rPr>
        <w:t>During the second half of 2019, we entered into three license and other agreements that we believe validate and expand the reach of our suprachoroidal injection platform. In October 2019, we announced that Bausch + Lomb, a division of Bausch Health Companies, Inc., or Bausch, acquired an exclusive license for the commercialization and development of XIPERE (triamcinolone acetonide suprachoroidal suspension) in the United States and Canada.</w:t>
      </w:r>
    </w:p>
    <w:p>
      <w:pPr>
        <w:spacing w:after="0" w:line="77" w:lineRule="exact"/>
        <w:rPr>
          <w:sz w:val="20"/>
          <w:szCs w:val="20"/>
          <w:color w:val="auto"/>
        </w:rPr>
      </w:pPr>
    </w:p>
    <w:p>
      <w:pPr>
        <w:ind w:firstLine="509"/>
        <w:spacing w:after="0" w:line="292" w:lineRule="auto"/>
        <w:rPr>
          <w:sz w:val="20"/>
          <w:szCs w:val="20"/>
          <w:color w:val="auto"/>
        </w:rPr>
      </w:pPr>
      <w:r>
        <w:rPr>
          <w:rFonts w:ascii="Arial" w:cs="Arial" w:eastAsia="Arial" w:hAnsi="Arial"/>
          <w:sz w:val="17"/>
          <w:szCs w:val="17"/>
          <w:color w:val="auto"/>
        </w:rPr>
        <w:t>In October 2019, REGENXBIO Inc., or REGENXBIO, exercised its option to license our SCS Microinjector technology for in-office delivery of adeno-associated virus, or AAV,-based therapeutics to the SCS to potentially treat AMD, diabetic retinopathy and certain other conditions for which chronic anti-VEGF treatment is currently the standard of care. REGENXBIO is currently conducting two Phase 2 clinical trials using our SCS Microinjector technology: the Phase 2 trial entitled AAVIATE for the treatment of wet AMD and a second Phase 2 trial entitled ALTITUDE for the treatment of diabetic retinopathy. REGENXBIO reported positive initial data from both clinical trials in October 2021.</w:t>
      </w:r>
    </w:p>
    <w:p>
      <w:pPr>
        <w:spacing w:after="0" w:line="66" w:lineRule="exact"/>
        <w:rPr>
          <w:sz w:val="20"/>
          <w:szCs w:val="20"/>
          <w:color w:val="auto"/>
        </w:rPr>
      </w:pPr>
    </w:p>
    <w:p>
      <w:pPr>
        <w:ind w:right="20" w:firstLine="509"/>
        <w:spacing w:after="0" w:line="292" w:lineRule="auto"/>
        <w:rPr>
          <w:sz w:val="20"/>
          <w:szCs w:val="20"/>
          <w:color w:val="auto"/>
        </w:rPr>
      </w:pPr>
      <w:r>
        <w:rPr>
          <w:rFonts w:ascii="Arial" w:cs="Arial" w:eastAsia="Arial" w:hAnsi="Arial"/>
          <w:sz w:val="17"/>
          <w:szCs w:val="17"/>
          <w:color w:val="auto"/>
        </w:rPr>
        <w:t>In July 2019, Aura Biosciences, or Aura, licensed our SCS Microinjector to deliver Aura’s proprietary drug candidates into the SCS for the potential treatment of certain ocular cancers, including choroidal melanoma. Aura is currently conducting a Phase 2 trial in choroidal melanoma comprised of an open-label, dose escalation phase and a randomized, masked dose expansion phase. Aura reported positive initial data on its Phase 2 clinical trial for the treatment of choroidal melanoma in October 2021. Aura has announced the randomized phase of the trial is planned to begin in the second half of 2022 and will serve as the first pivotal trial for the treatment of indeterminate lesions and choroidal melanoma.</w:t>
      </w:r>
    </w:p>
    <w:p>
      <w:pPr>
        <w:spacing w:after="0" w:line="66" w:lineRule="exact"/>
        <w:rPr>
          <w:sz w:val="20"/>
          <w:szCs w:val="20"/>
          <w:color w:val="auto"/>
        </w:rPr>
      </w:pPr>
    </w:p>
    <w:p>
      <w:pPr>
        <w:ind w:right="80" w:firstLine="509"/>
        <w:spacing w:after="0" w:line="272" w:lineRule="auto"/>
        <w:rPr>
          <w:sz w:val="20"/>
          <w:szCs w:val="20"/>
          <w:color w:val="auto"/>
        </w:rPr>
      </w:pPr>
      <w:r>
        <w:rPr>
          <w:rFonts w:ascii="Arial" w:cs="Arial" w:eastAsia="Arial" w:hAnsi="Arial"/>
          <w:sz w:val="18"/>
          <w:szCs w:val="18"/>
          <w:color w:val="auto"/>
        </w:rPr>
        <w:t>In March 2020, we entered into a license agreement, or the Arctic Vision License Agreement, with Arctic Vision (Hong Kong) Limited, or Arctic Vision. Pursuant to the Arctic Vision License Agreement, we granted an exclusive license to Arctic Vision to develop, distribute, promote, market and commercialize XIPERE, subject to specified exceptions, in China, Hong Kong, Macau, Taiwan and South Korea, or the Arctic Territory. In December 2020, Arctic Vision announced approval of its IND for a Phase 3 clinical trial of XIPERE in China and they expect to begin Phase 3 clinical trials later this year.</w:t>
      </w:r>
    </w:p>
    <w:p>
      <w:pPr>
        <w:spacing w:after="0" w:line="83" w:lineRule="exact"/>
        <w:rPr>
          <w:sz w:val="20"/>
          <w:szCs w:val="20"/>
          <w:color w:val="auto"/>
        </w:rPr>
      </w:pPr>
    </w:p>
    <w:p>
      <w:pPr>
        <w:ind w:right="60" w:firstLine="554"/>
        <w:spacing w:after="0" w:line="296" w:lineRule="auto"/>
        <w:rPr>
          <w:sz w:val="20"/>
          <w:szCs w:val="20"/>
          <w:color w:val="auto"/>
        </w:rPr>
      </w:pPr>
      <w:r>
        <w:rPr>
          <w:rFonts w:ascii="Arial" w:cs="Arial" w:eastAsia="Arial" w:hAnsi="Arial"/>
          <w:sz w:val="17"/>
          <w:szCs w:val="17"/>
          <w:color w:val="auto"/>
        </w:rPr>
        <w:t>In August 2021, we entered into an amendment to the Arctic Vision License Agreement to expand the territories covered by the license to include India and the ASEAN Countries (Brunei, Cambodia, Indonesia, Laos, Malaysia, Myanmar, the Philippines, Singapore, Thailand, and Vietnam). In September 2021, we entered into a second amendment to the Arctic Vision License Agreement to expand the Arctic Territory to include Australia and New Zealand. We received an aggregate of $3.0 million in consideration for the expansion of the Arctic Territory.</w:t>
      </w:r>
    </w:p>
    <w:p>
      <w:pPr>
        <w:spacing w:after="0" w:line="62" w:lineRule="exact"/>
        <w:rPr>
          <w:sz w:val="20"/>
          <w:szCs w:val="20"/>
          <w:color w:val="auto"/>
        </w:rPr>
      </w:pPr>
    </w:p>
    <w:p>
      <w:pPr>
        <w:ind w:right="60" w:firstLine="509"/>
        <w:spacing w:after="0" w:line="279" w:lineRule="auto"/>
        <w:rPr>
          <w:sz w:val="20"/>
          <w:szCs w:val="20"/>
          <w:color w:val="auto"/>
        </w:rPr>
      </w:pPr>
      <w:r>
        <w:rPr>
          <w:rFonts w:ascii="Arial" w:cs="Arial" w:eastAsia="Arial" w:hAnsi="Arial"/>
          <w:sz w:val="18"/>
          <w:szCs w:val="18"/>
          <w:color w:val="auto"/>
        </w:rPr>
        <w:t>These partnerships enable us to expand the use of our suprachoroidal injection platform to other indications and geographies globally. Under these license agreements, we are eligible to receive up to an aggregate of more than $200 million in potential future development and sales milestones, as well as and royalties from net sales of covered products.</w:t>
      </w:r>
    </w:p>
    <w:p>
      <w:pPr>
        <w:spacing w:after="0" w:line="75" w:lineRule="exact"/>
        <w:rPr>
          <w:sz w:val="20"/>
          <w:szCs w:val="20"/>
          <w:color w:val="auto"/>
        </w:rPr>
      </w:pPr>
    </w:p>
    <w:p>
      <w:pPr>
        <w:ind w:right="140" w:firstLine="549"/>
        <w:spacing w:after="0" w:line="308" w:lineRule="auto"/>
        <w:rPr>
          <w:sz w:val="20"/>
          <w:szCs w:val="20"/>
          <w:color w:val="auto"/>
        </w:rPr>
      </w:pPr>
      <w:r>
        <w:rPr>
          <w:rFonts w:ascii="Arial" w:cs="Arial" w:eastAsia="Arial" w:hAnsi="Arial"/>
          <w:sz w:val="16"/>
          <w:szCs w:val="16"/>
          <w:color w:val="auto"/>
        </w:rPr>
        <w:t>We have incurred net losses since our inception. In recent years, our operations have consisted primarily of conducting preclinical studies and clinical trials, raising capital and undertaking other research and development initiatives. To date, we have not generated any revenue, other than license and other revenue, and we have primarily financed our operations through public offerings and private placements of our equity securities, issuances of convertible promissory notes and loan agreements. As of September 30, 2021, we had an accumulated deficit of $274.2 million. We recorded net losses of $4.9 million and $2.4 million for the three months ended September 30, 2021 and 2020, respectively, and net losses of $18.3 million and $11.1 million for the nine months ended September 30, 2021 and 2020, respectively. We anticipate that a substantial portion of our capital resources and efforts in the foreseeable future will be focused on completing the necessary development for and obtaining regulatory approval of our product candidates, as well as discovering compounds and developing proprietary formulations to utilize with our SCS Microinjector.</w:t>
      </w:r>
    </w:p>
    <w:p>
      <w:pPr>
        <w:spacing w:after="0" w:line="55" w:lineRule="exact"/>
        <w:rPr>
          <w:sz w:val="20"/>
          <w:szCs w:val="20"/>
          <w:color w:val="auto"/>
        </w:rPr>
      </w:pPr>
    </w:p>
    <w:p>
      <w:pPr>
        <w:ind w:right="40" w:firstLine="509"/>
        <w:spacing w:after="0" w:line="306" w:lineRule="auto"/>
        <w:rPr>
          <w:sz w:val="20"/>
          <w:szCs w:val="20"/>
          <w:color w:val="auto"/>
        </w:rPr>
      </w:pPr>
      <w:r>
        <w:rPr>
          <w:rFonts w:ascii="Arial" w:cs="Arial" w:eastAsia="Arial" w:hAnsi="Arial"/>
          <w:sz w:val="16"/>
          <w:szCs w:val="16"/>
          <w:color w:val="auto"/>
        </w:rPr>
        <w:t>We expect to continue to incur significant and increasing operating losses at least for the next several years. We do not expect to generate significant product or license and other revenue unless and until XIPERE is successfully commercialized by its licensees or until we successfully complete development of, obtain regulatory approval for and commercialize additional product candidates, either on our own or together with a third party. Our net losses may fluctuate significantly from quarter to quarter and year to year, depending on the timing of our clinical trials and our expenditures on other research and development activities. Our clinical trial expenses have decreased significantly following our decision to discontinue late-stage clinical trials of XIPERE for indications other than uveitis. However, we expect clinical trial expenses to increase in 2021 as a result of our Phase 1/2a clinical trial of CLS-AX. We also will continue our efforts to seek to discover, research and develop additional product candidates and seek regulatory approvals in additional regions for XIPERE for the treatment of macular edema associated with uveitis. Based on our current research and development plans and expected near-term partnership milestone payments, we expect to have sufficient resources to fund our planned operations into 2023.</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Impact of COVID-19 on Our Business</w:t>
      </w:r>
    </w:p>
    <w:p>
      <w:pPr>
        <w:spacing w:after="0" w:line="121" w:lineRule="exact"/>
        <w:rPr>
          <w:sz w:val="20"/>
          <w:szCs w:val="20"/>
          <w:color w:val="auto"/>
        </w:rPr>
      </w:pPr>
    </w:p>
    <w:p>
      <w:pPr>
        <w:ind w:right="20" w:firstLine="562"/>
        <w:spacing w:after="0" w:line="259" w:lineRule="auto"/>
        <w:rPr>
          <w:sz w:val="20"/>
          <w:szCs w:val="20"/>
          <w:color w:val="auto"/>
        </w:rPr>
      </w:pPr>
      <w:r>
        <w:rPr>
          <w:rFonts w:ascii="Arial" w:cs="Arial" w:eastAsia="Arial" w:hAnsi="Arial"/>
          <w:sz w:val="18"/>
          <w:szCs w:val="18"/>
          <w:color w:val="auto"/>
        </w:rPr>
        <w:t>We have been actively monitoring the novel coronavirus, or COVID-19, situation and its impact globally. Our financial results for the three and nine months ended September 30, 2021 were not significantly impacted by COVID-19, and we currently do not expect any material impact on our financial results for the remainder of 2021. We continue to operate normally with the exception of enabling our employees to work from home and abiding by travel restrictions issued by federal and local governments.</w:t>
      </w:r>
    </w:p>
    <w:p>
      <w:pPr>
        <w:spacing w:after="0" w:line="79" w:lineRule="exact"/>
        <w:rPr>
          <w:sz w:val="20"/>
          <w:szCs w:val="20"/>
          <w:color w:val="auto"/>
        </w:rPr>
      </w:pPr>
    </w:p>
    <w:p>
      <w:pPr>
        <w:ind w:right="80" w:firstLine="562"/>
        <w:spacing w:after="0" w:line="275" w:lineRule="auto"/>
        <w:rPr>
          <w:sz w:val="20"/>
          <w:szCs w:val="20"/>
          <w:color w:val="auto"/>
        </w:rPr>
      </w:pPr>
      <w:r>
        <w:rPr>
          <w:rFonts w:ascii="Arial" w:cs="Arial" w:eastAsia="Arial" w:hAnsi="Arial"/>
          <w:sz w:val="17"/>
          <w:szCs w:val="17"/>
          <w:color w:val="auto"/>
        </w:rPr>
        <w:t>As the COVID-19 pandemic continues, we may experience other disruptions that could severely impact our business, results of operations and prospects. The extent to which COVID-19 may impact our business, preclinical development and clinical trials will depend on future developments, which are highly uncertain and cannot be predicted, such as the duration of the outbreak, travel restrictions and social distancing in the United States and other countries, business closures or business disruptions, the effectiveness of actions taken in the United States and other countries to contain and treat the disease and the impact of new variants or mutations of the coronavirus, such as the Delta variant.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Operating Results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right="160" w:firstLine="509"/>
        <w:spacing w:after="0" w:line="255" w:lineRule="auto"/>
        <w:rPr>
          <w:sz w:val="20"/>
          <w:szCs w:val="20"/>
          <w:color w:val="auto"/>
        </w:rPr>
      </w:pPr>
      <w:r>
        <w:rPr>
          <w:rFonts w:ascii="Arial" w:cs="Arial" w:eastAsia="Arial" w:hAnsi="Arial"/>
          <w:sz w:val="18"/>
          <w:szCs w:val="18"/>
          <w:color w:val="auto"/>
        </w:rPr>
        <w:t>We have not generated any revenue from the sale of any drugs, and we do not expect to generate any product revenue unless or until XIPERE is commercialized by our licensees or we obtain regulatory approval of and commercialize our product candidates, either on our own or with a third party. Our revenue in recent periods has been generated primarily from our license agreements. We are seeking to enter into additional license and other agreements with third parties to evaluate the potential use of our proprietary SCS Microinjector with the third party’s product candidates for the treatment of various eye diseases. These agreements may include payments to us for technology access, upfront license payments, regulatory and commercial milestone payments and royalties.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31" w:lineRule="exact"/>
        <w:rPr>
          <w:sz w:val="20"/>
          <w:szCs w:val="20"/>
          <w:color w:val="auto"/>
        </w:rPr>
      </w:pPr>
    </w:p>
    <w:p>
      <w:pPr>
        <w:ind w:right="380" w:firstLine="509"/>
        <w:spacing w:after="0" w:line="293" w:lineRule="auto"/>
        <w:rPr>
          <w:sz w:val="20"/>
          <w:szCs w:val="20"/>
          <w:color w:val="auto"/>
        </w:rPr>
      </w:pPr>
      <w:r>
        <w:rPr>
          <w:rFonts w:ascii="Arial" w:cs="Arial" w:eastAsia="Arial" w:hAnsi="Arial"/>
          <w:sz w:val="18"/>
          <w:szCs w:val="18"/>
          <w:color w:val="auto"/>
        </w:rPr>
        <w:t>Research and development expenses consist primarily of costs incurred for the research and development of our preclinical and clinical product candidates, which include:</w:t>
      </w:r>
    </w:p>
    <w:p>
      <w:pPr>
        <w:spacing w:after="0" w:line="62" w:lineRule="exact"/>
        <w:rPr>
          <w:sz w:val="20"/>
          <w:szCs w:val="20"/>
          <w:color w:val="auto"/>
        </w:rPr>
      </w:pPr>
    </w:p>
    <w:p>
      <w:pPr>
        <w:ind w:left="960" w:right="780"/>
        <w:spacing w:after="0" w:line="293" w:lineRule="auto"/>
        <w:rPr>
          <w:sz w:val="20"/>
          <w:szCs w:val="20"/>
          <w:color w:val="auto"/>
        </w:rPr>
      </w:pPr>
      <w:r>
        <w:rPr>
          <w:rFonts w:ascii="Arial" w:cs="Arial" w:eastAsia="Arial" w:hAnsi="Arial"/>
          <w:sz w:val="18"/>
          <w:szCs w:val="18"/>
          <w:color w:val="auto"/>
        </w:rPr>
        <w:t>employee-related expenses, including salaries, benefits, travel and share-based compensation expense for research and development personnel;</w:t>
      </w:r>
    </w:p>
    <w:p>
      <w:pPr>
        <w:spacing w:after="0" w:line="62" w:lineRule="exact"/>
        <w:rPr>
          <w:sz w:val="20"/>
          <w:szCs w:val="20"/>
          <w:color w:val="auto"/>
        </w:rPr>
      </w:pPr>
    </w:p>
    <w:p>
      <w:pPr>
        <w:ind w:left="960" w:right="480"/>
        <w:spacing w:after="0" w:line="293" w:lineRule="auto"/>
        <w:rPr>
          <w:sz w:val="20"/>
          <w:szCs w:val="20"/>
          <w:color w:val="auto"/>
        </w:rPr>
      </w:pPr>
      <w:r>
        <w:rPr>
          <w:rFonts w:ascii="Arial" w:cs="Arial" w:eastAsia="Arial" w:hAnsi="Arial"/>
          <w:sz w:val="18"/>
          <w:szCs w:val="18"/>
          <w:color w:val="auto"/>
        </w:rPr>
        <w:t>expenses incurred under agreements with contract research organizations, or CROs, as well as contract manufacturing organizations and consultants that conduct clinical trials and preclinical studies;</w:t>
      </w:r>
    </w:p>
    <w:p>
      <w:pPr>
        <w:spacing w:after="0" w:line="62" w:lineRule="exact"/>
        <w:rPr>
          <w:sz w:val="20"/>
          <w:szCs w:val="20"/>
          <w:color w:val="auto"/>
        </w:rPr>
      </w:pPr>
    </w:p>
    <w:p>
      <w:pPr>
        <w:ind w:left="960"/>
        <w:spacing w:after="0"/>
        <w:rPr>
          <w:sz w:val="20"/>
          <w:szCs w:val="20"/>
          <w:color w:val="auto"/>
        </w:rPr>
      </w:pPr>
      <w:r>
        <w:rPr>
          <w:rFonts w:ascii="Arial" w:cs="Arial" w:eastAsia="Arial" w:hAnsi="Arial"/>
          <w:sz w:val="18"/>
          <w:szCs w:val="18"/>
          <w:color w:val="auto"/>
        </w:rPr>
        <w:t>costs associated with nonclinical activities and development activities;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costs associated with submitting regulatory approval applications for our product candidates;</w:t>
      </w:r>
    </w:p>
    <w:p>
      <w:pPr>
        <w:spacing w:after="0" w:line="131" w:lineRule="exact"/>
        <w:rPr>
          <w:sz w:val="20"/>
          <w:szCs w:val="20"/>
          <w:color w:val="auto"/>
        </w:rPr>
      </w:pPr>
    </w:p>
    <w:p>
      <w:pPr>
        <w:ind w:left="960" w:right="580"/>
        <w:spacing w:after="0" w:line="293" w:lineRule="auto"/>
        <w:rPr>
          <w:sz w:val="20"/>
          <w:szCs w:val="20"/>
          <w:color w:val="auto"/>
        </w:rPr>
      </w:pPr>
      <w:r>
        <w:rPr>
          <w:rFonts w:ascii="Arial" w:cs="Arial" w:eastAsia="Arial" w:hAnsi="Arial"/>
          <w:sz w:val="18"/>
          <w:szCs w:val="18"/>
          <w:color w:val="auto"/>
        </w:rPr>
        <w:t>costs associated with training physicians on the suprachoroidal injection procedure and educating and providing them with appropriate product candidate information;</w:t>
      </w:r>
    </w:p>
    <w:p>
      <w:pPr>
        <w:spacing w:after="0" w:line="62" w:lineRule="exact"/>
        <w:rPr>
          <w:sz w:val="20"/>
          <w:szCs w:val="20"/>
          <w:color w:val="auto"/>
        </w:rPr>
      </w:pPr>
    </w:p>
    <w:p>
      <w:pPr>
        <w:ind w:left="960"/>
        <w:spacing w:after="0"/>
        <w:rPr>
          <w:sz w:val="20"/>
          <w:szCs w:val="20"/>
          <w:color w:val="auto"/>
        </w:rPr>
      </w:pPr>
      <w:r>
        <w:rPr>
          <w:rFonts w:ascii="Arial" w:cs="Arial" w:eastAsia="Arial" w:hAnsi="Arial"/>
          <w:sz w:val="18"/>
          <w:szCs w:val="18"/>
          <w:color w:val="auto"/>
        </w:rPr>
        <w:t>costs associated with technology and intellectual property licenses;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costs for our research and development facility; and</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depreciation expense for assets used in research and development activities.</w:t>
      </w:r>
    </w:p>
    <w:p>
      <w:pPr>
        <w:spacing w:after="0" w:line="239" w:lineRule="exact"/>
        <w:rPr>
          <w:sz w:val="20"/>
          <w:szCs w:val="20"/>
          <w:color w:val="auto"/>
        </w:rPr>
      </w:pPr>
    </w:p>
    <w:p>
      <w:pPr>
        <w:ind w:firstLine="509"/>
        <w:spacing w:after="0" w:line="299" w:lineRule="auto"/>
        <w:rPr>
          <w:sz w:val="20"/>
          <w:szCs w:val="20"/>
          <w:color w:val="auto"/>
        </w:rPr>
      </w:pPr>
      <w:r>
        <w:rPr>
          <w:rFonts w:ascii="Arial" w:cs="Arial" w:eastAsia="Arial" w:hAnsi="Arial"/>
          <w:sz w:val="16"/>
          <w:szCs w:val="16"/>
          <w:color w:val="auto"/>
        </w:rPr>
        <w:t>We expense research and development costs to operations as incurred. These costs include preclinical activities, such as manufacturing and stability and toxicology studies, that are supportive of a product candidate itself. In addition, there are expenses related to clinical trials and similar activities for each program, including costs associated with CROs. Clinical costs are recognized based on the terms of underlying agreements, as well as an evaluation of the progress to completion of specific tasks using data such as patient enrollment, clinical site activations and additional information provided to us by our vendors about their actual costs occurred. Expenses related to activities that support more than one development program or activity, such as salaries, share-based compensation and depreciation, are not classified as direct preclinical costs or clinical costs and are separately classified as unallocated.</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7" w:right="339" w:bottom="1440" w:gutter="0" w:footer="0" w:header="0"/>
        </w:sectPr>
      </w:pPr>
    </w:p>
    <w:bookmarkStart w:id="18" w:name="page19"/>
    <w:bookmarkEnd w:id="18"/>
    <w:p>
      <w:pPr>
        <w:ind w:right="200" w:firstLine="509"/>
        <w:spacing w:after="0" w:line="293" w:lineRule="auto"/>
        <w:rPr>
          <w:sz w:val="20"/>
          <w:szCs w:val="20"/>
          <w:color w:val="auto"/>
        </w:rPr>
      </w:pPr>
      <w:r>
        <w:rPr>
          <w:rFonts w:ascii="Arial" w:cs="Arial" w:eastAsia="Arial" w:hAnsi="Arial"/>
          <w:sz w:val="18"/>
          <w:szCs w:val="18"/>
          <w:color w:val="auto"/>
        </w:rPr>
        <w:t>The following table shows our research and development expenses by program for the three and nine months ended September 30, 2021 and 2020 (in thousands).</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600" w:type="dxa"/>
            <w:vAlign w:val="bottom"/>
          </w:tcPr>
          <w:p>
            <w:pPr>
              <w:spacing w:after="0"/>
              <w:rPr>
                <w:sz w:val="17"/>
                <w:szCs w:val="17"/>
                <w:color w:val="auto"/>
              </w:rPr>
            </w:pPr>
          </w:p>
        </w:tc>
        <w:tc>
          <w:tcPr>
            <w:tcW w:w="2180" w:type="dxa"/>
            <w:vAlign w:val="bottom"/>
            <w:gridSpan w:val="4"/>
          </w:tcPr>
          <w:p>
            <w:pPr>
              <w:jc w:val="right"/>
              <w:ind w:right="75"/>
              <w:spacing w:after="0"/>
              <w:rPr>
                <w:sz w:val="20"/>
                <w:szCs w:val="20"/>
                <w:color w:val="auto"/>
              </w:rPr>
            </w:pPr>
            <w:r>
              <w:rPr>
                <w:rFonts w:ascii="Arial" w:cs="Arial" w:eastAsia="Arial" w:hAnsi="Arial"/>
                <w:sz w:val="16"/>
                <w:szCs w:val="16"/>
                <w:b w:val="1"/>
                <w:bCs w:val="1"/>
                <w:color w:val="auto"/>
              </w:rPr>
              <w:t>Three Months Ended</w:t>
            </w:r>
          </w:p>
        </w:tc>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300" w:type="dxa"/>
            <w:vAlign w:val="bottom"/>
            <w:gridSpan w:val="4"/>
          </w:tcPr>
          <w:p>
            <w:pPr>
              <w:jc w:val="right"/>
              <w:ind w:right="512"/>
              <w:spacing w:after="0"/>
              <w:rPr>
                <w:sz w:val="20"/>
                <w:szCs w:val="20"/>
                <w:color w:val="auto"/>
              </w:rPr>
            </w:pPr>
            <w:r>
              <w:rPr>
                <w:rFonts w:ascii="Arial" w:cs="Arial" w:eastAsia="Arial" w:hAnsi="Arial"/>
                <w:sz w:val="16"/>
                <w:szCs w:val="16"/>
                <w:b w:val="1"/>
                <w:bCs w:val="1"/>
                <w:color w:val="auto"/>
              </w:rPr>
              <w:t>Nine Months Ended</w:t>
            </w:r>
          </w:p>
        </w:tc>
        <w:tc>
          <w:tcPr>
            <w:tcW w:w="100" w:type="dxa"/>
            <w:vAlign w:val="bottom"/>
          </w:tcPr>
          <w:p>
            <w:pPr>
              <w:spacing w:after="0"/>
              <w:rPr>
                <w:sz w:val="17"/>
                <w:szCs w:val="17"/>
                <w:color w:val="auto"/>
              </w:rPr>
            </w:pPr>
          </w:p>
        </w:tc>
      </w:tr>
      <w:tr>
        <w:trPr>
          <w:trHeight w:val="223"/>
        </w:trPr>
        <w:tc>
          <w:tcPr>
            <w:tcW w:w="5600" w:type="dxa"/>
            <w:vAlign w:val="bottom"/>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3"/>
          </w:tcPr>
          <w:p>
            <w:pPr>
              <w:jc w:val="right"/>
              <w:ind w:right="315"/>
              <w:spacing w:after="0"/>
              <w:rPr>
                <w:sz w:val="20"/>
                <w:szCs w:val="20"/>
                <w:color w:val="auto"/>
              </w:rPr>
            </w:pPr>
            <w:r>
              <w:rPr>
                <w:rFonts w:ascii="Arial" w:cs="Arial" w:eastAsia="Arial" w:hAnsi="Arial"/>
                <w:sz w:val="16"/>
                <w:szCs w:val="16"/>
                <w:b w:val="1"/>
                <w:bCs w:val="1"/>
                <w:color w:val="auto"/>
                <w:w w:val="93"/>
              </w:rPr>
              <w:t>September 30,</w:t>
            </w:r>
          </w:p>
        </w:tc>
        <w:tc>
          <w:tcPr>
            <w:tcW w:w="40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7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560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44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40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33"/>
              <w:spacing w:after="0"/>
              <w:rPr>
                <w:sz w:val="20"/>
                <w:szCs w:val="20"/>
                <w:color w:val="auto"/>
              </w:rPr>
            </w:pPr>
            <w:r>
              <w:rPr>
                <w:rFonts w:ascii="Arial" w:cs="Arial" w:eastAsia="Arial" w:hAnsi="Arial"/>
                <w:sz w:val="16"/>
                <w:szCs w:val="16"/>
                <w:b w:val="1"/>
                <w:bCs w:val="1"/>
                <w:color w:val="auto"/>
              </w:rPr>
              <w:t>2021</w:t>
            </w:r>
          </w:p>
        </w:tc>
        <w:tc>
          <w:tcPr>
            <w:tcW w:w="24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32"/>
              <w:spacing w:after="0"/>
              <w:rPr>
                <w:sz w:val="20"/>
                <w:szCs w:val="20"/>
                <w:color w:val="auto"/>
              </w:rPr>
            </w:pPr>
            <w:r>
              <w:rPr>
                <w:rFonts w:ascii="Arial" w:cs="Arial" w:eastAsia="Arial" w:hAnsi="Arial"/>
                <w:sz w:val="16"/>
                <w:szCs w:val="16"/>
                <w:b w:val="1"/>
                <w:bCs w:val="1"/>
                <w:color w:val="auto"/>
                <w:w w:val="89"/>
              </w:rPr>
              <w:t>2020</w:t>
            </w:r>
          </w:p>
        </w:tc>
        <w:tc>
          <w:tcPr>
            <w:tcW w:w="100" w:type="dxa"/>
            <w:vAlign w:val="bottom"/>
          </w:tcPr>
          <w:p>
            <w:pPr>
              <w:spacing w:after="0"/>
              <w:rPr>
                <w:sz w:val="19"/>
                <w:szCs w:val="19"/>
                <w:color w:val="auto"/>
              </w:rPr>
            </w:pPr>
          </w:p>
        </w:tc>
      </w:tr>
      <w:tr>
        <w:trPr>
          <w:trHeight w:val="257"/>
        </w:trPr>
        <w:tc>
          <w:tcPr>
            <w:tcW w:w="5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XIPERE (uveitis program)</w:t>
            </w:r>
          </w:p>
        </w:tc>
        <w:tc>
          <w:tcPr>
            <w:tcW w:w="740" w:type="dxa"/>
            <w:vAlign w:val="bottom"/>
            <w:shd w:val="clear" w:color="auto" w:fill="CFF0FC"/>
          </w:tcPr>
          <w:p>
            <w:pPr>
              <w:jc w:val="right"/>
              <w:ind w:right="555"/>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771</w:t>
            </w:r>
          </w:p>
        </w:tc>
        <w:tc>
          <w:tcPr>
            <w:tcW w:w="1000" w:type="dxa"/>
            <w:vAlign w:val="bottom"/>
            <w:gridSpan w:val="2"/>
            <w:shd w:val="clear" w:color="auto" w:fill="CFF0FC"/>
          </w:tcPr>
          <w:p>
            <w:pPr>
              <w:jc w:val="right"/>
              <w:ind w:right="555"/>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781</w:t>
            </w:r>
          </w:p>
        </w:tc>
        <w:tc>
          <w:tcPr>
            <w:tcW w:w="66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2,646</w:t>
            </w:r>
          </w:p>
        </w:tc>
        <w:tc>
          <w:tcPr>
            <w:tcW w:w="640" w:type="dxa"/>
            <w:vAlign w:val="bottom"/>
            <w:gridSpan w:val="2"/>
            <w:shd w:val="clear" w:color="auto" w:fill="CFF0FC"/>
          </w:tcPr>
          <w:p>
            <w:pPr>
              <w:jc w:val="right"/>
              <w:ind w:right="21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2,048</w:t>
            </w:r>
          </w:p>
        </w:tc>
        <w:tc>
          <w:tcPr>
            <w:tcW w:w="100" w:type="dxa"/>
            <w:vAlign w:val="bottom"/>
            <w:shd w:val="clear" w:color="auto" w:fill="CFF0FC"/>
          </w:tcPr>
          <w:p>
            <w:pPr>
              <w:spacing w:after="0"/>
              <w:rPr>
                <w:sz w:val="22"/>
                <w:szCs w:val="22"/>
                <w:color w:val="auto"/>
              </w:rPr>
            </w:pPr>
          </w:p>
        </w:tc>
      </w:tr>
      <w:tr>
        <w:trPr>
          <w:trHeight w:val="250"/>
        </w:trPr>
        <w:tc>
          <w:tcPr>
            <w:tcW w:w="5600" w:type="dxa"/>
            <w:vAlign w:val="bottom"/>
          </w:tcPr>
          <w:p>
            <w:pPr>
              <w:ind w:left="20"/>
              <w:spacing w:after="0"/>
              <w:rPr>
                <w:sz w:val="20"/>
                <w:szCs w:val="20"/>
                <w:color w:val="auto"/>
              </w:rPr>
            </w:pPr>
            <w:r>
              <w:rPr>
                <w:rFonts w:ascii="Arial" w:cs="Arial" w:eastAsia="Arial" w:hAnsi="Arial"/>
                <w:sz w:val="18"/>
                <w:szCs w:val="18"/>
                <w:color w:val="auto"/>
              </w:rPr>
              <w:t>CLS-AX (wet AMD program)</w:t>
            </w:r>
          </w:p>
        </w:tc>
        <w:tc>
          <w:tcPr>
            <w:tcW w:w="74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1,341</w:t>
            </w:r>
          </w:p>
        </w:tc>
        <w:tc>
          <w:tcPr>
            <w:tcW w:w="240" w:type="dxa"/>
            <w:vAlign w:val="bottom"/>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478</w:t>
            </w:r>
          </w:p>
        </w:tc>
        <w:tc>
          <w:tcPr>
            <w:tcW w:w="4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3,382</w:t>
            </w:r>
          </w:p>
        </w:tc>
        <w:tc>
          <w:tcPr>
            <w:tcW w:w="24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1,429</w:t>
            </w:r>
          </w:p>
        </w:tc>
        <w:tc>
          <w:tcPr>
            <w:tcW w:w="100" w:type="dxa"/>
            <w:vAlign w:val="bottom"/>
          </w:tcPr>
          <w:p>
            <w:pPr>
              <w:spacing w:after="0"/>
              <w:rPr>
                <w:sz w:val="21"/>
                <w:szCs w:val="21"/>
                <w:color w:val="auto"/>
              </w:rPr>
            </w:pPr>
          </w:p>
        </w:tc>
      </w:tr>
      <w:tr>
        <w:trPr>
          <w:trHeight w:val="257"/>
        </w:trPr>
        <w:tc>
          <w:tcPr>
            <w:tcW w:w="56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Total</w:t>
            </w:r>
          </w:p>
        </w:tc>
        <w:tc>
          <w:tcPr>
            <w:tcW w:w="740" w:type="dxa"/>
            <w:vAlign w:val="bottom"/>
            <w:shd w:val="clear" w:color="auto" w:fill="CFF0FC"/>
          </w:tcPr>
          <w:p>
            <w:pPr>
              <w:spacing w:after="0"/>
              <w:rPr>
                <w:sz w:val="22"/>
                <w:szCs w:val="22"/>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2,112</w:t>
            </w:r>
          </w:p>
        </w:tc>
        <w:tc>
          <w:tcPr>
            <w:tcW w:w="240" w:type="dxa"/>
            <w:vAlign w:val="bottom"/>
            <w:shd w:val="clear" w:color="auto" w:fill="CFF0FC"/>
          </w:tcPr>
          <w:p>
            <w:pPr>
              <w:spacing w:after="0"/>
              <w:rPr>
                <w:sz w:val="22"/>
                <w:szCs w:val="22"/>
                <w:color w:val="auto"/>
              </w:rPr>
            </w:pPr>
          </w:p>
        </w:tc>
        <w:tc>
          <w:tcPr>
            <w:tcW w:w="760" w:type="dxa"/>
            <w:vAlign w:val="bottom"/>
            <w:shd w:val="clear" w:color="auto" w:fill="CFF0FC"/>
          </w:tcPr>
          <w:p>
            <w:pPr>
              <w:spacing w:after="0"/>
              <w:rPr>
                <w:sz w:val="22"/>
                <w:szCs w:val="22"/>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4"/>
              </w:rPr>
              <w:t>1,259</w:t>
            </w:r>
          </w:p>
        </w:tc>
        <w:tc>
          <w:tcPr>
            <w:tcW w:w="40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6,028</w:t>
            </w:r>
          </w:p>
        </w:tc>
        <w:tc>
          <w:tcPr>
            <w:tcW w:w="240" w:type="dxa"/>
            <w:vAlign w:val="bottom"/>
            <w:shd w:val="clear" w:color="auto" w:fill="CFF0FC"/>
          </w:tcPr>
          <w:p>
            <w:pPr>
              <w:spacing w:after="0"/>
              <w:rPr>
                <w:sz w:val="22"/>
                <w:szCs w:val="22"/>
                <w:color w:val="auto"/>
              </w:rPr>
            </w:pPr>
          </w:p>
        </w:tc>
        <w:tc>
          <w:tcPr>
            <w:tcW w:w="400" w:type="dxa"/>
            <w:vAlign w:val="bottom"/>
            <w:shd w:val="clear" w:color="auto" w:fill="CFF0FC"/>
          </w:tcPr>
          <w:p>
            <w:pPr>
              <w:spacing w:after="0"/>
              <w:rPr>
                <w:sz w:val="22"/>
                <w:szCs w:val="2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3,477</w:t>
            </w:r>
          </w:p>
        </w:tc>
        <w:tc>
          <w:tcPr>
            <w:tcW w:w="100" w:type="dxa"/>
            <w:vAlign w:val="bottom"/>
            <w:shd w:val="clear" w:color="auto" w:fill="CFF0FC"/>
          </w:tcPr>
          <w:p>
            <w:pPr>
              <w:spacing w:after="0"/>
              <w:rPr>
                <w:sz w:val="22"/>
                <w:szCs w:val="22"/>
                <w:color w:val="auto"/>
              </w:rPr>
            </w:pPr>
          </w:p>
        </w:tc>
      </w:tr>
      <w:tr>
        <w:trPr>
          <w:trHeight w:val="250"/>
        </w:trPr>
        <w:tc>
          <w:tcPr>
            <w:tcW w:w="5600" w:type="dxa"/>
            <w:vAlign w:val="bottom"/>
          </w:tcPr>
          <w:p>
            <w:pPr>
              <w:ind w:left="20"/>
              <w:spacing w:after="0"/>
              <w:rPr>
                <w:sz w:val="20"/>
                <w:szCs w:val="20"/>
                <w:color w:val="auto"/>
              </w:rPr>
            </w:pPr>
            <w:r>
              <w:rPr>
                <w:rFonts w:ascii="Arial" w:cs="Arial" w:eastAsia="Arial" w:hAnsi="Arial"/>
                <w:sz w:val="18"/>
                <w:szCs w:val="18"/>
                <w:color w:val="auto"/>
              </w:rPr>
              <w:t>Unallocated</w:t>
            </w:r>
          </w:p>
        </w:tc>
        <w:tc>
          <w:tcPr>
            <w:tcW w:w="74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3,035</w:t>
            </w:r>
          </w:p>
        </w:tc>
        <w:tc>
          <w:tcPr>
            <w:tcW w:w="240" w:type="dxa"/>
            <w:vAlign w:val="bottom"/>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2,231</w:t>
            </w:r>
          </w:p>
        </w:tc>
        <w:tc>
          <w:tcPr>
            <w:tcW w:w="4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8,669</w:t>
            </w:r>
          </w:p>
        </w:tc>
        <w:tc>
          <w:tcPr>
            <w:tcW w:w="24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7,124</w:t>
            </w:r>
          </w:p>
        </w:tc>
        <w:tc>
          <w:tcPr>
            <w:tcW w:w="100" w:type="dxa"/>
            <w:vAlign w:val="bottom"/>
          </w:tcPr>
          <w:p>
            <w:pPr>
              <w:spacing w:after="0"/>
              <w:rPr>
                <w:sz w:val="21"/>
                <w:szCs w:val="21"/>
                <w:color w:val="auto"/>
              </w:rPr>
            </w:pPr>
          </w:p>
        </w:tc>
      </w:tr>
      <w:tr>
        <w:trPr>
          <w:trHeight w:val="290"/>
        </w:trPr>
        <w:tc>
          <w:tcPr>
            <w:tcW w:w="56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research and development expense</w:t>
            </w:r>
          </w:p>
        </w:tc>
        <w:tc>
          <w:tcPr>
            <w:tcW w:w="740" w:type="dxa"/>
            <w:vAlign w:val="bottom"/>
            <w:tcBorders>
              <w:bottom w:val="single" w:sz="8" w:color="auto"/>
            </w:tcBorders>
            <w:shd w:val="clear" w:color="auto" w:fill="CFF0FC"/>
          </w:tcPr>
          <w:p>
            <w:pPr>
              <w:jc w:val="right"/>
              <w:ind w:right="555"/>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5,147</w:t>
            </w:r>
          </w:p>
        </w:tc>
        <w:tc>
          <w:tcPr>
            <w:tcW w:w="240" w:type="dxa"/>
            <w:vAlign w:val="bottom"/>
            <w:tcBorders>
              <w:bottom w:val="single" w:sz="8" w:color="CFF0FC"/>
            </w:tcBorders>
            <w:shd w:val="clear" w:color="auto" w:fill="CFF0FC"/>
          </w:tcPr>
          <w:p>
            <w:pPr>
              <w:spacing w:after="0"/>
              <w:rPr>
                <w:sz w:val="24"/>
                <w:szCs w:val="24"/>
                <w:color w:val="auto"/>
              </w:rPr>
            </w:pPr>
          </w:p>
        </w:tc>
        <w:tc>
          <w:tcPr>
            <w:tcW w:w="760" w:type="dxa"/>
            <w:vAlign w:val="bottom"/>
            <w:tcBorders>
              <w:bottom w:val="single" w:sz="8" w:color="auto"/>
            </w:tcBorders>
            <w:shd w:val="clear" w:color="auto" w:fill="CFF0FC"/>
          </w:tcPr>
          <w:p>
            <w:pPr>
              <w:jc w:val="right"/>
              <w:ind w:right="555"/>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4"/>
              </w:rPr>
              <w:t>3,490</w:t>
            </w:r>
          </w:p>
        </w:tc>
        <w:tc>
          <w:tcPr>
            <w:tcW w:w="40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14,697</w:t>
            </w:r>
          </w:p>
        </w:tc>
        <w:tc>
          <w:tcPr>
            <w:tcW w:w="240" w:type="dxa"/>
            <w:vAlign w:val="bottom"/>
            <w:tcBorders>
              <w:bottom w:val="single" w:sz="8" w:color="CFF0FC"/>
            </w:tcBorders>
            <w:shd w:val="clear" w:color="auto" w:fill="CFF0FC"/>
          </w:tcPr>
          <w:p>
            <w:pPr>
              <w:spacing w:after="0"/>
              <w:rPr>
                <w:sz w:val="24"/>
                <w:szCs w:val="24"/>
                <w:color w:val="auto"/>
              </w:rPr>
            </w:pP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10,601</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-25400</wp:posOffset>
            </wp:positionV>
            <wp:extent cx="16319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63195" cy="8890"/>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-7620</wp:posOffset>
            </wp:positionV>
            <wp:extent cx="16319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-25400</wp:posOffset>
            </wp:positionV>
            <wp:extent cx="24892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48920"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-7620</wp:posOffset>
            </wp:positionV>
            <wp:extent cx="24892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4892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-25400</wp:posOffset>
            </wp:positionV>
            <wp:extent cx="14541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45415" cy="889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-7620</wp:posOffset>
            </wp:positionV>
            <wp:extent cx="14541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87" w:lineRule="exact"/>
        <w:rPr>
          <w:sz w:val="20"/>
          <w:szCs w:val="20"/>
          <w:color w:val="auto"/>
        </w:rPr>
      </w:pPr>
    </w:p>
    <w:p>
      <w:pPr>
        <w:ind w:right="100" w:firstLine="509"/>
        <w:spacing w:after="0" w:line="292" w:lineRule="auto"/>
        <w:rPr>
          <w:sz w:val="20"/>
          <w:szCs w:val="20"/>
          <w:color w:val="auto"/>
        </w:rPr>
      </w:pPr>
      <w:r>
        <w:rPr>
          <w:rFonts w:ascii="Arial" w:cs="Arial" w:eastAsia="Arial" w:hAnsi="Arial"/>
          <w:sz w:val="17"/>
          <w:szCs w:val="17"/>
          <w:color w:val="auto"/>
        </w:rPr>
        <w:t>Our expenses related to clinical trials are based on estimates of patient enrollment and related expenses at clinical investigator sites as well as estimates for the services received and efforts expended under contracts with research institutions, consultants and CROs that conduct and manage clinical trials on our behalf. We generally accrue expenses related to clinical trials based on contracted amounts applied to the level of patient enrollment and activity according to the protocol. If future timelines or contracts are modified based upon changes in the clinical trial protocol or scope of work to be performed, we would modify our estimates of accrued expenses accordingly on a prospective basis.</w:t>
      </w:r>
    </w:p>
    <w:p>
      <w:pPr>
        <w:spacing w:after="0" w:line="66" w:lineRule="exact"/>
        <w:rPr>
          <w:sz w:val="20"/>
          <w:szCs w:val="20"/>
          <w:color w:val="auto"/>
        </w:rPr>
      </w:pPr>
    </w:p>
    <w:p>
      <w:pPr>
        <w:ind w:right="20" w:firstLine="509"/>
        <w:spacing w:after="0" w:line="272" w:lineRule="auto"/>
        <w:rPr>
          <w:sz w:val="20"/>
          <w:szCs w:val="20"/>
          <w:color w:val="auto"/>
        </w:rPr>
      </w:pPr>
      <w:r>
        <w:rPr>
          <w:rFonts w:ascii="Arial" w:cs="Arial" w:eastAsia="Arial" w:hAnsi="Arial"/>
          <w:sz w:val="18"/>
          <w:szCs w:val="18"/>
          <w:color w:val="auto"/>
        </w:rPr>
        <w:t>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It is difficult to determine with certainty the duration and completion costs of our current or future preclinical programs and clinical trials of our product candidates, or if, when or to what extent we will generate revenues from the commercialization and sale of XIPERE or any of our product candidates that obtain regulatory approval.</w:t>
      </w:r>
    </w:p>
    <w:p>
      <w:pPr>
        <w:spacing w:after="0" w:line="83" w:lineRule="exact"/>
        <w:rPr>
          <w:sz w:val="20"/>
          <w:szCs w:val="20"/>
          <w:color w:val="auto"/>
        </w:rPr>
      </w:pPr>
    </w:p>
    <w:p>
      <w:pPr>
        <w:ind w:right="400" w:firstLine="509"/>
        <w:spacing w:after="0" w:line="293" w:lineRule="auto"/>
        <w:rPr>
          <w:sz w:val="20"/>
          <w:szCs w:val="20"/>
          <w:color w:val="auto"/>
        </w:rPr>
      </w:pPr>
      <w:r>
        <w:rPr>
          <w:rFonts w:ascii="Arial" w:cs="Arial" w:eastAsia="Arial" w:hAnsi="Arial"/>
          <w:sz w:val="18"/>
          <w:szCs w:val="18"/>
          <w:color w:val="auto"/>
        </w:rPr>
        <w:t>The duration, costs and timing of clinical trials and development of our product candidates will depend on a variety of factors that may include, among others:</w:t>
      </w:r>
    </w:p>
    <w:p>
      <w:pPr>
        <w:spacing w:after="0" w:line="62" w:lineRule="exact"/>
        <w:rPr>
          <w:sz w:val="20"/>
          <w:szCs w:val="20"/>
          <w:color w:val="auto"/>
        </w:rPr>
      </w:pPr>
    </w:p>
    <w:p>
      <w:pPr>
        <w:ind w:left="960"/>
        <w:spacing w:after="0"/>
        <w:rPr>
          <w:sz w:val="20"/>
          <w:szCs w:val="20"/>
          <w:color w:val="auto"/>
        </w:rPr>
      </w:pPr>
      <w:r>
        <w:rPr>
          <w:rFonts w:ascii="Arial" w:cs="Arial" w:eastAsia="Arial" w:hAnsi="Arial"/>
          <w:sz w:val="16"/>
          <w:szCs w:val="16"/>
          <w:color w:val="auto"/>
        </w:rPr>
        <w:t>the costs associated with process development, scale-up and manufacturing of XIPERE, our product candidates and the SCS Microinjector;</w:t>
      </w:r>
    </w:p>
    <w:p>
      <w:pPr>
        <w:spacing w:after="0" w:line="154"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number of trials required for approval and any requirement for extension trials;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per patient trial costs;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number of patients that participate in the trials;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number of sites included in the trials;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countries in which the trials are conducted;</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length of time required to enroll eligible patients;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number of doses that patients receive;</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potential impact of the COVID-19 pandemic on the enrollment in, and timing of, our clinical trials;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drop-out or discontinuation rates of patients;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potential additional safety monitoring or other studies requested by regulatory agencies;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duration of patient follow-up; and</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efficacy and safety profiles of the product candidates.</w:t>
      </w:r>
    </w:p>
    <w:p>
      <w:pPr>
        <w:spacing w:after="0" w:line="131" w:lineRule="exact"/>
        <w:rPr>
          <w:sz w:val="20"/>
          <w:szCs w:val="20"/>
          <w:color w:val="auto"/>
        </w:rPr>
      </w:pPr>
    </w:p>
    <w:p>
      <w:pPr>
        <w:ind w:right="80" w:firstLine="509"/>
        <w:spacing w:after="0" w:line="303" w:lineRule="auto"/>
        <w:rPr>
          <w:sz w:val="20"/>
          <w:szCs w:val="20"/>
          <w:color w:val="auto"/>
        </w:rPr>
      </w:pPr>
      <w:r>
        <w:rPr>
          <w:rFonts w:ascii="Arial" w:cs="Arial" w:eastAsia="Arial" w:hAnsi="Arial"/>
          <w:sz w:val="17"/>
          <w:szCs w:val="17"/>
          <w:color w:val="auto"/>
        </w:rPr>
        <w:t>In addition, the probability of success for each product candidate will depend on numerous factors, including competition, manufacturing capability and commercial viability. We will determine which programs to pursue and how much to fund each program in response to the scientific and clinical success of each product candidate, as well as an assessment of each product candidate’s commercial potential.</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31" w:lineRule="exact"/>
        <w:rPr>
          <w:sz w:val="20"/>
          <w:szCs w:val="20"/>
          <w:color w:val="auto"/>
        </w:rPr>
      </w:pPr>
    </w:p>
    <w:p>
      <w:pPr>
        <w:ind w:right="240" w:firstLine="509"/>
        <w:spacing w:after="0" w:line="266" w:lineRule="auto"/>
        <w:rPr>
          <w:sz w:val="20"/>
          <w:szCs w:val="20"/>
          <w:color w:val="auto"/>
        </w:rPr>
      </w:pPr>
      <w:r>
        <w:rPr>
          <w:rFonts w:ascii="Arial" w:cs="Arial" w:eastAsia="Arial" w:hAnsi="Arial"/>
          <w:sz w:val="18"/>
          <w:szCs w:val="18"/>
          <w:color w:val="auto"/>
        </w:rPr>
        <w:t>General and administrative expenses consist primarily of salaries and other related costs, including share-based compensation, for personnel in executive, finance and administrative functions. General and administrative costs historically included commercial pre-launch preparations for XIPERE, and also include facility related costs not otherwise included in research and development expenses, as well as professional fees for legal, patent, consulting, and accounting and audit services.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131" w:lineRule="exact"/>
        <w:rPr>
          <w:sz w:val="20"/>
          <w:szCs w:val="20"/>
          <w:color w:val="auto"/>
        </w:rPr>
      </w:pPr>
    </w:p>
    <w:p>
      <w:pPr>
        <w:ind w:right="440" w:firstLine="509"/>
        <w:spacing w:after="0" w:line="293" w:lineRule="auto"/>
        <w:rPr>
          <w:sz w:val="20"/>
          <w:szCs w:val="20"/>
          <w:color w:val="auto"/>
        </w:rPr>
      </w:pPr>
      <w:r>
        <w:rPr>
          <w:rFonts w:ascii="Arial" w:cs="Arial" w:eastAsia="Arial" w:hAnsi="Arial"/>
          <w:sz w:val="18"/>
          <w:szCs w:val="18"/>
          <w:color w:val="auto"/>
        </w:rPr>
        <w:t>Other income consists of the gain on the extinguishment of the PPP Loan and accrued interest and interest income earned on our cash and cash equivalents and short-term investments. Interest income is not considered significant to our financial statements.</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Other expense consists of interest expense incurred under our loan agreements.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35" w:lineRule="exact"/>
        <w:rPr>
          <w:sz w:val="20"/>
          <w:szCs w:val="20"/>
          <w:color w:val="auto"/>
        </w:rPr>
      </w:pPr>
    </w:p>
    <w:p>
      <w:pPr>
        <w:ind w:right="40" w:firstLine="509"/>
        <w:spacing w:after="0" w:line="308" w:lineRule="auto"/>
        <w:rPr>
          <w:sz w:val="20"/>
          <w:szCs w:val="20"/>
          <w:color w:val="auto"/>
        </w:rPr>
      </w:pPr>
      <w:r>
        <w:rPr>
          <w:rFonts w:ascii="Arial" w:cs="Arial" w:eastAsia="Arial" w:hAnsi="Arial"/>
          <w:sz w:val="16"/>
          <w:szCs w:val="16"/>
          <w:color w:val="auto"/>
        </w:rPr>
        <w:t>Our management’s discussion and analysis of our financial condition and results of operations is based on our financial statements, which have been prepared in accordance with accounting principles generally accepted in the United States of America, or U.S. GAAP. The preparation of these financial statements requires us to make estimates, judgments and assumptions that affect the reported amounts of assets and liabilities, disclosure of contingent assets and liabilities as of the dates of the balance sheets and the reported amounts of expenses during the reporting periods. In accordance with U.S. GAAP, we evaluate our estimates and judgments on an ongoing basis. Significant estimates include assumptions used in the determination of share-based compensation and some of our research and development expenses.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55" w:lineRule="exact"/>
        <w:rPr>
          <w:sz w:val="20"/>
          <w:szCs w:val="20"/>
          <w:color w:val="auto"/>
        </w:rPr>
      </w:pPr>
    </w:p>
    <w:p>
      <w:pPr>
        <w:ind w:right="60" w:firstLine="509"/>
        <w:spacing w:after="0" w:line="292" w:lineRule="auto"/>
        <w:rPr>
          <w:sz w:val="20"/>
          <w:szCs w:val="20"/>
          <w:color w:val="auto"/>
        </w:rPr>
      </w:pPr>
      <w:r>
        <w:rPr>
          <w:rFonts w:ascii="Arial" w:cs="Arial" w:eastAsia="Arial" w:hAnsi="Arial"/>
          <w:sz w:val="17"/>
          <w:szCs w:val="17"/>
          <w:color w:val="auto"/>
        </w:rPr>
        <w:t>We define our critical accounting policies as those accounting principles generally accepted in the United States of America that require us to make subjective estimates and judgments about matters that are uncertain and are likely to have a material impact on our financial condition and results of operations, as well as the specific manner in which we apply those principles. During the nine months ended September 30, 2021, there were no significant changes to our critical accounting policies disclosed in our audited financial statements for the year ended December 31, 2020, which are included in our Annual Report on Form 10-K, as filed with the SEC on March 15, 2021.</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for the Three Months Ended September 30, 2021 and 2020</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our results of operations for the three months ended September 30, 2021 and 2020.</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520" w:type="dxa"/>
            <w:vAlign w:val="bottom"/>
          </w:tcPr>
          <w:p>
            <w:pPr>
              <w:spacing w:after="0"/>
              <w:rPr>
                <w:sz w:val="17"/>
                <w:szCs w:val="17"/>
                <w:color w:val="auto"/>
              </w:rPr>
            </w:pPr>
          </w:p>
        </w:tc>
        <w:tc>
          <w:tcPr>
            <w:tcW w:w="2500" w:type="dxa"/>
            <w:vAlign w:val="bottom"/>
            <w:gridSpan w:val="4"/>
          </w:tcPr>
          <w:p>
            <w:pPr>
              <w:jc w:val="right"/>
              <w:ind w:right="175"/>
              <w:spacing w:after="0"/>
              <w:rPr>
                <w:sz w:val="20"/>
                <w:szCs w:val="20"/>
                <w:color w:val="auto"/>
              </w:rPr>
            </w:pPr>
            <w:r>
              <w:rPr>
                <w:rFonts w:ascii="Arial" w:cs="Arial" w:eastAsia="Arial" w:hAnsi="Arial"/>
                <w:sz w:val="16"/>
                <w:szCs w:val="16"/>
                <w:b w:val="1"/>
                <w:bCs w:val="1"/>
                <w:color w:val="auto"/>
              </w:rPr>
              <w:t>Three Months Ended</w:t>
            </w: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4"/>
        </w:trPr>
        <w:tc>
          <w:tcPr>
            <w:tcW w:w="652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gridSpan w:val="3"/>
          </w:tcPr>
          <w:p>
            <w:pPr>
              <w:jc w:val="right"/>
              <w:ind w:right="415"/>
              <w:spacing w:after="0"/>
              <w:rPr>
                <w:sz w:val="20"/>
                <w:szCs w:val="20"/>
                <w:color w:val="auto"/>
              </w:rPr>
            </w:pPr>
            <w:r>
              <w:rPr>
                <w:rFonts w:ascii="Arial" w:cs="Arial" w:eastAsia="Arial" w:hAnsi="Arial"/>
                <w:sz w:val="16"/>
                <w:szCs w:val="16"/>
                <w:b w:val="1"/>
                <w:bCs w:val="1"/>
                <w:color w:val="auto"/>
              </w:rPr>
              <w:t>September 30,</w:t>
            </w:r>
          </w:p>
        </w:tc>
        <w:tc>
          <w:tcPr>
            <w:tcW w:w="50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gridSpan w:val="3"/>
          </w:tcPr>
          <w:p>
            <w:pPr>
              <w:jc w:val="right"/>
              <w:ind w:right="220"/>
              <w:spacing w:after="0"/>
              <w:rPr>
                <w:sz w:val="20"/>
                <w:szCs w:val="20"/>
                <w:color w:val="auto"/>
              </w:rPr>
            </w:pPr>
            <w:r>
              <w:rPr>
                <w:rFonts w:ascii="Arial" w:cs="Arial" w:eastAsia="Arial" w:hAnsi="Arial"/>
                <w:sz w:val="16"/>
                <w:szCs w:val="16"/>
                <w:b w:val="1"/>
                <w:bCs w:val="1"/>
                <w:color w:val="auto"/>
                <w:w w:val="97"/>
              </w:rPr>
              <w:t>Period-to-Period</w:t>
            </w:r>
          </w:p>
        </w:tc>
      </w:tr>
      <w:tr>
        <w:trPr>
          <w:trHeight w:val="223"/>
        </w:trPr>
        <w:tc>
          <w:tcPr>
            <w:tcW w:w="65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2021</w:t>
            </w: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2020</w:t>
            </w: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6"/>
                <w:szCs w:val="16"/>
                <w:b w:val="1"/>
                <w:bCs w:val="1"/>
                <w:color w:val="auto"/>
              </w:rPr>
              <w:t>Change</w:t>
            </w:r>
          </w:p>
        </w:tc>
      </w:tr>
      <w:tr>
        <w:trPr>
          <w:trHeight w:val="220"/>
        </w:trPr>
        <w:tc>
          <w:tcPr>
            <w:tcW w:w="652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Borders>
              <w:top w:val="single" w:sz="8" w:color="auto"/>
            </w:tcBorders>
            <w:gridSpan w:val="2"/>
          </w:tcPr>
          <w:p>
            <w:pPr>
              <w:jc w:val="right"/>
              <w:ind w:right="110"/>
              <w:spacing w:after="0"/>
              <w:rPr>
                <w:sz w:val="20"/>
                <w:szCs w:val="20"/>
                <w:color w:val="auto"/>
              </w:rPr>
            </w:pPr>
            <w:r>
              <w:rPr>
                <w:rFonts w:ascii="Arial" w:cs="Arial" w:eastAsia="Arial" w:hAnsi="Arial"/>
                <w:sz w:val="16"/>
                <w:szCs w:val="16"/>
                <w:b w:val="1"/>
                <w:bCs w:val="1"/>
                <w:color w:val="auto"/>
              </w:rPr>
              <w:t>(in thousands)</w:t>
            </w:r>
          </w:p>
        </w:tc>
        <w:tc>
          <w:tcPr>
            <w:tcW w:w="26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66"/>
        </w:trPr>
        <w:tc>
          <w:tcPr>
            <w:tcW w:w="6520" w:type="dxa"/>
            <w:vAlign w:val="bottom"/>
            <w:shd w:val="clear" w:color="auto" w:fill="CFF0FC"/>
          </w:tcPr>
          <w:p>
            <w:pPr>
              <w:ind w:left="20"/>
              <w:spacing w:after="0"/>
              <w:rPr>
                <w:sz w:val="20"/>
                <w:szCs w:val="20"/>
                <w:color w:val="auto"/>
              </w:rPr>
            </w:pPr>
            <w:r>
              <w:rPr>
                <w:rFonts w:ascii="Arial" w:cs="Arial" w:eastAsia="Arial" w:hAnsi="Arial"/>
                <w:sz w:val="18"/>
                <w:szCs w:val="18"/>
                <w:color w:val="auto"/>
              </w:rPr>
              <w:t>License and other revenue</w:t>
            </w:r>
          </w:p>
        </w:tc>
        <w:tc>
          <w:tcPr>
            <w:tcW w:w="880" w:type="dxa"/>
            <w:vAlign w:val="bottom"/>
            <w:shd w:val="clear" w:color="auto" w:fill="CFF0FC"/>
          </w:tcPr>
          <w:p>
            <w:pPr>
              <w:jc w:val="right"/>
              <w:ind w:right="675"/>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3,074</w:t>
            </w:r>
          </w:p>
        </w:tc>
        <w:tc>
          <w:tcPr>
            <w:tcW w:w="280" w:type="dxa"/>
            <w:vAlign w:val="bottom"/>
            <w:shd w:val="clear" w:color="auto" w:fill="CFF0FC"/>
          </w:tcPr>
          <w:p>
            <w:pPr>
              <w:spacing w:after="0"/>
              <w:rPr>
                <w:sz w:val="23"/>
                <w:szCs w:val="23"/>
                <w:color w:val="auto"/>
              </w:rPr>
            </w:pPr>
          </w:p>
        </w:tc>
        <w:tc>
          <w:tcPr>
            <w:tcW w:w="840" w:type="dxa"/>
            <w:vAlign w:val="bottom"/>
            <w:shd w:val="clear" w:color="auto" w:fill="CFF0FC"/>
          </w:tcPr>
          <w:p>
            <w:pPr>
              <w:jc w:val="right"/>
              <w:ind w:right="655"/>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3,432</w:t>
            </w:r>
          </w:p>
        </w:tc>
        <w:tc>
          <w:tcPr>
            <w:tcW w:w="260" w:type="dxa"/>
            <w:vAlign w:val="bottom"/>
            <w:shd w:val="clear" w:color="auto" w:fill="CFF0FC"/>
          </w:tcPr>
          <w:p>
            <w:pPr>
              <w:spacing w:after="0"/>
              <w:rPr>
                <w:sz w:val="23"/>
                <w:szCs w:val="23"/>
                <w:color w:val="auto"/>
              </w:rPr>
            </w:pPr>
          </w:p>
        </w:tc>
        <w:tc>
          <w:tcPr>
            <w:tcW w:w="260" w:type="dxa"/>
            <w:vAlign w:val="bottom"/>
            <w:shd w:val="clear" w:color="auto" w:fill="CFF0FC"/>
          </w:tcPr>
          <w:p>
            <w:pPr>
              <w:jc w:val="right"/>
              <w:ind w:right="73"/>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(358 )</w:t>
            </w:r>
          </w:p>
        </w:tc>
      </w:tr>
      <w:tr>
        <w:trPr>
          <w:trHeight w:val="250"/>
        </w:trPr>
        <w:tc>
          <w:tcPr>
            <w:tcW w:w="652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8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65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Research and development</w:t>
            </w:r>
          </w:p>
        </w:tc>
        <w:tc>
          <w:tcPr>
            <w:tcW w:w="880" w:type="dxa"/>
            <w:vAlign w:val="bottom"/>
            <w:shd w:val="clear" w:color="auto" w:fill="CFF0FC"/>
          </w:tcPr>
          <w:p>
            <w:pPr>
              <w:spacing w:after="0"/>
              <w:rPr>
                <w:sz w:val="22"/>
                <w:szCs w:val="22"/>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5,147</w:t>
            </w:r>
          </w:p>
        </w:tc>
        <w:tc>
          <w:tcPr>
            <w:tcW w:w="280" w:type="dxa"/>
            <w:vAlign w:val="bottom"/>
            <w:shd w:val="clear" w:color="auto" w:fill="CFF0FC"/>
          </w:tcPr>
          <w:p>
            <w:pPr>
              <w:spacing w:after="0"/>
              <w:rPr>
                <w:sz w:val="22"/>
                <w:szCs w:val="22"/>
                <w:color w:val="auto"/>
              </w:rPr>
            </w:pPr>
          </w:p>
        </w:tc>
        <w:tc>
          <w:tcPr>
            <w:tcW w:w="840" w:type="dxa"/>
            <w:vAlign w:val="bottom"/>
            <w:shd w:val="clear" w:color="auto" w:fill="CFF0FC"/>
          </w:tcPr>
          <w:p>
            <w:pPr>
              <w:spacing w:after="0"/>
              <w:rPr>
                <w:sz w:val="22"/>
                <w:szCs w:val="22"/>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3,490</w:t>
            </w:r>
          </w:p>
        </w:tc>
        <w:tc>
          <w:tcPr>
            <w:tcW w:w="26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1,657</w:t>
            </w:r>
          </w:p>
        </w:tc>
        <w:tc>
          <w:tcPr>
            <w:tcW w:w="100" w:type="dxa"/>
            <w:vAlign w:val="bottom"/>
            <w:shd w:val="clear" w:color="auto" w:fill="CFF0FC"/>
          </w:tcPr>
          <w:p>
            <w:pPr>
              <w:spacing w:after="0"/>
              <w:rPr>
                <w:sz w:val="22"/>
                <w:szCs w:val="22"/>
                <w:color w:val="auto"/>
              </w:rPr>
            </w:pPr>
          </w:p>
        </w:tc>
      </w:tr>
      <w:tr>
        <w:trPr>
          <w:trHeight w:val="250"/>
        </w:trPr>
        <w:tc>
          <w:tcPr>
            <w:tcW w:w="6520" w:type="dxa"/>
            <w:vAlign w:val="bottom"/>
          </w:tcPr>
          <w:p>
            <w:pPr>
              <w:ind w:left="200"/>
              <w:spacing w:after="0"/>
              <w:rPr>
                <w:sz w:val="20"/>
                <w:szCs w:val="20"/>
                <w:color w:val="auto"/>
              </w:rPr>
            </w:pPr>
            <w:r>
              <w:rPr>
                <w:rFonts w:ascii="Arial" w:cs="Arial" w:eastAsia="Arial" w:hAnsi="Arial"/>
                <w:sz w:val="18"/>
                <w:szCs w:val="18"/>
                <w:color w:val="auto"/>
              </w:rPr>
              <w:t>General and administrative</w:t>
            </w:r>
          </w:p>
        </w:tc>
        <w:tc>
          <w:tcPr>
            <w:tcW w:w="88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2,816</w:t>
            </w:r>
          </w:p>
        </w:tc>
        <w:tc>
          <w:tcPr>
            <w:tcW w:w="280" w:type="dxa"/>
            <w:vAlign w:val="bottom"/>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2,374</w:t>
            </w:r>
          </w:p>
        </w:tc>
        <w:tc>
          <w:tcPr>
            <w:tcW w:w="2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442</w:t>
            </w:r>
          </w:p>
        </w:tc>
        <w:tc>
          <w:tcPr>
            <w:tcW w:w="100" w:type="dxa"/>
            <w:vAlign w:val="bottom"/>
          </w:tcPr>
          <w:p>
            <w:pPr>
              <w:spacing w:after="0"/>
              <w:rPr>
                <w:sz w:val="21"/>
                <w:szCs w:val="21"/>
                <w:color w:val="auto"/>
              </w:rPr>
            </w:pPr>
          </w:p>
        </w:tc>
      </w:tr>
      <w:tr>
        <w:trPr>
          <w:trHeight w:val="250"/>
        </w:trPr>
        <w:tc>
          <w:tcPr>
            <w:tcW w:w="652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operating expenses</w:t>
            </w:r>
          </w:p>
        </w:tc>
        <w:tc>
          <w:tcPr>
            <w:tcW w:w="880" w:type="dxa"/>
            <w:vAlign w:val="bottom"/>
            <w:tcBorders>
              <w:bottom w:val="single" w:sz="8" w:color="auto"/>
            </w:tcBorders>
            <w:shd w:val="clear" w:color="auto" w:fill="CFF0FC"/>
          </w:tcPr>
          <w:p>
            <w:pPr>
              <w:spacing w:after="0"/>
              <w:rPr>
                <w:sz w:val="21"/>
                <w:szCs w:val="21"/>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7,963</w:t>
            </w:r>
          </w:p>
        </w:tc>
        <w:tc>
          <w:tcPr>
            <w:tcW w:w="280" w:type="dxa"/>
            <w:vAlign w:val="bottom"/>
            <w:tcBorders>
              <w:bottom w:val="single" w:sz="8" w:color="CFF0FC"/>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spacing w:after="0"/>
              <w:rPr>
                <w:sz w:val="21"/>
                <w:szCs w:val="21"/>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5,864</w:t>
            </w:r>
          </w:p>
        </w:tc>
        <w:tc>
          <w:tcPr>
            <w:tcW w:w="2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2,099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50"/>
        </w:trPr>
        <w:tc>
          <w:tcPr>
            <w:tcW w:w="652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880" w:type="dxa"/>
            <w:vAlign w:val="bottom"/>
          </w:tcPr>
          <w:p>
            <w:pPr>
              <w:spacing w:after="0"/>
              <w:rPr>
                <w:sz w:val="21"/>
                <w:szCs w:val="21"/>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w w:val="90"/>
              </w:rPr>
              <w:t>(4,889 )</w:t>
            </w:r>
          </w:p>
        </w:tc>
        <w:tc>
          <w:tcPr>
            <w:tcW w:w="840" w:type="dxa"/>
            <w:vAlign w:val="bottom"/>
          </w:tcPr>
          <w:p>
            <w:pPr>
              <w:spacing w:after="0"/>
              <w:rPr>
                <w:sz w:val="21"/>
                <w:szCs w:val="21"/>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w w:val="90"/>
              </w:rPr>
              <w:t>(2,432 )</w:t>
            </w:r>
          </w:p>
        </w:tc>
        <w:tc>
          <w:tcPr>
            <w:tcW w:w="260" w:type="dxa"/>
            <w:vAlign w:val="bottom"/>
          </w:tcPr>
          <w:p>
            <w:pPr>
              <w:spacing w:after="0"/>
              <w:rPr>
                <w:sz w:val="21"/>
                <w:szCs w:val="21"/>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(2,457 )</w:t>
            </w:r>
          </w:p>
        </w:tc>
      </w:tr>
      <w:tr>
        <w:trPr>
          <w:trHeight w:val="263"/>
        </w:trPr>
        <w:tc>
          <w:tcPr>
            <w:tcW w:w="652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income</w:t>
            </w:r>
          </w:p>
        </w:tc>
        <w:tc>
          <w:tcPr>
            <w:tcW w:w="880" w:type="dxa"/>
            <w:vAlign w:val="bottom"/>
            <w:shd w:val="clear" w:color="auto" w:fill="CFF0FC"/>
          </w:tcPr>
          <w:p>
            <w:pPr>
              <w:spacing w:after="0"/>
              <w:rPr>
                <w:sz w:val="22"/>
                <w:szCs w:val="22"/>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80" w:type="dxa"/>
            <w:vAlign w:val="bottom"/>
            <w:shd w:val="clear" w:color="auto" w:fill="CFF0FC"/>
          </w:tcPr>
          <w:p>
            <w:pPr>
              <w:spacing w:after="0"/>
              <w:rPr>
                <w:sz w:val="22"/>
                <w:szCs w:val="22"/>
                <w:color w:val="auto"/>
              </w:rPr>
            </w:pPr>
          </w:p>
        </w:tc>
        <w:tc>
          <w:tcPr>
            <w:tcW w:w="840" w:type="dxa"/>
            <w:vAlign w:val="bottom"/>
            <w:shd w:val="clear" w:color="auto" w:fill="CFF0FC"/>
          </w:tcPr>
          <w:p>
            <w:pPr>
              <w:spacing w:after="0"/>
              <w:rPr>
                <w:sz w:val="22"/>
                <w:szCs w:val="22"/>
                <w:color w:val="auto"/>
              </w:rPr>
            </w:pPr>
          </w:p>
        </w:tc>
        <w:tc>
          <w:tcPr>
            <w:tcW w:w="7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2"/>
                <w:szCs w:val="22"/>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FF0FC"/>
          </w:tcPr>
          <w:p>
            <w:pPr>
              <w:spacing w:after="0"/>
              <w:rPr>
                <w:sz w:val="22"/>
                <w:szCs w:val="22"/>
                <w:color w:val="auto"/>
              </w:rPr>
            </w:pPr>
          </w:p>
        </w:tc>
      </w:tr>
      <w:tr>
        <w:trPr>
          <w:trHeight w:val="250"/>
        </w:trPr>
        <w:tc>
          <w:tcPr>
            <w:tcW w:w="6520" w:type="dxa"/>
            <w:vAlign w:val="bottom"/>
          </w:tcPr>
          <w:p>
            <w:pPr>
              <w:ind w:left="20"/>
              <w:spacing w:after="0"/>
              <w:rPr>
                <w:sz w:val="20"/>
                <w:szCs w:val="20"/>
                <w:color w:val="auto"/>
              </w:rPr>
            </w:pPr>
            <w:r>
              <w:rPr>
                <w:rFonts w:ascii="Arial" w:cs="Arial" w:eastAsia="Arial" w:hAnsi="Arial"/>
                <w:sz w:val="18"/>
                <w:szCs w:val="18"/>
                <w:color w:val="auto"/>
              </w:rPr>
              <w:t>Other expense</w:t>
            </w:r>
          </w:p>
        </w:tc>
        <w:tc>
          <w:tcPr>
            <w:tcW w:w="8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(1 )</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r>
      <w:tr>
        <w:trPr>
          <w:trHeight w:val="20"/>
        </w:trPr>
        <w:tc>
          <w:tcPr>
            <w:tcW w:w="65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70"/>
        </w:trPr>
        <w:tc>
          <w:tcPr>
            <w:tcW w:w="65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w:t>
            </w:r>
          </w:p>
        </w:tc>
        <w:tc>
          <w:tcPr>
            <w:tcW w:w="880" w:type="dxa"/>
            <w:vAlign w:val="bottom"/>
            <w:shd w:val="clear" w:color="auto" w:fill="CFF0FC"/>
          </w:tcPr>
          <w:p>
            <w:pPr>
              <w:jc w:val="right"/>
              <w:ind w:right="675"/>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w w:val="90"/>
              </w:rPr>
              <w:t>(4,887 )</w:t>
            </w:r>
          </w:p>
        </w:tc>
        <w:tc>
          <w:tcPr>
            <w:tcW w:w="840" w:type="dxa"/>
            <w:vAlign w:val="bottom"/>
            <w:shd w:val="clear" w:color="auto" w:fill="CFF0FC"/>
          </w:tcPr>
          <w:p>
            <w:pPr>
              <w:jc w:val="right"/>
              <w:ind w:right="655"/>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w w:val="90"/>
              </w:rPr>
              <w:t>(2,433 )</w:t>
            </w:r>
          </w:p>
        </w:tc>
        <w:tc>
          <w:tcPr>
            <w:tcW w:w="260" w:type="dxa"/>
            <w:vAlign w:val="bottom"/>
            <w:shd w:val="clear" w:color="auto" w:fill="CFF0FC"/>
          </w:tcPr>
          <w:p>
            <w:pPr>
              <w:jc w:val="right"/>
              <w:ind w:right="73"/>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(2,454 )</w:t>
            </w:r>
          </w:p>
        </w:tc>
      </w:tr>
      <w:tr>
        <w:trPr>
          <w:trHeight w:val="20"/>
        </w:trPr>
        <w:tc>
          <w:tcPr>
            <w:tcW w:w="6520" w:type="dxa"/>
            <w:vAlign w:val="bottom"/>
            <w:tcBorders>
              <w:top w:val="single" w:sz="8" w:color="CFF0FC"/>
            </w:tcBorders>
            <w:shd w:val="clear" w:color="auto" w:fill="CFF0FC"/>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5019675</wp:posOffset>
            </wp:positionH>
            <wp:positionV relativeFrom="paragraph">
              <wp:posOffset>-690880</wp:posOffset>
            </wp:positionV>
            <wp:extent cx="171450" cy="571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-690880</wp:posOffset>
            </wp:positionV>
            <wp:extent cx="163195" cy="571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-690880</wp:posOffset>
            </wp:positionV>
            <wp:extent cx="68580" cy="571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-24765</wp:posOffset>
            </wp:positionV>
            <wp:extent cx="17145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-7620</wp:posOffset>
            </wp:positionV>
            <wp:extent cx="17145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-24765</wp:posOffset>
            </wp:positionV>
            <wp:extent cx="16319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-7620</wp:posOffset>
            </wp:positionV>
            <wp:extent cx="16319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4" w:lineRule="exact"/>
        <w:rPr>
          <w:sz w:val="20"/>
          <w:szCs w:val="20"/>
          <w:color w:val="auto"/>
        </w:rPr>
      </w:pPr>
    </w:p>
    <w:p>
      <w:pPr>
        <w:jc w:val="both"/>
        <w:ind w:right="40" w:firstLine="509"/>
        <w:spacing w:after="0" w:line="259" w:lineRule="auto"/>
        <w:rPr>
          <w:sz w:val="20"/>
          <w:szCs w:val="20"/>
          <w:color w:val="auto"/>
        </w:rPr>
      </w:pPr>
      <w:r>
        <w:rPr>
          <w:rFonts w:ascii="Arial" w:cs="Arial" w:eastAsia="Arial" w:hAnsi="Arial"/>
          <w:sz w:val="18"/>
          <w:szCs w:val="18"/>
          <w:i w:val="1"/>
          <w:iCs w:val="1"/>
          <w:color w:val="auto"/>
        </w:rPr>
        <w:t>Revenue</w:t>
      </w:r>
      <w:r>
        <w:rPr>
          <w:rFonts w:ascii="Arial" w:cs="Arial" w:eastAsia="Arial" w:hAnsi="Arial"/>
          <w:sz w:val="18"/>
          <w:szCs w:val="18"/>
          <w:color w:val="auto"/>
        </w:rPr>
        <w:t>. In the three months ended September 30, 2021 and 2020, we recognized $3.1 million and $3.4 million, respectively, of revenue associated</w:t>
      </w:r>
      <w:r>
        <w:rPr>
          <w:rFonts w:ascii="Arial" w:cs="Arial" w:eastAsia="Arial" w:hAnsi="Arial"/>
          <w:sz w:val="18"/>
          <w:szCs w:val="18"/>
          <w:i w:val="1"/>
          <w:iCs w:val="1"/>
          <w:color w:val="auto"/>
        </w:rPr>
        <w:t xml:space="preserve"> </w:t>
      </w:r>
      <w:r>
        <w:rPr>
          <w:rFonts w:ascii="Arial" w:cs="Arial" w:eastAsia="Arial" w:hAnsi="Arial"/>
          <w:sz w:val="18"/>
          <w:szCs w:val="18"/>
          <w:color w:val="auto"/>
        </w:rPr>
        <w:t>with our license agreements. License revenue for the three months ended September 30, 2021 was primarily a result of a milestone payments received from Arctic Vision. License revenue for the three months ended September 30, 2020 was primarily a result of a milestone payments received from REGENXBIO.</w:t>
      </w:r>
    </w:p>
    <w:p>
      <w:pPr>
        <w:spacing w:after="0" w:line="79" w:lineRule="exact"/>
        <w:rPr>
          <w:sz w:val="20"/>
          <w:szCs w:val="20"/>
          <w:color w:val="auto"/>
        </w:rPr>
      </w:pPr>
    </w:p>
    <w:p>
      <w:pPr>
        <w:ind w:right="120" w:firstLine="509"/>
        <w:spacing w:after="0" w:line="259" w:lineRule="auto"/>
        <w:rPr>
          <w:sz w:val="20"/>
          <w:szCs w:val="20"/>
          <w:color w:val="auto"/>
        </w:rPr>
      </w:pPr>
      <w:r>
        <w:rPr>
          <w:rFonts w:ascii="Arial" w:cs="Arial" w:eastAsia="Arial" w:hAnsi="Arial"/>
          <w:sz w:val="18"/>
          <w:szCs w:val="18"/>
          <w:i w:val="1"/>
          <w:iCs w:val="1"/>
          <w:color w:val="auto"/>
        </w:rPr>
        <w:t>Research and development</w:t>
      </w:r>
      <w:r>
        <w:rPr>
          <w:rFonts w:ascii="Arial" w:cs="Arial" w:eastAsia="Arial" w:hAnsi="Arial"/>
          <w:sz w:val="18"/>
          <w:szCs w:val="18"/>
          <w:color w:val="auto"/>
        </w:rPr>
        <w:t>. Research and development expense increased by $1.7 million, from $3.5 million for the three months ended September</w:t>
      </w:r>
      <w:r>
        <w:rPr>
          <w:rFonts w:ascii="Arial" w:cs="Arial" w:eastAsia="Arial" w:hAnsi="Arial"/>
          <w:sz w:val="18"/>
          <w:szCs w:val="18"/>
          <w:i w:val="1"/>
          <w:iCs w:val="1"/>
          <w:color w:val="auto"/>
        </w:rPr>
        <w:t xml:space="preserve"> </w:t>
      </w:r>
      <w:r>
        <w:rPr>
          <w:rFonts w:ascii="Arial" w:cs="Arial" w:eastAsia="Arial" w:hAnsi="Arial"/>
          <w:sz w:val="18"/>
          <w:szCs w:val="18"/>
          <w:color w:val="auto"/>
        </w:rPr>
        <w:t>30, 2020 to $5.1 million for the three months ended September 30, 2021. This increase was due to a $0.9 million increase in costs for the for CLS-AX program, including costs for OASIS, a Phase 1/2a clinical trial of CLS-AX and a $0.3 million increase in employee related costs. In addition, there was a $0.3 million increase in costs in our other programs.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0" w:name="page21"/>
    <w:bookmarkEnd w:id="20"/>
    <w:p>
      <w:pPr>
        <w:ind w:right="400" w:firstLine="509"/>
        <w:spacing w:after="0" w:line="279" w:lineRule="auto"/>
        <w:rPr>
          <w:sz w:val="20"/>
          <w:szCs w:val="20"/>
          <w:color w:val="auto"/>
        </w:rPr>
      </w:pPr>
      <w:r>
        <w:rPr>
          <w:rFonts w:ascii="Arial" w:cs="Arial" w:eastAsia="Arial" w:hAnsi="Arial"/>
          <w:sz w:val="18"/>
          <w:szCs w:val="18"/>
          <w:i w:val="1"/>
          <w:iCs w:val="1"/>
          <w:color w:val="auto"/>
        </w:rPr>
        <w:t>General and administrative</w:t>
      </w:r>
      <w:r>
        <w:rPr>
          <w:rFonts w:ascii="Arial" w:cs="Arial" w:eastAsia="Arial" w:hAnsi="Arial"/>
          <w:sz w:val="18"/>
          <w:szCs w:val="18"/>
          <w:color w:val="auto"/>
        </w:rPr>
        <w:t>. General and administrative expenses increased by $0.4 million, from $2.4 million for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2020 to $2.8 million for the three months ended September 30, 2021. This was primarily attributable to an increase in employee related costs.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for the Nine Months Ended September 30, 2021 and 2020</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our results of operations for the nine months ended September 30, 2021 and 2020.</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960" w:type="dxa"/>
            <w:vAlign w:val="bottom"/>
            <w:gridSpan w:val="5"/>
          </w:tcPr>
          <w:p>
            <w:pPr>
              <w:jc w:val="right"/>
              <w:ind w:right="1060"/>
              <w:spacing w:after="0"/>
              <w:rPr>
                <w:sz w:val="20"/>
                <w:szCs w:val="20"/>
                <w:color w:val="auto"/>
              </w:rPr>
            </w:pPr>
            <w:r>
              <w:rPr>
                <w:rFonts w:ascii="Arial" w:cs="Arial" w:eastAsia="Arial" w:hAnsi="Arial"/>
                <w:sz w:val="16"/>
                <w:szCs w:val="16"/>
                <w:b w:val="1"/>
                <w:bCs w:val="1"/>
                <w:color w:val="auto"/>
              </w:rPr>
              <w:t>Nine Months Ended</w:t>
            </w: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4"/>
        </w:trPr>
        <w:tc>
          <w:tcPr>
            <w:tcW w:w="6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960" w:type="dxa"/>
            <w:vAlign w:val="bottom"/>
            <w:gridSpan w:val="5"/>
          </w:tcPr>
          <w:p>
            <w:pPr>
              <w:jc w:val="right"/>
              <w:ind w:right="1260"/>
              <w:spacing w:after="0"/>
              <w:rPr>
                <w:sz w:val="20"/>
                <w:szCs w:val="20"/>
                <w:color w:val="auto"/>
              </w:rPr>
            </w:pPr>
            <w:r>
              <w:rPr>
                <w:rFonts w:ascii="Arial" w:cs="Arial" w:eastAsia="Arial" w:hAnsi="Arial"/>
                <w:sz w:val="16"/>
                <w:szCs w:val="16"/>
                <w:b w:val="1"/>
                <w:bCs w:val="1"/>
                <w:color w:val="auto"/>
              </w:rPr>
              <w:t>September 30,</w:t>
            </w:r>
          </w:p>
        </w:tc>
        <w:tc>
          <w:tcPr>
            <w:tcW w:w="1460" w:type="dxa"/>
            <w:vAlign w:val="bottom"/>
            <w:gridSpan w:val="3"/>
          </w:tcPr>
          <w:p>
            <w:pPr>
              <w:jc w:val="right"/>
              <w:ind w:right="220"/>
              <w:spacing w:after="0"/>
              <w:rPr>
                <w:sz w:val="20"/>
                <w:szCs w:val="20"/>
                <w:color w:val="auto"/>
              </w:rPr>
            </w:pPr>
            <w:r>
              <w:rPr>
                <w:rFonts w:ascii="Arial" w:cs="Arial" w:eastAsia="Arial" w:hAnsi="Arial"/>
                <w:sz w:val="16"/>
                <w:szCs w:val="16"/>
                <w:b w:val="1"/>
                <w:bCs w:val="1"/>
                <w:color w:val="auto"/>
                <w:w w:val="97"/>
              </w:rPr>
              <w:t>Period-to-Period</w:t>
            </w:r>
          </w:p>
        </w:tc>
      </w:tr>
      <w:tr>
        <w:trPr>
          <w:trHeight w:val="223"/>
        </w:trPr>
        <w:tc>
          <w:tcPr>
            <w:tcW w:w="65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ind w:right="452"/>
              <w:spacing w:after="0"/>
              <w:rPr>
                <w:sz w:val="20"/>
                <w:szCs w:val="20"/>
                <w:color w:val="auto"/>
              </w:rPr>
            </w:pPr>
            <w:r>
              <w:rPr>
                <w:rFonts w:ascii="Arial" w:cs="Arial" w:eastAsia="Arial" w:hAnsi="Arial"/>
                <w:sz w:val="16"/>
                <w:szCs w:val="16"/>
                <w:b w:val="1"/>
                <w:bCs w:val="1"/>
                <w:color w:val="auto"/>
              </w:rPr>
              <w:t>2021</w:t>
            </w:r>
          </w:p>
        </w:tc>
        <w:tc>
          <w:tcPr>
            <w:tcW w:w="2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2020</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6"/>
                <w:szCs w:val="16"/>
                <w:b w:val="1"/>
                <w:bCs w:val="1"/>
                <w:color w:val="auto"/>
              </w:rPr>
              <w:t>Change</w:t>
            </w:r>
          </w:p>
        </w:tc>
      </w:tr>
      <w:tr>
        <w:trPr>
          <w:trHeight w:val="220"/>
        </w:trPr>
        <w:tc>
          <w:tcPr>
            <w:tcW w:w="65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ind w:right="112"/>
              <w:spacing w:after="0"/>
              <w:rPr>
                <w:sz w:val="20"/>
                <w:szCs w:val="20"/>
                <w:color w:val="auto"/>
              </w:rPr>
            </w:pPr>
            <w:r>
              <w:rPr>
                <w:rFonts w:ascii="Arial" w:cs="Arial" w:eastAsia="Arial" w:hAnsi="Arial"/>
                <w:sz w:val="16"/>
                <w:szCs w:val="16"/>
                <w:b w:val="1"/>
                <w:bCs w:val="1"/>
                <w:color w:val="auto"/>
                <w:w w:val="90"/>
              </w:rPr>
              <w:t>(in thousands)</w:t>
            </w:r>
          </w:p>
        </w:tc>
        <w:tc>
          <w:tcPr>
            <w:tcW w:w="26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66"/>
        </w:trPr>
        <w:tc>
          <w:tcPr>
            <w:tcW w:w="6520" w:type="dxa"/>
            <w:vAlign w:val="bottom"/>
            <w:shd w:val="clear" w:color="auto" w:fill="CFF0FC"/>
          </w:tcPr>
          <w:p>
            <w:pPr>
              <w:ind w:left="20"/>
              <w:spacing w:after="0"/>
              <w:rPr>
                <w:sz w:val="20"/>
                <w:szCs w:val="20"/>
                <w:color w:val="auto"/>
              </w:rPr>
            </w:pPr>
            <w:r>
              <w:rPr>
                <w:rFonts w:ascii="Arial" w:cs="Arial" w:eastAsia="Arial" w:hAnsi="Arial"/>
                <w:sz w:val="18"/>
                <w:szCs w:val="18"/>
                <w:color w:val="auto"/>
              </w:rPr>
              <w:t>License and other revenue</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3,888</w:t>
            </w:r>
          </w:p>
        </w:tc>
        <w:tc>
          <w:tcPr>
            <w:tcW w:w="280" w:type="dxa"/>
            <w:vAlign w:val="bottom"/>
            <w:shd w:val="clear" w:color="auto" w:fill="CFF0FC"/>
          </w:tcPr>
          <w:p>
            <w:pPr>
              <w:spacing w:after="0"/>
              <w:rPr>
                <w:sz w:val="23"/>
                <w:szCs w:val="23"/>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7,883</w:t>
            </w:r>
          </w:p>
        </w:tc>
        <w:tc>
          <w:tcPr>
            <w:tcW w:w="260" w:type="dxa"/>
            <w:vAlign w:val="bottom"/>
            <w:shd w:val="clear" w:color="auto" w:fill="CFF0FC"/>
          </w:tcPr>
          <w:p>
            <w:pPr>
              <w:spacing w:after="0"/>
              <w:rPr>
                <w:sz w:val="23"/>
                <w:szCs w:val="23"/>
                <w:color w:val="auto"/>
              </w:rPr>
            </w:pPr>
          </w:p>
        </w:tc>
        <w:tc>
          <w:tcPr>
            <w:tcW w:w="260" w:type="dxa"/>
            <w:vAlign w:val="bottom"/>
            <w:shd w:val="clear" w:color="auto" w:fill="CFF0FC"/>
          </w:tcPr>
          <w:p>
            <w:pPr>
              <w:jc w:val="right"/>
              <w:ind w:right="73"/>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(3,995 )</w:t>
            </w:r>
          </w:p>
        </w:tc>
      </w:tr>
      <w:tr>
        <w:trPr>
          <w:trHeight w:val="250"/>
        </w:trPr>
        <w:tc>
          <w:tcPr>
            <w:tcW w:w="652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65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Research and development</w:t>
            </w:r>
          </w:p>
        </w:tc>
        <w:tc>
          <w:tcPr>
            <w:tcW w:w="300" w:type="dxa"/>
            <w:vAlign w:val="bottom"/>
            <w:shd w:val="clear" w:color="auto" w:fill="CFF0FC"/>
          </w:tcPr>
          <w:p>
            <w:pPr>
              <w:spacing w:after="0"/>
              <w:rPr>
                <w:sz w:val="22"/>
                <w:szCs w:val="22"/>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14,697</w:t>
            </w:r>
          </w:p>
        </w:tc>
        <w:tc>
          <w:tcPr>
            <w:tcW w:w="28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10,601</w:t>
            </w:r>
          </w:p>
        </w:tc>
        <w:tc>
          <w:tcPr>
            <w:tcW w:w="26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4,096</w:t>
            </w:r>
          </w:p>
        </w:tc>
        <w:tc>
          <w:tcPr>
            <w:tcW w:w="100" w:type="dxa"/>
            <w:vAlign w:val="bottom"/>
            <w:shd w:val="clear" w:color="auto" w:fill="CFF0FC"/>
          </w:tcPr>
          <w:p>
            <w:pPr>
              <w:spacing w:after="0"/>
              <w:rPr>
                <w:sz w:val="22"/>
                <w:szCs w:val="22"/>
                <w:color w:val="auto"/>
              </w:rPr>
            </w:pPr>
          </w:p>
        </w:tc>
      </w:tr>
      <w:tr>
        <w:trPr>
          <w:trHeight w:val="250"/>
        </w:trPr>
        <w:tc>
          <w:tcPr>
            <w:tcW w:w="6520" w:type="dxa"/>
            <w:vAlign w:val="bottom"/>
          </w:tcPr>
          <w:p>
            <w:pPr>
              <w:ind w:left="200"/>
              <w:spacing w:after="0"/>
              <w:rPr>
                <w:sz w:val="20"/>
                <w:szCs w:val="20"/>
                <w:color w:val="auto"/>
              </w:rPr>
            </w:pPr>
            <w:r>
              <w:rPr>
                <w:rFonts w:ascii="Arial" w:cs="Arial" w:eastAsia="Arial" w:hAnsi="Arial"/>
                <w:sz w:val="18"/>
                <w:szCs w:val="18"/>
                <w:color w:val="auto"/>
              </w:rPr>
              <w:t>General and administrative</w:t>
            </w:r>
          </w:p>
        </w:tc>
        <w:tc>
          <w:tcPr>
            <w:tcW w:w="3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8,525</w:t>
            </w:r>
          </w:p>
        </w:tc>
        <w:tc>
          <w:tcPr>
            <w:tcW w:w="2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8,107</w:t>
            </w:r>
          </w:p>
        </w:tc>
        <w:tc>
          <w:tcPr>
            <w:tcW w:w="2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w:t>
            </w:r>
          </w:p>
        </w:tc>
        <w:tc>
          <w:tcPr>
            <w:tcW w:w="100" w:type="dxa"/>
            <w:vAlign w:val="bottom"/>
          </w:tcPr>
          <w:p>
            <w:pPr>
              <w:spacing w:after="0"/>
              <w:rPr>
                <w:sz w:val="21"/>
                <w:szCs w:val="21"/>
                <w:color w:val="auto"/>
              </w:rPr>
            </w:pPr>
          </w:p>
        </w:tc>
      </w:tr>
      <w:tr>
        <w:trPr>
          <w:trHeight w:val="250"/>
        </w:trPr>
        <w:tc>
          <w:tcPr>
            <w:tcW w:w="652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23,222</w:t>
            </w:r>
          </w:p>
        </w:tc>
        <w:tc>
          <w:tcPr>
            <w:tcW w:w="2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18,708</w:t>
            </w:r>
          </w:p>
        </w:tc>
        <w:tc>
          <w:tcPr>
            <w:tcW w:w="2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4,514</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50"/>
        </w:trPr>
        <w:tc>
          <w:tcPr>
            <w:tcW w:w="652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30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(19,334 )</w:t>
            </w:r>
          </w:p>
        </w:tc>
        <w:tc>
          <w:tcPr>
            <w:tcW w:w="120" w:type="dxa"/>
            <w:vAlign w:val="bottom"/>
          </w:tcPr>
          <w:p>
            <w:pPr>
              <w:spacing w:after="0"/>
              <w:rPr>
                <w:sz w:val="21"/>
                <w:szCs w:val="21"/>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(10,825 )</w:t>
            </w:r>
          </w:p>
        </w:tc>
        <w:tc>
          <w:tcPr>
            <w:tcW w:w="260" w:type="dxa"/>
            <w:vAlign w:val="bottom"/>
          </w:tcPr>
          <w:p>
            <w:pPr>
              <w:spacing w:after="0"/>
              <w:rPr>
                <w:sz w:val="21"/>
                <w:szCs w:val="21"/>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(8,509 )</w:t>
            </w:r>
          </w:p>
        </w:tc>
      </w:tr>
      <w:tr>
        <w:trPr>
          <w:trHeight w:val="263"/>
        </w:trPr>
        <w:tc>
          <w:tcPr>
            <w:tcW w:w="652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income</w:t>
            </w:r>
          </w:p>
        </w:tc>
        <w:tc>
          <w:tcPr>
            <w:tcW w:w="300" w:type="dxa"/>
            <w:vAlign w:val="bottom"/>
            <w:shd w:val="clear" w:color="auto" w:fill="CFF0FC"/>
          </w:tcPr>
          <w:p>
            <w:pPr>
              <w:spacing w:after="0"/>
              <w:rPr>
                <w:sz w:val="22"/>
                <w:szCs w:val="22"/>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1,001</w:t>
            </w:r>
          </w:p>
        </w:tc>
        <w:tc>
          <w:tcPr>
            <w:tcW w:w="28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4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2"/>
                <w:szCs w:val="22"/>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1,001</w:t>
            </w:r>
          </w:p>
        </w:tc>
        <w:tc>
          <w:tcPr>
            <w:tcW w:w="100" w:type="dxa"/>
            <w:vAlign w:val="bottom"/>
            <w:shd w:val="clear" w:color="auto" w:fill="CFF0FC"/>
          </w:tcPr>
          <w:p>
            <w:pPr>
              <w:spacing w:after="0"/>
              <w:rPr>
                <w:sz w:val="22"/>
                <w:szCs w:val="22"/>
                <w:color w:val="auto"/>
              </w:rPr>
            </w:pPr>
          </w:p>
        </w:tc>
      </w:tr>
      <w:tr>
        <w:trPr>
          <w:trHeight w:val="250"/>
        </w:trPr>
        <w:tc>
          <w:tcPr>
            <w:tcW w:w="6520" w:type="dxa"/>
            <w:vAlign w:val="bottom"/>
          </w:tcPr>
          <w:p>
            <w:pPr>
              <w:ind w:left="20"/>
              <w:spacing w:after="0"/>
              <w:rPr>
                <w:sz w:val="20"/>
                <w:szCs w:val="20"/>
                <w:color w:val="auto"/>
              </w:rPr>
            </w:pPr>
            <w:r>
              <w:rPr>
                <w:rFonts w:ascii="Arial" w:cs="Arial" w:eastAsia="Arial" w:hAnsi="Arial"/>
                <w:sz w:val="18"/>
                <w:szCs w:val="18"/>
                <w:color w:val="auto"/>
              </w:rPr>
              <w:t>Other expense</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(273 )</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273</w:t>
            </w:r>
          </w:p>
        </w:tc>
        <w:tc>
          <w:tcPr>
            <w:tcW w:w="100" w:type="dxa"/>
            <w:vAlign w:val="bottom"/>
          </w:tcPr>
          <w:p>
            <w:pPr>
              <w:spacing w:after="0"/>
              <w:rPr>
                <w:sz w:val="21"/>
                <w:szCs w:val="21"/>
                <w:color w:val="auto"/>
              </w:rPr>
            </w:pPr>
          </w:p>
        </w:tc>
      </w:tr>
      <w:tr>
        <w:trPr>
          <w:trHeight w:val="20"/>
        </w:trPr>
        <w:tc>
          <w:tcPr>
            <w:tcW w:w="65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70"/>
        </w:trPr>
        <w:tc>
          <w:tcPr>
            <w:tcW w:w="65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(18,333 )</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(11,098 )</w:t>
            </w:r>
          </w:p>
        </w:tc>
        <w:tc>
          <w:tcPr>
            <w:tcW w:w="260" w:type="dxa"/>
            <w:vAlign w:val="bottom"/>
            <w:shd w:val="clear" w:color="auto" w:fill="CFF0FC"/>
          </w:tcPr>
          <w:p>
            <w:pPr>
              <w:jc w:val="right"/>
              <w:ind w:right="73"/>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(7,235 )</w:t>
            </w:r>
          </w:p>
        </w:tc>
      </w:tr>
      <w:tr>
        <w:trPr>
          <w:trHeight w:val="20"/>
        </w:trPr>
        <w:tc>
          <w:tcPr>
            <w:tcW w:w="652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5011420</wp:posOffset>
            </wp:positionH>
            <wp:positionV relativeFrom="paragraph">
              <wp:posOffset>-690880</wp:posOffset>
            </wp:positionV>
            <wp:extent cx="180340" cy="571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80340" cy="571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-690880</wp:posOffset>
            </wp:positionV>
            <wp:extent cx="163195" cy="571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-690880</wp:posOffset>
            </wp:positionV>
            <wp:extent cx="68580" cy="571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-24765</wp:posOffset>
            </wp:positionV>
            <wp:extent cx="18034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8034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-7620</wp:posOffset>
            </wp:positionV>
            <wp:extent cx="18034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8034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-24765</wp:posOffset>
            </wp:positionV>
            <wp:extent cx="16319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-7620</wp:posOffset>
            </wp:positionV>
            <wp:extent cx="16319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4" w:lineRule="exact"/>
        <w:rPr>
          <w:sz w:val="20"/>
          <w:szCs w:val="20"/>
          <w:color w:val="auto"/>
        </w:rPr>
      </w:pPr>
    </w:p>
    <w:p>
      <w:pPr>
        <w:jc w:val="both"/>
        <w:ind w:right="140" w:firstLine="509"/>
        <w:spacing w:after="0" w:line="259" w:lineRule="auto"/>
        <w:rPr>
          <w:sz w:val="20"/>
          <w:szCs w:val="20"/>
          <w:color w:val="auto"/>
        </w:rPr>
      </w:pPr>
      <w:r>
        <w:rPr>
          <w:rFonts w:ascii="Arial" w:cs="Arial" w:eastAsia="Arial" w:hAnsi="Arial"/>
          <w:sz w:val="18"/>
          <w:szCs w:val="18"/>
          <w:i w:val="1"/>
          <w:iCs w:val="1"/>
          <w:color w:val="auto"/>
        </w:rPr>
        <w:t>Revenue</w:t>
      </w:r>
      <w:r>
        <w:rPr>
          <w:rFonts w:ascii="Arial" w:cs="Arial" w:eastAsia="Arial" w:hAnsi="Arial"/>
          <w:sz w:val="18"/>
          <w:szCs w:val="18"/>
          <w:color w:val="auto"/>
        </w:rPr>
        <w:t>. In the nine months ended September 30, 2021 and 2020, we recognized $3.9 million and $7.9 million, respectively, of revenue associated</w:t>
      </w:r>
      <w:r>
        <w:rPr>
          <w:rFonts w:ascii="Arial" w:cs="Arial" w:eastAsia="Arial" w:hAnsi="Arial"/>
          <w:sz w:val="18"/>
          <w:szCs w:val="18"/>
          <w:i w:val="1"/>
          <w:iCs w:val="1"/>
          <w:color w:val="auto"/>
        </w:rPr>
        <w:t xml:space="preserve"> </w:t>
      </w:r>
      <w:r>
        <w:rPr>
          <w:rFonts w:ascii="Arial" w:cs="Arial" w:eastAsia="Arial" w:hAnsi="Arial"/>
          <w:sz w:val="18"/>
          <w:szCs w:val="18"/>
          <w:color w:val="auto"/>
        </w:rPr>
        <w:t>with our license agreements. License revenue for the nine months ended September 30, 2021 was primarily a result of milestone payments of $3.8 million received from Arctic Vision. License revenue for the nine months ended September 30, 2020 was primarily a result of milestone payments of $4.3 million received from Arctic Vision and $3.0 million received from REGENXBIO.</w:t>
      </w:r>
    </w:p>
    <w:p>
      <w:pPr>
        <w:spacing w:after="0" w:line="79" w:lineRule="exact"/>
        <w:rPr>
          <w:sz w:val="20"/>
          <w:szCs w:val="20"/>
          <w:color w:val="auto"/>
        </w:rPr>
      </w:pPr>
    </w:p>
    <w:p>
      <w:pPr>
        <w:ind w:right="80" w:firstLine="509"/>
        <w:spacing w:after="0" w:line="259" w:lineRule="auto"/>
        <w:rPr>
          <w:sz w:val="20"/>
          <w:szCs w:val="20"/>
          <w:color w:val="auto"/>
        </w:rPr>
      </w:pPr>
      <w:r>
        <w:rPr>
          <w:rFonts w:ascii="Arial" w:cs="Arial" w:eastAsia="Arial" w:hAnsi="Arial"/>
          <w:sz w:val="18"/>
          <w:szCs w:val="18"/>
          <w:i w:val="1"/>
          <w:iCs w:val="1"/>
          <w:color w:val="auto"/>
        </w:rPr>
        <w:t>Research and development</w:t>
      </w:r>
      <w:r>
        <w:rPr>
          <w:rFonts w:ascii="Arial" w:cs="Arial" w:eastAsia="Arial" w:hAnsi="Arial"/>
          <w:sz w:val="18"/>
          <w:szCs w:val="18"/>
          <w:color w:val="auto"/>
        </w:rPr>
        <w:t>. Research and development expense increased by $4.1 million, from $10.6 million for the nine months ended September</w:t>
      </w:r>
      <w:r>
        <w:rPr>
          <w:rFonts w:ascii="Arial" w:cs="Arial" w:eastAsia="Arial" w:hAnsi="Arial"/>
          <w:sz w:val="18"/>
          <w:szCs w:val="18"/>
          <w:i w:val="1"/>
          <w:iCs w:val="1"/>
          <w:color w:val="auto"/>
        </w:rPr>
        <w:t xml:space="preserve"> </w:t>
      </w:r>
      <w:r>
        <w:rPr>
          <w:rFonts w:ascii="Arial" w:cs="Arial" w:eastAsia="Arial" w:hAnsi="Arial"/>
          <w:sz w:val="18"/>
          <w:szCs w:val="18"/>
          <w:color w:val="auto"/>
        </w:rPr>
        <w:t>30, 2020 to $14.5 million for the nine months ended September 30, 2021. This increase was primarily due to a $2.0 million increase in costs for the for CLS-AX program, including costs for OASIS, a Phase 1/2a clinical trial of CLS-AX, and a $0.6 million increase in costs related drug manufacturing for XIPERE. In addition, employee related costs increased $1.1 million during the same period.</w:t>
      </w:r>
    </w:p>
    <w:p>
      <w:pPr>
        <w:spacing w:after="0" w:line="92" w:lineRule="exact"/>
        <w:rPr>
          <w:sz w:val="20"/>
          <w:szCs w:val="20"/>
          <w:color w:val="auto"/>
        </w:rPr>
      </w:pPr>
    </w:p>
    <w:p>
      <w:pPr>
        <w:ind w:right="20" w:firstLine="509"/>
        <w:spacing w:after="0" w:line="279" w:lineRule="auto"/>
        <w:rPr>
          <w:sz w:val="20"/>
          <w:szCs w:val="20"/>
          <w:color w:val="auto"/>
        </w:rPr>
      </w:pPr>
      <w:r>
        <w:rPr>
          <w:rFonts w:ascii="Arial" w:cs="Arial" w:eastAsia="Arial" w:hAnsi="Arial"/>
          <w:sz w:val="18"/>
          <w:szCs w:val="18"/>
          <w:i w:val="1"/>
          <w:iCs w:val="1"/>
          <w:color w:val="auto"/>
        </w:rPr>
        <w:t>General and administrative</w:t>
      </w:r>
      <w:r>
        <w:rPr>
          <w:rFonts w:ascii="Arial" w:cs="Arial" w:eastAsia="Arial" w:hAnsi="Arial"/>
          <w:sz w:val="18"/>
          <w:szCs w:val="18"/>
          <w:color w:val="auto"/>
        </w:rPr>
        <w:t>. General and administrative expenses increased by $0.4 million for the nine months ended September 30, 2021 and</w:t>
      </w:r>
      <w:r>
        <w:rPr>
          <w:rFonts w:ascii="Arial" w:cs="Arial" w:eastAsia="Arial" w:hAnsi="Arial"/>
          <w:sz w:val="18"/>
          <w:szCs w:val="18"/>
          <w:i w:val="1"/>
          <w:iCs w:val="1"/>
          <w:color w:val="auto"/>
        </w:rPr>
        <w:t xml:space="preserve"> </w:t>
      </w:r>
      <w:r>
        <w:rPr>
          <w:rFonts w:ascii="Arial" w:cs="Arial" w:eastAsia="Arial" w:hAnsi="Arial"/>
          <w:sz w:val="18"/>
          <w:szCs w:val="18"/>
          <w:color w:val="auto"/>
        </w:rPr>
        <w:t>2020. This increase was primarily a result of a $0.8 million increase in employee related costs, partially offset by a $0.3 million decrease in patent costs and professional fees.</w:t>
      </w:r>
    </w:p>
    <w:p>
      <w:pPr>
        <w:spacing w:after="0" w:line="61" w:lineRule="exact"/>
        <w:rPr>
          <w:sz w:val="20"/>
          <w:szCs w:val="20"/>
          <w:color w:val="auto"/>
        </w:rPr>
      </w:pPr>
    </w:p>
    <w:p>
      <w:pPr>
        <w:ind w:right="360" w:firstLine="509"/>
        <w:spacing w:after="0" w:line="277" w:lineRule="auto"/>
        <w:rPr>
          <w:sz w:val="20"/>
          <w:szCs w:val="20"/>
          <w:color w:val="auto"/>
        </w:rPr>
      </w:pPr>
      <w:r>
        <w:rPr>
          <w:rFonts w:ascii="Arial" w:cs="Arial" w:eastAsia="Arial" w:hAnsi="Arial"/>
          <w:sz w:val="18"/>
          <w:szCs w:val="18"/>
          <w:i w:val="1"/>
          <w:iCs w:val="1"/>
          <w:color w:val="auto"/>
        </w:rPr>
        <w:t xml:space="preserve">Other income. </w:t>
      </w:r>
      <w:r>
        <w:rPr>
          <w:rFonts w:ascii="Arial" w:cs="Arial" w:eastAsia="Arial" w:hAnsi="Arial"/>
          <w:sz w:val="18"/>
          <w:szCs w:val="18"/>
          <w:color w:val="auto"/>
        </w:rPr>
        <w:t>Other income for the nine months ended September 30, 2021 was primarily comprised of the gain on the extinguishment of debt</w:t>
      </w:r>
      <w:r>
        <w:rPr>
          <w:rFonts w:ascii="Arial" w:cs="Arial" w:eastAsia="Arial" w:hAnsi="Arial"/>
          <w:sz w:val="18"/>
          <w:szCs w:val="18"/>
          <w:i w:val="1"/>
          <w:iCs w:val="1"/>
          <w:color w:val="auto"/>
        </w:rPr>
        <w:t xml:space="preserve"> </w:t>
      </w:r>
      <w:r>
        <w:rPr>
          <w:rFonts w:ascii="Arial" w:cs="Arial" w:eastAsia="Arial" w:hAnsi="Arial"/>
          <w:sz w:val="18"/>
          <w:szCs w:val="18"/>
          <w:color w:val="auto"/>
        </w:rPr>
        <w:t>from the forgiveness of the PPP Loan and accrued interest.</w:t>
      </w:r>
    </w:p>
    <w:p>
      <w:pPr>
        <w:spacing w:after="0" w:line="76" w:lineRule="exact"/>
        <w:rPr>
          <w:sz w:val="20"/>
          <w:szCs w:val="20"/>
          <w:color w:val="auto"/>
        </w:rPr>
      </w:pPr>
    </w:p>
    <w:p>
      <w:pPr>
        <w:ind w:right="160" w:firstLine="509"/>
        <w:spacing w:after="0" w:line="293" w:lineRule="auto"/>
        <w:rPr>
          <w:sz w:val="20"/>
          <w:szCs w:val="20"/>
          <w:color w:val="auto"/>
        </w:rPr>
      </w:pPr>
      <w:r>
        <w:rPr>
          <w:rFonts w:ascii="Arial" w:cs="Arial" w:eastAsia="Arial" w:hAnsi="Arial"/>
          <w:sz w:val="18"/>
          <w:szCs w:val="18"/>
          <w:i w:val="1"/>
          <w:iCs w:val="1"/>
          <w:color w:val="auto"/>
        </w:rPr>
        <w:t>Other expense</w:t>
      </w:r>
      <w:r>
        <w:rPr>
          <w:rFonts w:ascii="Arial" w:cs="Arial" w:eastAsia="Arial" w:hAnsi="Arial"/>
          <w:sz w:val="18"/>
          <w:szCs w:val="18"/>
          <w:color w:val="auto"/>
        </w:rPr>
        <w:t>. Other expense for the nine months ended September 30, 2020 primarily consisted of interest on long-term debt, the amortization of</w:t>
      </w:r>
      <w:r>
        <w:rPr>
          <w:rFonts w:ascii="Arial" w:cs="Arial" w:eastAsia="Arial" w:hAnsi="Arial"/>
          <w:sz w:val="18"/>
          <w:szCs w:val="18"/>
          <w:i w:val="1"/>
          <w:iCs w:val="1"/>
          <w:color w:val="auto"/>
        </w:rPr>
        <w:t xml:space="preserve"> </w:t>
      </w:r>
      <w:r>
        <w:rPr>
          <w:rFonts w:ascii="Arial" w:cs="Arial" w:eastAsia="Arial" w:hAnsi="Arial"/>
          <w:sz w:val="18"/>
          <w:szCs w:val="18"/>
          <w:color w:val="auto"/>
        </w:rPr>
        <w:t>financing costs, the accretion of warrants and the final payment related to our prior loan agreement.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31" w:lineRule="exact"/>
        <w:rPr>
          <w:sz w:val="20"/>
          <w:szCs w:val="20"/>
          <w:color w:val="auto"/>
        </w:rPr>
      </w:pPr>
    </w:p>
    <w:p>
      <w:pPr>
        <w:ind w:right="60" w:firstLine="509"/>
        <w:spacing w:after="0" w:line="329" w:lineRule="auto"/>
        <w:rPr>
          <w:sz w:val="20"/>
          <w:szCs w:val="20"/>
          <w:color w:val="auto"/>
        </w:rPr>
      </w:pPr>
      <w:r>
        <w:rPr>
          <w:rFonts w:ascii="Arial" w:cs="Arial" w:eastAsia="Arial" w:hAnsi="Arial"/>
          <w:sz w:val="16"/>
          <w:szCs w:val="16"/>
          <w:color w:val="auto"/>
        </w:rPr>
        <w:t>We have funded our operations primarily through the proceeds of public offerings of our common stock, sales of convertible preferred stock and the issuance of long-term debt. As of September 30, 2021, we had cash and cash equivalents of $25.2 million. We invest any cash in excess of our immediate requirements primarily with a view to liquidity and capital preservation. As of September 30, 2021, our funds were held in cash and money market funds.</w:t>
      </w:r>
    </w:p>
    <w:p>
      <w:pPr>
        <w:spacing w:after="0" w:line="40" w:lineRule="exact"/>
        <w:rPr>
          <w:sz w:val="20"/>
          <w:szCs w:val="20"/>
          <w:color w:val="auto"/>
        </w:rPr>
      </w:pPr>
    </w:p>
    <w:p>
      <w:pPr>
        <w:ind w:firstLine="509"/>
        <w:spacing w:after="0" w:line="299" w:lineRule="auto"/>
        <w:rPr>
          <w:sz w:val="20"/>
          <w:szCs w:val="20"/>
          <w:color w:val="auto"/>
        </w:rPr>
      </w:pPr>
      <w:r>
        <w:rPr>
          <w:rFonts w:ascii="Arial" w:cs="Arial" w:eastAsia="Arial" w:hAnsi="Arial"/>
          <w:sz w:val="16"/>
          <w:szCs w:val="16"/>
          <w:color w:val="auto"/>
        </w:rPr>
        <w:t>In April 2020, we entered into a loan agreement with Silicon Valley Bank under the terms of which Silicon Valley bank loaned us $1.0 million, or the PPP Loan, pursuant to the Paycheck Protection Program, or PPP, under the Coronavirus Aid, Relief, and Economic Security Act, or CARES Act. In accordance with the requirements of the CARES Act, we used the proceeds primarily for payroll costs and other eligible expenses. The CARES Act and the</w:t>
      </w:r>
    </w:p>
    <w:p>
      <w:pPr>
        <w:spacing w:after="0" w:line="2" w:lineRule="exact"/>
        <w:rPr>
          <w:sz w:val="20"/>
          <w:szCs w:val="20"/>
          <w:color w:val="auto"/>
        </w:rPr>
      </w:pPr>
    </w:p>
    <w:p>
      <w:pPr>
        <w:ind w:right="140" w:firstLine="8"/>
        <w:spacing w:after="0" w:line="358" w:lineRule="auto"/>
        <w:tabs>
          <w:tab w:leader="none" w:pos="345" w:val="left"/>
        </w:tabs>
        <w:numPr>
          <w:ilvl w:val="0"/>
          <w:numId w:val="4"/>
        </w:numPr>
        <w:rPr>
          <w:rFonts w:ascii="Arial" w:cs="Arial" w:eastAsia="Arial" w:hAnsi="Arial"/>
          <w:sz w:val="16"/>
          <w:szCs w:val="16"/>
          <w:color w:val="auto"/>
        </w:rPr>
      </w:pPr>
      <w:r>
        <w:rPr>
          <w:rFonts w:ascii="Arial" w:cs="Arial" w:eastAsia="Arial" w:hAnsi="Arial"/>
          <w:sz w:val="16"/>
          <w:szCs w:val="16"/>
          <w:color w:val="auto"/>
        </w:rPr>
        <w:t>provide a mechanism for forgiveness of up to the full amount borrowed. On January 11, 2021, we received notification from Silicon Valley Bank that the PPP loan was forgiven in full, including approximately $7,000 of accrued interest.</w:t>
      </w:r>
    </w:p>
    <w:p>
      <w:pPr>
        <w:spacing w:after="0" w:line="17" w:lineRule="exact"/>
        <w:rPr>
          <w:sz w:val="20"/>
          <w:szCs w:val="20"/>
          <w:color w:val="auto"/>
        </w:rPr>
      </w:pPr>
    </w:p>
    <w:p>
      <w:pPr>
        <w:ind w:right="100" w:firstLine="509"/>
        <w:spacing w:after="0" w:line="266" w:lineRule="auto"/>
        <w:rPr>
          <w:sz w:val="20"/>
          <w:szCs w:val="20"/>
          <w:color w:val="auto"/>
        </w:rPr>
      </w:pPr>
      <w:r>
        <w:rPr>
          <w:rFonts w:ascii="Arial" w:cs="Arial" w:eastAsia="Arial" w:hAnsi="Arial"/>
          <w:sz w:val="18"/>
          <w:szCs w:val="18"/>
          <w:color w:val="auto"/>
        </w:rPr>
        <w:t>In March 2020, we entered into the Arctic License Agreement, pursuant to which Arctic Vision has agreed to pay us up to a total of $35.5 million. This amount includes an upfront payment of $4.0 million, which we received in March 2020, as well as an aggregate of up to $31.5 million in potential development milestone payments for specified events, including $4.0 million upon regulatory approval of XIPERE in the United States and potential sales milestone payments for achievement of specified levels of net</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21" w:name="page22"/>
    <w:bookmarkEnd w:id="21"/>
    <w:p>
      <w:pPr>
        <w:ind w:right="20"/>
        <w:spacing w:after="0" w:line="293" w:lineRule="auto"/>
        <w:rPr>
          <w:sz w:val="20"/>
          <w:szCs w:val="20"/>
          <w:color w:val="auto"/>
        </w:rPr>
      </w:pPr>
      <w:r>
        <w:rPr>
          <w:rFonts w:ascii="Arial" w:cs="Arial" w:eastAsia="Arial" w:hAnsi="Arial"/>
          <w:sz w:val="18"/>
          <w:szCs w:val="18"/>
          <w:color w:val="auto"/>
        </w:rPr>
        <w:t>sales. Further, during the applicable royalty term, we will also be entitled to receive tiered royalties of 10-12% of net sales in the Arctic Territory, subject to customary reductions.</w:t>
      </w:r>
    </w:p>
    <w:p>
      <w:pPr>
        <w:spacing w:after="0" w:line="62" w:lineRule="exact"/>
        <w:rPr>
          <w:sz w:val="20"/>
          <w:szCs w:val="20"/>
          <w:color w:val="auto"/>
        </w:rPr>
      </w:pPr>
    </w:p>
    <w:p>
      <w:pPr>
        <w:ind w:right="200" w:firstLine="509"/>
        <w:spacing w:after="0" w:line="296" w:lineRule="auto"/>
        <w:rPr>
          <w:sz w:val="20"/>
          <w:szCs w:val="20"/>
          <w:color w:val="auto"/>
        </w:rPr>
      </w:pPr>
      <w:r>
        <w:rPr>
          <w:rFonts w:ascii="Arial" w:cs="Arial" w:eastAsia="Arial" w:hAnsi="Arial"/>
          <w:sz w:val="17"/>
          <w:szCs w:val="17"/>
          <w:color w:val="auto"/>
        </w:rPr>
        <w:t>In October 2019, we announced that Bausch acquired an exclusive license for the commercialization and development of XIPERE in the United States and Canada. On October 25, 2021, we announced that the FDA approved XIPERE for the treatment of macular edema associated with uveitis. We are entitled to receive $5.0 million from Bausch within 30 days of FDA approval, and we are eligible to receive an additional $10.0 million upon completion of pre-launch activities for XIPERE. Bausch expects to launch XIPERE in the United States in the first quarter of 2022.</w:t>
      </w:r>
    </w:p>
    <w:p>
      <w:pPr>
        <w:spacing w:after="0" w:line="62" w:lineRule="exact"/>
        <w:rPr>
          <w:sz w:val="20"/>
          <w:szCs w:val="20"/>
          <w:color w:val="auto"/>
        </w:rPr>
      </w:pPr>
    </w:p>
    <w:p>
      <w:pPr>
        <w:ind w:right="200" w:firstLine="509"/>
        <w:spacing w:after="0" w:line="272" w:lineRule="auto"/>
        <w:rPr>
          <w:sz w:val="20"/>
          <w:szCs w:val="20"/>
          <w:color w:val="auto"/>
        </w:rPr>
      </w:pPr>
      <w:r>
        <w:rPr>
          <w:rFonts w:ascii="Arial" w:cs="Arial" w:eastAsia="Arial" w:hAnsi="Arial"/>
          <w:sz w:val="18"/>
          <w:szCs w:val="18"/>
          <w:color w:val="auto"/>
        </w:rPr>
        <w:t>We have entered into an at-the-market sales agreement, or the ATM agreement, with Cowen and Company LLC, or Cowen, under which we may offer and sell, from time to time at our sole discretion, shares of our common stock having an aggregate offering price of up to $50.0 million through Cowen acting as our sales agent. During the nine months ended September 30, 2021, we sold 2.9 million shares of our common stock for net proceeds of $12.2 million under the ATM agreement. As of September 30, 2021, there was $14.4 million available for sales of our common stock under the ATM agreement.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31" w:lineRule="exact"/>
        <w:rPr>
          <w:sz w:val="20"/>
          <w:szCs w:val="20"/>
          <w:color w:val="auto"/>
        </w:rPr>
      </w:pPr>
    </w:p>
    <w:p>
      <w:pPr>
        <w:ind w:right="80" w:firstLine="509"/>
        <w:spacing w:after="0" w:line="293" w:lineRule="auto"/>
        <w:rPr>
          <w:sz w:val="20"/>
          <w:szCs w:val="20"/>
          <w:color w:val="auto"/>
        </w:rPr>
      </w:pPr>
      <w:r>
        <w:rPr>
          <w:rFonts w:ascii="Arial" w:cs="Arial" w:eastAsia="Arial" w:hAnsi="Arial"/>
          <w:sz w:val="18"/>
          <w:szCs w:val="18"/>
          <w:color w:val="auto"/>
        </w:rPr>
        <w:t>Our primary uses of capital are, and we expect will continue to be, compensation and related expenses, research and development costs to build our product candidate pipeline, legal and other regulatory expenses and general overhead costs.</w:t>
      </w:r>
    </w:p>
    <w:p>
      <w:pPr>
        <w:spacing w:after="0" w:line="62" w:lineRule="exact"/>
        <w:rPr>
          <w:sz w:val="20"/>
          <w:szCs w:val="20"/>
          <w:color w:val="auto"/>
        </w:rPr>
      </w:pPr>
    </w:p>
    <w:p>
      <w:pPr>
        <w:ind w:right="80" w:firstLine="509"/>
        <w:spacing w:after="0" w:line="275" w:lineRule="auto"/>
        <w:rPr>
          <w:sz w:val="20"/>
          <w:szCs w:val="20"/>
          <w:color w:val="auto"/>
        </w:rPr>
      </w:pPr>
      <w:r>
        <w:rPr>
          <w:rFonts w:ascii="Arial" w:cs="Arial" w:eastAsia="Arial" w:hAnsi="Arial"/>
          <w:sz w:val="18"/>
          <w:szCs w:val="18"/>
          <w:color w:val="auto"/>
        </w:rPr>
        <w:t>The successful development of our product candidates is highly uncertain. As such, at this time, we cannot reasonably estimate or know the nature, timing and estimated costs of the efforts that will be necessary to complete the development of CLS-AX or any future product candidates. We are also unable to predict when, if ever, material net cash inflows will commence from product sales. This is due to the numerous risks and uncertainties associated with developing drugs, including the uncertainty of:</w:t>
      </w:r>
    </w:p>
    <w:p>
      <w:pPr>
        <w:spacing w:after="0" w:line="77" w:lineRule="exact"/>
        <w:rPr>
          <w:sz w:val="20"/>
          <w:szCs w:val="20"/>
          <w:color w:val="auto"/>
        </w:rPr>
      </w:pPr>
    </w:p>
    <w:p>
      <w:pPr>
        <w:ind w:left="960"/>
        <w:spacing w:after="0"/>
        <w:rPr>
          <w:sz w:val="20"/>
          <w:szCs w:val="20"/>
          <w:color w:val="auto"/>
        </w:rPr>
      </w:pPr>
      <w:r>
        <w:rPr>
          <w:rFonts w:ascii="Arial" w:cs="Arial" w:eastAsia="Arial" w:hAnsi="Arial"/>
          <w:sz w:val="18"/>
          <w:szCs w:val="18"/>
          <w:color w:val="auto"/>
        </w:rPr>
        <w:t>successful enrollment in, and completion of, clinical trials;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receipt of marketing approvals from applicable regulatory authorities;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establishing commercial manufacturing capabilities or making arrangements with third-party manufacturers;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obtaining and maintaining patent and trade secret protection and regulatory exclusivity for our product candidates; and</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launching commercial sales of the products, if and when approved, whether alone or in collaboration with others.</w:t>
      </w:r>
    </w:p>
    <w:p>
      <w:pPr>
        <w:spacing w:after="0" w:line="131" w:lineRule="exact"/>
        <w:rPr>
          <w:sz w:val="20"/>
          <w:szCs w:val="20"/>
          <w:color w:val="auto"/>
        </w:rPr>
      </w:pPr>
    </w:p>
    <w:p>
      <w:pPr>
        <w:ind w:right="120" w:firstLine="509"/>
        <w:spacing w:after="0" w:line="293" w:lineRule="auto"/>
        <w:rPr>
          <w:sz w:val="20"/>
          <w:szCs w:val="20"/>
          <w:color w:val="auto"/>
        </w:rPr>
      </w:pPr>
      <w:r>
        <w:rPr>
          <w:rFonts w:ascii="Arial" w:cs="Arial" w:eastAsia="Arial" w:hAnsi="Arial"/>
          <w:sz w:val="18"/>
          <w:szCs w:val="18"/>
          <w:color w:val="auto"/>
        </w:rPr>
        <w:t>A change in the outcome of any of these variables with respect to the development of any of our product candidates would significantly change the costs and timing associated with the development of that candidate.</w:t>
      </w:r>
    </w:p>
    <w:p>
      <w:pPr>
        <w:spacing w:after="0" w:line="62" w:lineRule="exact"/>
        <w:rPr>
          <w:sz w:val="20"/>
          <w:szCs w:val="20"/>
          <w:color w:val="auto"/>
        </w:rPr>
      </w:pPr>
    </w:p>
    <w:p>
      <w:pPr>
        <w:ind w:firstLine="509"/>
        <w:spacing w:after="0" w:line="286" w:lineRule="auto"/>
        <w:rPr>
          <w:sz w:val="20"/>
          <w:szCs w:val="20"/>
          <w:color w:val="auto"/>
        </w:rPr>
      </w:pPr>
      <w:r>
        <w:rPr>
          <w:rFonts w:ascii="Arial" w:cs="Arial" w:eastAsia="Arial" w:hAnsi="Arial"/>
          <w:sz w:val="17"/>
          <w:szCs w:val="17"/>
          <w:color w:val="auto"/>
        </w:rPr>
        <w:t>Until such time, if ever, as we can generate substantial product revenue, we expect to finance our cash needs through a combination of equity offerings, debt financings and potential collaboration, license and development agreements. Other than potential payments we may receive under our license and other agreements, we do not currently have any committed external source of funds, though, as described above, we may also be able to sell our common stock under the ATM agreement with Cowen subject to the terms of that agreement and depending on market conditions. We expect that we will require additional capital to fund our ongoing operations. Additional funds may not be available to us on a timely basis, on commercially reasonable terms, or at all. Our ability to raise additional capital may be adversely impacted by potential worsening global economic conditions and the recent disruptions to, and volatility in, the credit and financial markets in the United States and worldwide resulting from the ongoing COVID-19 pandemic. To the extent that we raise additional capital through the sale of equity or convertible debt securities, your ownership interest will be diluted, and the terms of these securities may include liquidation or other preferences that adversely affect your rights as a common stockholder. Debt financing and preferred equity financing, if available, may involve agreements that include covenants limiting or restricting our ability to take specific actions, such as incurring additional debt, making capital expenditures or declaring dividends.</w:t>
      </w:r>
    </w:p>
    <w:p>
      <w:pPr>
        <w:spacing w:after="0" w:line="70" w:lineRule="exact"/>
        <w:rPr>
          <w:sz w:val="20"/>
          <w:szCs w:val="20"/>
          <w:color w:val="auto"/>
        </w:rPr>
      </w:pPr>
    </w:p>
    <w:p>
      <w:pPr>
        <w:ind w:firstLine="509"/>
        <w:spacing w:after="0" w:line="290" w:lineRule="auto"/>
        <w:rPr>
          <w:sz w:val="20"/>
          <w:szCs w:val="20"/>
          <w:color w:val="auto"/>
        </w:rPr>
      </w:pPr>
      <w:r>
        <w:rPr>
          <w:rFonts w:ascii="Arial" w:cs="Arial" w:eastAsia="Arial" w:hAnsi="Arial"/>
          <w:sz w:val="17"/>
          <w:szCs w:val="17"/>
          <w:color w:val="auto"/>
        </w:rPr>
        <w:t>If we raise funds through additional collaborations, strategic alliances or marketing, distribution or licensing arrangements with third parties, including any future collaboration or licensing arrangement for XIPERE outside of the territories in which we have previously licensed or granted options to license XIPERE, we may be required to relinquish additional rights to our technologies, future revenue streams, research programs or product candidates or to grant licenses on terms that may not be favorable to us. If we are unable to raise additional funds through equity or debt financings when needed, we may be required to delay, limit, reduce or terminate our drug development or future commercialization efforts or grant rights to develop and market product candidates that we would otherwise prefer to develop and market ourselves.</w:t>
      </w:r>
    </w:p>
    <w:p>
      <w:pPr>
        <w:spacing w:after="0" w:line="68" w:lineRule="exact"/>
        <w:rPr>
          <w:sz w:val="20"/>
          <w:szCs w:val="20"/>
          <w:color w:val="auto"/>
        </w:rPr>
      </w:pPr>
    </w:p>
    <w:p>
      <w:pPr>
        <w:jc w:val="both"/>
        <w:ind w:right="600" w:firstLine="509"/>
        <w:spacing w:after="0" w:line="279" w:lineRule="auto"/>
        <w:rPr>
          <w:sz w:val="20"/>
          <w:szCs w:val="20"/>
          <w:color w:val="auto"/>
        </w:rPr>
      </w:pPr>
      <w:r>
        <w:rPr>
          <w:rFonts w:ascii="Arial" w:cs="Arial" w:eastAsia="Arial" w:hAnsi="Arial"/>
          <w:sz w:val="18"/>
          <w:szCs w:val="18"/>
          <w:color w:val="auto"/>
        </w:rPr>
        <w:t>We also incur costs as a public company, including costs and expenses for fees to members of our board of directors, accounting and finance personnel costs, directors and officers insurance premiums, audit and legal fees, investor relations fees and expenses for compliance with reporting requirements under the Exchange Act and rules implemented by the SEC and Nasdaq.</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Outlook</w:t>
      </w:r>
    </w:p>
    <w:p>
      <w:pPr>
        <w:spacing w:after="0" w:line="131" w:lineRule="exact"/>
        <w:rPr>
          <w:sz w:val="20"/>
          <w:szCs w:val="20"/>
          <w:color w:val="auto"/>
        </w:rPr>
      </w:pPr>
    </w:p>
    <w:p>
      <w:pPr>
        <w:ind w:right="40" w:firstLine="509"/>
        <w:spacing w:after="0" w:line="266" w:lineRule="auto"/>
        <w:rPr>
          <w:sz w:val="20"/>
          <w:szCs w:val="20"/>
          <w:color w:val="auto"/>
        </w:rPr>
      </w:pPr>
      <w:r>
        <w:rPr>
          <w:rFonts w:ascii="Arial" w:cs="Arial" w:eastAsia="Arial" w:hAnsi="Arial"/>
          <w:sz w:val="18"/>
          <w:szCs w:val="18"/>
          <w:color w:val="auto"/>
        </w:rPr>
        <w:t>We have suffered recurring losses and negative cash flows from operations since inception and anticipate incurring additional losses until such time, if ever, that we can obtain FDA approval to market and then generate significant milestone payments and</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22" w:name="page23"/>
    <w:bookmarkEnd w:id="22"/>
    <w:p>
      <w:pPr>
        <w:ind w:right="660"/>
        <w:spacing w:after="0" w:line="279" w:lineRule="auto"/>
        <w:rPr>
          <w:sz w:val="20"/>
          <w:szCs w:val="20"/>
          <w:color w:val="auto"/>
        </w:rPr>
      </w:pPr>
      <w:r>
        <w:rPr>
          <w:rFonts w:ascii="Arial" w:cs="Arial" w:eastAsia="Arial" w:hAnsi="Arial"/>
          <w:sz w:val="18"/>
          <w:szCs w:val="18"/>
          <w:color w:val="auto"/>
        </w:rPr>
        <w:t>royalties from XIPERE and other licensing arrangements or revenues from other product candidates. We will need additional financing to fund our operations. Our plans primarily consist of raising additional capital, potentially in a combination of equity or debt financings or restructurings, or potentially entering into additional collaborations, partnerships and other strategic arrangements.</w:t>
      </w:r>
    </w:p>
    <w:p>
      <w:pPr>
        <w:spacing w:after="0" w:line="75" w:lineRule="exact"/>
        <w:rPr>
          <w:sz w:val="20"/>
          <w:szCs w:val="20"/>
          <w:color w:val="auto"/>
        </w:rPr>
      </w:pPr>
    </w:p>
    <w:p>
      <w:pPr>
        <w:ind w:right="60" w:firstLine="509"/>
        <w:spacing w:after="0" w:line="314" w:lineRule="auto"/>
        <w:rPr>
          <w:sz w:val="20"/>
          <w:szCs w:val="20"/>
          <w:color w:val="auto"/>
        </w:rPr>
      </w:pPr>
      <w:r>
        <w:rPr>
          <w:rFonts w:ascii="Arial" w:cs="Arial" w:eastAsia="Arial" w:hAnsi="Arial"/>
          <w:sz w:val="16"/>
          <w:szCs w:val="16"/>
          <w:color w:val="auto"/>
        </w:rPr>
        <w:t>Based on our current plans and forecasted expenses, we expect that our cash and cash equivalents as of the filing date, November 10, 2021, will enable us to fund our planned operating expenses and capital expenditure requirements into 2023. This estimate assumes receipt of the $9.0 million of milestone payments that we are entitled receive from our licensees as a result of FDA approval of XIPERE. In addition, the estimate assumes receipt of the $10.0 million milestone payment that we are entitled to receive from Bausch upon completion of pre-launch activities for XIPERE. We have based this estimate on assumptions that may prove to be wrong, and we could exhaust our capital resources sooner than we expect.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3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is a summary of the net cash flows provided by (used in) our operating, investing and financing activities (in thousands):</w:t>
      </w:r>
    </w:p>
    <w:p>
      <w:pPr>
        <w:spacing w:after="0" w:line="131" w:lineRule="exact"/>
        <w:rPr>
          <w:sz w:val="20"/>
          <w:szCs w:val="20"/>
          <w:color w:val="auto"/>
        </w:rPr>
      </w:pPr>
    </w:p>
    <w:p>
      <w:pPr>
        <w:jc w:val="center"/>
        <w:ind w:left="7520"/>
        <w:spacing w:after="0"/>
        <w:rPr>
          <w:sz w:val="20"/>
          <w:szCs w:val="20"/>
          <w:color w:val="auto"/>
        </w:rPr>
      </w:pPr>
      <w:r>
        <w:rPr>
          <w:rFonts w:ascii="Arial" w:cs="Arial" w:eastAsia="Arial" w:hAnsi="Arial"/>
          <w:sz w:val="16"/>
          <w:szCs w:val="16"/>
          <w:b w:val="1"/>
          <w:bCs w:val="1"/>
          <w:color w:val="auto"/>
        </w:rPr>
        <w:t>Nine Months Ended</w:t>
      </w:r>
    </w:p>
    <w:p>
      <w:pPr>
        <w:spacing w:after="0" w:line="26" w:lineRule="exact"/>
        <w:rPr>
          <w:sz w:val="20"/>
          <w:szCs w:val="20"/>
          <w:color w:val="auto"/>
        </w:rPr>
      </w:pPr>
    </w:p>
    <w:p>
      <w:pPr>
        <w:jc w:val="center"/>
        <w:ind w:left="7520"/>
        <w:spacing w:after="0"/>
        <w:rPr>
          <w:sz w:val="20"/>
          <w:szCs w:val="20"/>
          <w:color w:val="auto"/>
        </w:rPr>
      </w:pPr>
      <w:r>
        <w:rPr>
          <w:rFonts w:ascii="Arial" w:cs="Arial" w:eastAsia="Arial" w:hAnsi="Arial"/>
          <w:sz w:val="16"/>
          <w:szCs w:val="16"/>
          <w:b w:val="1"/>
          <w:bCs w:val="1"/>
          <w:color w:val="auto"/>
        </w:rPr>
        <w:t>September 30,</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7640" w:type="dxa"/>
            <w:vAlign w:val="bottom"/>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600" w:type="dxa"/>
            <w:vAlign w:val="bottom"/>
            <w:tcBorders>
              <w:top w:val="single" w:sz="8" w:color="auto"/>
              <w:bottom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ind w:right="552"/>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20"/>
                <w:szCs w:val="20"/>
                <w:color w:val="auto"/>
              </w:rPr>
            </w:pPr>
          </w:p>
        </w:tc>
      </w:tr>
      <w:tr>
        <w:trPr>
          <w:trHeight w:val="256"/>
        </w:trPr>
        <w:tc>
          <w:tcPr>
            <w:tcW w:w="7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cash (used in) provided by:</w:t>
            </w:r>
          </w:p>
        </w:tc>
        <w:tc>
          <w:tcPr>
            <w:tcW w:w="1020" w:type="dxa"/>
            <w:vAlign w:val="bottom"/>
            <w:shd w:val="clear" w:color="auto" w:fill="CFF0FC"/>
          </w:tcPr>
          <w:p>
            <w:pPr>
              <w:spacing w:after="0"/>
              <w:rPr>
                <w:sz w:val="22"/>
                <w:szCs w:val="22"/>
                <w:color w:val="auto"/>
              </w:rPr>
            </w:pPr>
          </w:p>
        </w:tc>
        <w:tc>
          <w:tcPr>
            <w:tcW w:w="60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124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7640" w:type="dxa"/>
            <w:vAlign w:val="bottom"/>
          </w:tcPr>
          <w:p>
            <w:pPr>
              <w:ind w:left="200"/>
              <w:spacing w:after="0"/>
              <w:rPr>
                <w:sz w:val="20"/>
                <w:szCs w:val="20"/>
                <w:color w:val="auto"/>
              </w:rPr>
            </w:pPr>
            <w:r>
              <w:rPr>
                <w:rFonts w:ascii="Arial" w:cs="Arial" w:eastAsia="Arial" w:hAnsi="Arial"/>
                <w:sz w:val="18"/>
                <w:szCs w:val="18"/>
                <w:color w:val="auto"/>
              </w:rPr>
              <w:t>Operating activities</w:t>
            </w:r>
          </w:p>
        </w:tc>
        <w:tc>
          <w:tcPr>
            <w:tcW w:w="1020" w:type="dxa"/>
            <w:vAlign w:val="bottom"/>
          </w:tcPr>
          <w:p>
            <w:pPr>
              <w:jc w:val="right"/>
              <w:ind w:right="813"/>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(15,787 )</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(8,684 )</w:t>
            </w:r>
          </w:p>
        </w:tc>
      </w:tr>
      <w:tr>
        <w:trPr>
          <w:trHeight w:val="263"/>
        </w:trPr>
        <w:tc>
          <w:tcPr>
            <w:tcW w:w="76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Investing activities</w:t>
            </w:r>
          </w:p>
        </w:tc>
        <w:tc>
          <w:tcPr>
            <w:tcW w:w="1020" w:type="dxa"/>
            <w:vAlign w:val="bottom"/>
            <w:shd w:val="clear" w:color="auto" w:fill="CFF0FC"/>
          </w:tcPr>
          <w:p>
            <w:pPr>
              <w:spacing w:after="0"/>
              <w:rPr>
                <w:sz w:val="22"/>
                <w:szCs w:val="22"/>
                <w:color w:val="auto"/>
              </w:rPr>
            </w:pPr>
          </w:p>
        </w:tc>
        <w:tc>
          <w:tcPr>
            <w:tcW w:w="8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22"/>
                <w:szCs w:val="22"/>
                <w:color w:val="auto"/>
              </w:rPr>
            </w:pPr>
          </w:p>
        </w:tc>
        <w:tc>
          <w:tcPr>
            <w:tcW w:w="1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(55 )</w:t>
            </w:r>
          </w:p>
        </w:tc>
      </w:tr>
      <w:tr>
        <w:trPr>
          <w:trHeight w:val="250"/>
        </w:trPr>
        <w:tc>
          <w:tcPr>
            <w:tcW w:w="7640" w:type="dxa"/>
            <w:vAlign w:val="bottom"/>
          </w:tcPr>
          <w:p>
            <w:pPr>
              <w:ind w:left="200"/>
              <w:spacing w:after="0"/>
              <w:rPr>
                <w:sz w:val="20"/>
                <w:szCs w:val="20"/>
                <w:color w:val="auto"/>
              </w:rPr>
            </w:pPr>
            <w:r>
              <w:rPr>
                <w:rFonts w:ascii="Arial" w:cs="Arial" w:eastAsia="Arial" w:hAnsi="Arial"/>
                <w:sz w:val="18"/>
                <w:szCs w:val="18"/>
                <w:color w:val="auto"/>
              </w:rPr>
              <w:t>Financing activities</w:t>
            </w:r>
          </w:p>
        </w:tc>
        <w:tc>
          <w:tcPr>
            <w:tcW w:w="102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23,617</w:t>
            </w:r>
          </w:p>
        </w:tc>
        <w:tc>
          <w:tcPr>
            <w:tcW w:w="28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983</w:t>
            </w:r>
          </w:p>
        </w:tc>
        <w:tc>
          <w:tcPr>
            <w:tcW w:w="100" w:type="dxa"/>
            <w:vAlign w:val="bottom"/>
          </w:tcPr>
          <w:p>
            <w:pPr>
              <w:spacing w:after="0"/>
              <w:rPr>
                <w:sz w:val="21"/>
                <w:szCs w:val="21"/>
                <w:color w:val="auto"/>
              </w:rPr>
            </w:pPr>
          </w:p>
        </w:tc>
      </w:tr>
      <w:tr>
        <w:trPr>
          <w:trHeight w:val="270"/>
        </w:trPr>
        <w:tc>
          <w:tcPr>
            <w:tcW w:w="7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change in cash and cash equivalents</w:t>
            </w:r>
          </w:p>
        </w:tc>
        <w:tc>
          <w:tcPr>
            <w:tcW w:w="1020" w:type="dxa"/>
            <w:vAlign w:val="bottom"/>
            <w:shd w:val="clear" w:color="auto" w:fill="CFF0FC"/>
          </w:tcPr>
          <w:p>
            <w:pPr>
              <w:jc w:val="right"/>
              <w:ind w:right="813"/>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7,830</w:t>
            </w:r>
          </w:p>
        </w:tc>
        <w:tc>
          <w:tcPr>
            <w:tcW w:w="280" w:type="dxa"/>
            <w:vAlign w:val="bottom"/>
            <w:shd w:val="clear" w:color="auto" w:fill="CFF0FC"/>
          </w:tcPr>
          <w:p>
            <w:pPr>
              <w:spacing w:after="0"/>
              <w:rPr>
                <w:sz w:val="23"/>
                <w:szCs w:val="23"/>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(7,756 )</w:t>
            </w:r>
          </w:p>
        </w:tc>
      </w:tr>
      <w:tr>
        <w:trPr>
          <w:trHeight w:val="20"/>
        </w:trPr>
        <w:tc>
          <w:tcPr>
            <w:tcW w:w="7640" w:type="dxa"/>
            <w:vAlign w:val="bottom"/>
            <w:tcBorders>
              <w:top w:val="single" w:sz="8" w:color="CFF0FC"/>
            </w:tcBorders>
            <w:shd w:val="clear" w:color="auto" w:fill="CFF0FC"/>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5876925</wp:posOffset>
            </wp:positionH>
            <wp:positionV relativeFrom="paragraph">
              <wp:posOffset>-24765</wp:posOffset>
            </wp:positionV>
            <wp:extent cx="18034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8034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-7620</wp:posOffset>
            </wp:positionV>
            <wp:extent cx="18034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8034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87" w:lineRule="exact"/>
        <w:rPr>
          <w:sz w:val="20"/>
          <w:szCs w:val="20"/>
          <w:color w:val="auto"/>
        </w:rPr>
      </w:pPr>
    </w:p>
    <w:p>
      <w:pPr>
        <w:ind w:right="100" w:firstLine="509"/>
        <w:spacing w:after="0" w:line="272" w:lineRule="auto"/>
        <w:rPr>
          <w:sz w:val="20"/>
          <w:szCs w:val="20"/>
          <w:color w:val="auto"/>
        </w:rPr>
      </w:pPr>
      <w:r>
        <w:rPr>
          <w:rFonts w:ascii="Arial" w:cs="Arial" w:eastAsia="Arial" w:hAnsi="Arial"/>
          <w:sz w:val="18"/>
          <w:szCs w:val="18"/>
          <w:color w:val="auto"/>
        </w:rPr>
        <w:t>During the nine months ended September 30, 2021 and 2020, our operating activities used net cash of $15.8 million and $8.7 million, respectively. The use of cash in each period primarily resulted from our net losses. The increase in net loss to $18.3 million for the nine months ended September 30, 2021 as compared to $11.1 million for the nine months ended September 30, 2020 was primarily attributable to higher research and development expenses related to the preclinical and clinical CLS-AX program in the nine months ended September 30, 2021 and higher license revenue in the nine months ended September 30, 2020.</w:t>
      </w:r>
    </w:p>
    <w:p>
      <w:pPr>
        <w:spacing w:after="0" w:line="83" w:lineRule="exact"/>
        <w:rPr>
          <w:sz w:val="20"/>
          <w:szCs w:val="20"/>
          <w:color w:val="auto"/>
        </w:rPr>
      </w:pPr>
    </w:p>
    <w:p>
      <w:pPr>
        <w:ind w:left="520"/>
        <w:spacing w:after="0"/>
        <w:rPr>
          <w:sz w:val="20"/>
          <w:szCs w:val="20"/>
          <w:color w:val="auto"/>
        </w:rPr>
      </w:pPr>
      <w:r>
        <w:rPr>
          <w:rFonts w:ascii="Arial" w:cs="Arial" w:eastAsia="Arial" w:hAnsi="Arial"/>
          <w:sz w:val="17"/>
          <w:szCs w:val="17"/>
          <w:color w:val="auto"/>
        </w:rPr>
        <w:t>During the nine months ended September 30, 2020, our net cash used in investing activities was $55,000, due to the purchase of equipment.</w:t>
      </w:r>
    </w:p>
    <w:p>
      <w:pPr>
        <w:spacing w:after="0" w:line="142" w:lineRule="exact"/>
        <w:rPr>
          <w:sz w:val="20"/>
          <w:szCs w:val="20"/>
          <w:color w:val="auto"/>
        </w:rPr>
      </w:pPr>
    </w:p>
    <w:p>
      <w:pPr>
        <w:ind w:left="520"/>
        <w:spacing w:after="0"/>
        <w:rPr>
          <w:sz w:val="20"/>
          <w:szCs w:val="20"/>
          <w:color w:val="auto"/>
        </w:rPr>
      </w:pPr>
      <w:r>
        <w:rPr>
          <w:rFonts w:ascii="Arial" w:cs="Arial" w:eastAsia="Arial" w:hAnsi="Arial"/>
          <w:sz w:val="17"/>
          <w:szCs w:val="17"/>
          <w:color w:val="auto"/>
        </w:rPr>
        <w:t>During the nine months ended September 30, 2021 our net cash provided by financing activities was $23.6 million. This primarily consisted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$11.1 million of net proceeds from the sale of shares of our common stock in a registered direct offering and $12.2 million of net proceeds from the sale of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shares of our common stock under the ATM agreement. During the nine months ended September 30, 2020, our net cash provided by financing activities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consisted of $5.1 million of net proceeds from the sale of shares of our common stock under the ATM agreement and $1.0 million of proceeds from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PPP Loan, partially offset by a payment of $5.3 million under our credit facility.</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35" w:lineRule="exact"/>
        <w:rPr>
          <w:sz w:val="20"/>
          <w:szCs w:val="20"/>
          <w:color w:val="auto"/>
        </w:rPr>
      </w:pPr>
    </w:p>
    <w:p>
      <w:pPr>
        <w:ind w:left="520"/>
        <w:spacing w:after="0"/>
        <w:rPr>
          <w:sz w:val="20"/>
          <w:szCs w:val="20"/>
          <w:color w:val="auto"/>
        </w:rPr>
      </w:pPr>
      <w:r>
        <w:rPr>
          <w:rFonts w:ascii="Arial" w:cs="Arial" w:eastAsia="Arial" w:hAnsi="Arial"/>
          <w:sz w:val="16"/>
          <w:szCs w:val="16"/>
          <w:color w:val="auto"/>
        </w:rPr>
        <w:t>We did not have during the periods presented, and we do not currently have, any off-balance sheet arrangements, as defined under SEC rules.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35" w:lineRule="exact"/>
        <w:rPr>
          <w:sz w:val="20"/>
          <w:szCs w:val="20"/>
          <w:color w:val="auto"/>
        </w:rPr>
      </w:pPr>
    </w:p>
    <w:p>
      <w:pPr>
        <w:ind w:left="520"/>
        <w:spacing w:after="0"/>
        <w:rPr>
          <w:sz w:val="20"/>
          <w:szCs w:val="20"/>
          <w:color w:val="auto"/>
        </w:rPr>
      </w:pPr>
      <w:r>
        <w:rPr>
          <w:rFonts w:ascii="Arial" w:cs="Arial" w:eastAsia="Arial" w:hAnsi="Arial"/>
          <w:sz w:val="16"/>
          <w:szCs w:val="16"/>
          <w:color w:val="auto"/>
        </w:rPr>
        <w:t>See Item 1, “Financial Statements – Note 2, Significant Accounting Policies” for a discussion of recent accounting pronouncements and their effect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on us.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35" w:lineRule="exact"/>
        <w:rPr>
          <w:sz w:val="20"/>
          <w:szCs w:val="20"/>
          <w:color w:val="auto"/>
        </w:rPr>
      </w:pPr>
    </w:p>
    <w:p>
      <w:pPr>
        <w:ind w:right="220" w:firstLine="509"/>
        <w:spacing w:after="0" w:line="293" w:lineRule="auto"/>
        <w:rPr>
          <w:sz w:val="20"/>
          <w:szCs w:val="20"/>
          <w:color w:val="auto"/>
        </w:rPr>
      </w:pPr>
      <w:r>
        <w:rPr>
          <w:rFonts w:ascii="Arial" w:cs="Arial" w:eastAsia="Arial" w:hAnsi="Arial"/>
          <w:sz w:val="18"/>
          <w:szCs w:val="18"/>
          <w:color w:val="auto"/>
        </w:rPr>
        <w:t>We are a smaller reporting company as defined by Rule 12b-2 of the Exchange Act and are not required to provide the information required under this item.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31" w:lineRule="exact"/>
        <w:rPr>
          <w:sz w:val="20"/>
          <w:szCs w:val="20"/>
          <w:color w:val="auto"/>
        </w:rPr>
      </w:pPr>
    </w:p>
    <w:p>
      <w:pPr>
        <w:ind w:right="20" w:firstLine="509"/>
        <w:spacing w:after="0" w:line="266" w:lineRule="auto"/>
        <w:rPr>
          <w:sz w:val="20"/>
          <w:szCs w:val="20"/>
          <w:color w:val="auto"/>
        </w:rPr>
      </w:pPr>
      <w:r>
        <w:rPr>
          <w:rFonts w:ascii="Arial" w:cs="Arial" w:eastAsia="Arial" w:hAnsi="Arial"/>
          <w:sz w:val="18"/>
          <w:szCs w:val="18"/>
          <w:color w:val="auto"/>
        </w:rPr>
        <w:t>The term “disclosure controls and procedures,” as defined in Rules 13a-15(e) and 15d-15(e) under the Securities Exchange Act of 1934, as amended (the “Exchange Act”), refers to controls and procedures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such information is accumulated and communicated to a company’s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23" w:name="page24"/>
    <w:bookmarkEnd w:id="23"/>
    <w:p>
      <w:pPr>
        <w:spacing w:after="0"/>
        <w:rPr>
          <w:sz w:val="20"/>
          <w:szCs w:val="20"/>
          <w:color w:val="auto"/>
        </w:rPr>
      </w:pPr>
      <w:r>
        <w:rPr>
          <w:rFonts w:ascii="Arial" w:cs="Arial" w:eastAsia="Arial" w:hAnsi="Arial"/>
          <w:sz w:val="17"/>
          <w:szCs w:val="17"/>
          <w:color w:val="auto"/>
        </w:rPr>
        <w:t>management, including its principal executive and principal financial officers, as appropriate to allow timely decisions regarding required disclosure.</w:t>
      </w:r>
    </w:p>
    <w:p>
      <w:pPr>
        <w:spacing w:after="0" w:line="142" w:lineRule="exact"/>
        <w:rPr>
          <w:sz w:val="20"/>
          <w:szCs w:val="20"/>
          <w:color w:val="auto"/>
        </w:rPr>
      </w:pPr>
    </w:p>
    <w:p>
      <w:pPr>
        <w:ind w:firstLine="509"/>
        <w:spacing w:after="0" w:line="309" w:lineRule="auto"/>
        <w:rPr>
          <w:sz w:val="20"/>
          <w:szCs w:val="20"/>
          <w:color w:val="auto"/>
        </w:rPr>
      </w:pPr>
      <w:r>
        <w:rPr>
          <w:rFonts w:ascii="Arial" w:cs="Arial" w:eastAsia="Arial" w:hAnsi="Arial"/>
          <w:sz w:val="16"/>
          <w:szCs w:val="16"/>
          <w:color w:val="auto"/>
        </w:rPr>
        <w:t>In designing and evaluating our disclosure controls and procedures, management recognizes that disclosure controls and procedures, no matter how well conceived and operated, can provide only reasonable, not absolute, assurance that the objectives of the disclosure controls and procedures are met. Additionally, in designing disclosure controls and procedures, our management necessarily was required to apply its judgment in evaluating the cost-benefit relationship of possible disclosure controls and procedures.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control system, misstatements due to error or fraud may occur and not be detected.</w:t>
      </w:r>
    </w:p>
    <w:p>
      <w:pPr>
        <w:spacing w:after="0" w:line="56" w:lineRule="exact"/>
        <w:rPr>
          <w:sz w:val="20"/>
          <w:szCs w:val="20"/>
          <w:color w:val="auto"/>
        </w:rPr>
      </w:pPr>
    </w:p>
    <w:p>
      <w:pPr>
        <w:ind w:right="200" w:firstLine="509"/>
        <w:spacing w:after="0" w:line="275" w:lineRule="auto"/>
        <w:rPr>
          <w:sz w:val="20"/>
          <w:szCs w:val="20"/>
          <w:color w:val="auto"/>
        </w:rPr>
      </w:pPr>
      <w:r>
        <w:rPr>
          <w:rFonts w:ascii="Arial" w:cs="Arial" w:eastAsia="Arial" w:hAnsi="Arial"/>
          <w:sz w:val="18"/>
          <w:szCs w:val="18"/>
          <w:color w:val="auto"/>
        </w:rPr>
        <w:t>Our management, with the participation of our Chief Executive Officer and our Chief Financial Officer, has evaluated the effectiveness of our disclosure controls and procedures as of the end of the period covered by this report. Based on that evaluation, our Chief Executive Officer and our Chief Financial Officer concluded that our disclosure controls and procedures were effective as of the end of the period covered by this report at the reasonable assurance level.</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31" w:lineRule="exact"/>
        <w:rPr>
          <w:sz w:val="20"/>
          <w:szCs w:val="20"/>
          <w:color w:val="auto"/>
        </w:rPr>
      </w:pPr>
    </w:p>
    <w:p>
      <w:pPr>
        <w:ind w:right="20" w:firstLine="509"/>
        <w:spacing w:after="0" w:line="299" w:lineRule="auto"/>
        <w:rPr>
          <w:sz w:val="20"/>
          <w:szCs w:val="20"/>
          <w:color w:val="auto"/>
        </w:rPr>
      </w:pPr>
      <w:r>
        <w:rPr>
          <w:rFonts w:ascii="Arial" w:cs="Arial" w:eastAsia="Arial" w:hAnsi="Arial"/>
          <w:sz w:val="16"/>
          <w:szCs w:val="16"/>
          <w:color w:val="auto"/>
        </w:rPr>
        <w:t>There has been no change in our internal control over financial reporting during the quarter ended September 30, 2021 that has materially affected, or is reasonably likely to materially affect, our internal control over financial reporting. We have not experienced any material impact to our internal control over financial reporting. However, we continue to monitor and assess the potential impact of the COVID-19 pandemic on our control environment.</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24" w:name="page25"/>
    <w:bookmarkEnd w:id="24"/>
    <w:p>
      <w:pPr>
        <w:jc w:val="center"/>
        <w:ind w:right="-19"/>
        <w:spacing w:after="0"/>
        <w:rPr>
          <w:sz w:val="20"/>
          <w:szCs w:val="20"/>
          <w:color w:val="auto"/>
        </w:rPr>
      </w:pPr>
      <w:r>
        <w:rPr>
          <w:rFonts w:ascii="Arial" w:cs="Arial" w:eastAsia="Arial" w:hAnsi="Arial"/>
          <w:sz w:val="18"/>
          <w:szCs w:val="18"/>
          <w:b w:val="1"/>
          <w:bCs w:val="1"/>
          <w:color w:val="auto"/>
        </w:rPr>
        <w:t>PART II – OTHER INFORMATION</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35"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8"/>
          <w:szCs w:val="18"/>
          <w:color w:val="auto"/>
        </w:rPr>
        <w:t>From time to time, we may be subject to litigation and claims arising in the ordinary course of business. We are not currently a party to any material legal proceedings and we are not aware of any pending or threatened legal proceeding against us that we believe could have a material adverse effect on our business, operating results, cash flows or financial condition.</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35" w:lineRule="exact"/>
        <w:rPr>
          <w:sz w:val="20"/>
          <w:szCs w:val="20"/>
          <w:color w:val="auto"/>
        </w:rPr>
      </w:pPr>
    </w:p>
    <w:p>
      <w:pPr>
        <w:ind w:right="60" w:firstLine="509"/>
        <w:spacing w:after="0" w:line="314" w:lineRule="auto"/>
        <w:rPr>
          <w:sz w:val="20"/>
          <w:szCs w:val="20"/>
          <w:color w:val="auto"/>
        </w:rPr>
      </w:pPr>
      <w:r>
        <w:rPr>
          <w:rFonts w:ascii="Arial" w:cs="Arial" w:eastAsia="Arial" w:hAnsi="Arial"/>
          <w:sz w:val="16"/>
          <w:szCs w:val="16"/>
          <w:color w:val="auto"/>
        </w:rPr>
        <w:t>Our business is subject to risks and events that, if they occur, could adversely affect our financial condition and results of operations and the trading price of our securities. These risks could be amplified by the COVID-19 pandemic and its potential impact on the global economy generally and our business and industry in particular. In addition to the other information set forth in this quarterly report on Form 10-Q, you should carefully consider the factors described below and in “Part I, Item 1A. Risk Factors” of our Annual Report on Form 10-K for the fiscal year ended December 31, 2020, filed with the Securities and Exchange Commission on March 15, 2021. There have been no material changes to the risk factors described in that report.</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of Unregistered Securities</w:t>
      </w:r>
    </w:p>
    <w:p>
      <w:pPr>
        <w:spacing w:after="0" w:line="13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Issuer Purchases of Equity Securities</w:t>
      </w:r>
    </w:p>
    <w:p>
      <w:pPr>
        <w:spacing w:after="0" w:line="13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34"/>
        </w:trPr>
        <w:tc>
          <w:tcPr>
            <w:tcW w:w="1240" w:type="dxa"/>
            <w:vAlign w:val="bottom"/>
            <w:gridSpan w:val="2"/>
          </w:tcPr>
          <w:p>
            <w:pPr>
              <w:spacing w:after="0"/>
              <w:rPr>
                <w:sz w:val="20"/>
                <w:szCs w:val="20"/>
                <w:color w:val="auto"/>
              </w:rPr>
            </w:pPr>
            <w:r>
              <w:rPr>
                <w:rFonts w:ascii="Arial" w:cs="Arial" w:eastAsia="Arial" w:hAnsi="Arial"/>
                <w:sz w:val="18"/>
                <w:szCs w:val="18"/>
                <w:b w:val="1"/>
                <w:bCs w:val="1"/>
                <w:color w:val="auto"/>
                <w:w w:val="92"/>
              </w:rPr>
              <w:t>Item 6. Exhibits</w:t>
            </w: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709"/>
        </w:trPr>
        <w:tc>
          <w:tcPr>
            <w:tcW w:w="1240" w:type="dxa"/>
            <w:vAlign w:val="bottom"/>
            <w:gridSpan w:val="2"/>
          </w:tcPr>
          <w:p>
            <w:pPr>
              <w:ind w:left="20"/>
              <w:spacing w:after="0"/>
              <w:rPr>
                <w:sz w:val="20"/>
                <w:szCs w:val="20"/>
                <w:color w:val="auto"/>
              </w:rPr>
            </w:pPr>
            <w:r>
              <w:rPr>
                <w:rFonts w:ascii="Arial" w:cs="Arial" w:eastAsia="Arial" w:hAnsi="Arial"/>
                <w:sz w:val="18"/>
                <w:szCs w:val="18"/>
                <w:color w:val="auto"/>
              </w:rPr>
              <w:t>Exhibit No.</w:t>
            </w:r>
          </w:p>
        </w:tc>
        <w:tc>
          <w:tcPr>
            <w:tcW w:w="10000" w:type="dxa"/>
            <w:vAlign w:val="bottom"/>
            <w:gridSpan w:val="16"/>
          </w:tcPr>
          <w:p>
            <w:pPr>
              <w:ind w:left="20"/>
              <w:spacing w:after="0"/>
              <w:rPr>
                <w:sz w:val="20"/>
                <w:szCs w:val="20"/>
                <w:color w:val="auto"/>
              </w:rPr>
            </w:pPr>
            <w:r>
              <w:rPr>
                <w:rFonts w:ascii="Arial" w:cs="Arial" w:eastAsia="Arial" w:hAnsi="Arial"/>
                <w:sz w:val="18"/>
                <w:szCs w:val="18"/>
                <w:color w:val="auto"/>
              </w:rPr>
              <w:t>Description</w:t>
            </w:r>
          </w:p>
        </w:tc>
      </w:tr>
      <w:tr>
        <w:trPr>
          <w:trHeight w:val="364"/>
        </w:trPr>
        <w:tc>
          <w:tcPr>
            <w:tcW w:w="11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4"/>
                <w:szCs w:val="24"/>
                <w:color w:val="auto"/>
              </w:rPr>
            </w:pPr>
          </w:p>
        </w:tc>
        <w:tc>
          <w:tcPr>
            <w:tcW w:w="9940" w:type="dxa"/>
            <w:vAlign w:val="bottom"/>
            <w:tcBorders>
              <w:top w:val="single" w:sz="8" w:color="auto"/>
              <w:bottom w:val="single" w:sz="8" w:color="0000FF"/>
            </w:tcBorders>
            <w:gridSpan w:val="14"/>
          </w:tcPr>
          <w:p>
            <w:pPr>
              <w:ind w:left="20"/>
              <w:spacing w:after="0"/>
              <w:rPr>
                <w:rFonts w:ascii="Arial" w:cs="Arial" w:eastAsia="Arial" w:hAnsi="Arial"/>
                <w:sz w:val="18"/>
                <w:szCs w:val="18"/>
                <w:color w:val="0000FF"/>
                <w:w w:val="91"/>
              </w:rPr>
            </w:pPr>
            <w:hyperlink r:id="rId186">
              <w:r>
                <w:rPr>
                  <w:rFonts w:ascii="Arial" w:cs="Arial" w:eastAsia="Arial" w:hAnsi="Arial"/>
                  <w:sz w:val="18"/>
                  <w:szCs w:val="18"/>
                  <w:color w:val="0000FF"/>
                  <w:w w:val="91"/>
                </w:rPr>
                <w:t>Amended and Restated Certificate of Incorporation (incorporated herein by reference to Exhibit 3.1 to the Registrant’s Current Report on</w:t>
              </w:r>
            </w:hyperlink>
          </w:p>
        </w:tc>
        <w:tc>
          <w:tcPr>
            <w:tcW w:w="60" w:type="dxa"/>
            <w:vAlign w:val="bottom"/>
            <w:tcBorders>
              <w:top w:val="single" w:sz="8" w:color="auto"/>
            </w:tcBorders>
            <w:gridSpan w:val="2"/>
          </w:tcPr>
          <w:p>
            <w:pPr>
              <w:spacing w:after="0"/>
              <w:rPr>
                <w:sz w:val="24"/>
                <w:szCs w:val="24"/>
                <w:color w:val="auto"/>
              </w:rPr>
            </w:pPr>
          </w:p>
        </w:tc>
      </w:tr>
      <w:tr>
        <w:trPr>
          <w:trHeight w:val="210"/>
        </w:trPr>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980" w:type="dxa"/>
            <w:vAlign w:val="bottom"/>
            <w:tcBorders>
              <w:bottom w:val="single" w:sz="8" w:color="0000FF"/>
            </w:tcBorders>
            <w:gridSpan w:val="7"/>
          </w:tcPr>
          <w:p>
            <w:pPr>
              <w:ind w:left="20"/>
              <w:spacing w:after="0"/>
              <w:rPr>
                <w:rFonts w:ascii="Arial" w:cs="Arial" w:eastAsia="Arial" w:hAnsi="Arial"/>
                <w:sz w:val="18"/>
                <w:szCs w:val="18"/>
                <w:color w:val="0000FF"/>
                <w:w w:val="91"/>
              </w:rPr>
            </w:pPr>
            <w:hyperlink r:id="rId186">
              <w:r>
                <w:rPr>
                  <w:rFonts w:ascii="Arial" w:cs="Arial" w:eastAsia="Arial" w:hAnsi="Arial"/>
                  <w:sz w:val="18"/>
                  <w:szCs w:val="18"/>
                  <w:color w:val="0000FF"/>
                  <w:w w:val="91"/>
                </w:rPr>
                <w:t>Form 8-K (File No. 001-37783) filed with the SEC on June 7, 2016).</w:t>
              </w:r>
            </w:hyperlink>
          </w:p>
        </w:tc>
        <w:tc>
          <w:tcPr>
            <w:tcW w:w="20" w:type="dxa"/>
            <w:vAlign w:val="bottom"/>
            <w:tcBorders>
              <w:bottom w:val="single" w:sz="8" w:color="0000EE"/>
            </w:tcBorders>
          </w:tcPr>
          <w:p>
            <w:pPr>
              <w:spacing w:after="0"/>
              <w:rPr>
                <w:sz w:val="18"/>
                <w:szCs w:val="18"/>
                <w:color w:val="auto"/>
              </w:rPr>
            </w:pPr>
          </w:p>
        </w:tc>
        <w:tc>
          <w:tcPr>
            <w:tcW w:w="5000" w:type="dxa"/>
            <w:vAlign w:val="bottom"/>
            <w:gridSpan w:val="8"/>
          </w:tcPr>
          <w:p>
            <w:pPr>
              <w:spacing w:after="0"/>
              <w:rPr>
                <w:sz w:val="18"/>
                <w:szCs w:val="18"/>
                <w:color w:val="auto"/>
              </w:rPr>
            </w:pPr>
          </w:p>
        </w:tc>
      </w:tr>
      <w:tr>
        <w:trPr>
          <w:trHeight w:val="398"/>
        </w:trPr>
        <w:tc>
          <w:tcPr>
            <w:tcW w:w="1120" w:type="dxa"/>
            <w:vAlign w:val="bottom"/>
          </w:tcPr>
          <w:p>
            <w:pPr>
              <w:ind w:left="2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4"/>
                <w:szCs w:val="24"/>
                <w:color w:val="auto"/>
              </w:rPr>
            </w:pPr>
          </w:p>
        </w:tc>
        <w:tc>
          <w:tcPr>
            <w:tcW w:w="9940" w:type="dxa"/>
            <w:vAlign w:val="bottom"/>
            <w:tcBorders>
              <w:bottom w:val="single" w:sz="8" w:color="0000FF"/>
            </w:tcBorders>
            <w:gridSpan w:val="14"/>
          </w:tcPr>
          <w:p>
            <w:pPr>
              <w:ind w:left="20"/>
              <w:spacing w:after="0"/>
              <w:rPr>
                <w:rFonts w:ascii="Arial" w:cs="Arial" w:eastAsia="Arial" w:hAnsi="Arial"/>
                <w:sz w:val="18"/>
                <w:szCs w:val="18"/>
                <w:color w:val="0000FF"/>
                <w:w w:val="91"/>
              </w:rPr>
            </w:pPr>
            <w:hyperlink r:id="rId187">
              <w:r>
                <w:rPr>
                  <w:rFonts w:ascii="Arial" w:cs="Arial" w:eastAsia="Arial" w:hAnsi="Arial"/>
                  <w:sz w:val="18"/>
                  <w:szCs w:val="18"/>
                  <w:color w:val="0000FF"/>
                  <w:w w:val="91"/>
                </w:rPr>
                <w:t>Amended and Restated Bylaws (incorporated herein by reference to Exhibit 3.2 to the Registrant’s Current Report on Form 8-K (File No.</w:t>
              </w:r>
            </w:hyperlink>
          </w:p>
        </w:tc>
        <w:tc>
          <w:tcPr>
            <w:tcW w:w="60" w:type="dxa"/>
            <w:vAlign w:val="bottom"/>
            <w:gridSpan w:val="2"/>
          </w:tcPr>
          <w:p>
            <w:pPr>
              <w:spacing w:after="0"/>
              <w:rPr>
                <w:sz w:val="24"/>
                <w:szCs w:val="24"/>
                <w:color w:val="auto"/>
              </w:rPr>
            </w:pPr>
          </w:p>
        </w:tc>
      </w:tr>
      <w:tr>
        <w:trPr>
          <w:trHeight w:val="209"/>
        </w:trPr>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20" w:type="dxa"/>
            <w:vAlign w:val="bottom"/>
            <w:tcBorders>
              <w:bottom w:val="single" w:sz="8" w:color="0000FF"/>
            </w:tcBorders>
            <w:gridSpan w:val="4"/>
          </w:tcPr>
          <w:p>
            <w:pPr>
              <w:ind w:left="20"/>
              <w:spacing w:after="0"/>
              <w:rPr>
                <w:rFonts w:ascii="Arial" w:cs="Arial" w:eastAsia="Arial" w:hAnsi="Arial"/>
                <w:sz w:val="18"/>
                <w:szCs w:val="18"/>
                <w:color w:val="0000FF"/>
                <w:w w:val="90"/>
              </w:rPr>
            </w:pPr>
            <w:hyperlink r:id="rId187">
              <w:r>
                <w:rPr>
                  <w:rFonts w:ascii="Arial" w:cs="Arial" w:eastAsia="Arial" w:hAnsi="Arial"/>
                  <w:sz w:val="18"/>
                  <w:szCs w:val="18"/>
                  <w:color w:val="0000FF"/>
                  <w:w w:val="90"/>
                </w:rPr>
                <w:t>001-37783) filed with the SEC on June 7, 2016).</w:t>
              </w:r>
            </w:hyperlink>
          </w:p>
        </w:tc>
        <w:tc>
          <w:tcPr>
            <w:tcW w:w="20" w:type="dxa"/>
            <w:vAlign w:val="bottom"/>
            <w:tcBorders>
              <w:bottom w:val="single" w:sz="8" w:color="0000EE"/>
            </w:tcBorders>
          </w:tcPr>
          <w:p>
            <w:pPr>
              <w:spacing w:after="0"/>
              <w:rPr>
                <w:sz w:val="18"/>
                <w:szCs w:val="18"/>
                <w:color w:val="auto"/>
              </w:rPr>
            </w:pPr>
          </w:p>
        </w:tc>
        <w:tc>
          <w:tcPr>
            <w:tcW w:w="6460" w:type="dxa"/>
            <w:vAlign w:val="bottom"/>
            <w:gridSpan w:val="11"/>
          </w:tcPr>
          <w:p>
            <w:pPr>
              <w:spacing w:after="0"/>
              <w:rPr>
                <w:sz w:val="18"/>
                <w:szCs w:val="18"/>
                <w:color w:val="auto"/>
              </w:rPr>
            </w:pPr>
          </w:p>
        </w:tc>
      </w:tr>
      <w:tr>
        <w:trPr>
          <w:trHeight w:val="399"/>
        </w:trPr>
        <w:tc>
          <w:tcPr>
            <w:tcW w:w="1120" w:type="dxa"/>
            <w:vAlign w:val="bottom"/>
          </w:tcPr>
          <w:p>
            <w:pPr>
              <w:ind w:left="20"/>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4"/>
                <w:szCs w:val="24"/>
                <w:color w:val="auto"/>
              </w:rPr>
            </w:pPr>
          </w:p>
        </w:tc>
        <w:tc>
          <w:tcPr>
            <w:tcW w:w="10000" w:type="dxa"/>
            <w:vAlign w:val="bottom"/>
            <w:gridSpan w:val="16"/>
          </w:tcPr>
          <w:p>
            <w:pPr>
              <w:ind w:left="20"/>
              <w:spacing w:after="0"/>
              <w:rPr>
                <w:rFonts w:ascii="Arial" w:cs="Arial" w:eastAsia="Arial" w:hAnsi="Arial"/>
                <w:sz w:val="18"/>
                <w:szCs w:val="18"/>
                <w:color w:val="0000FF"/>
                <w:w w:val="93"/>
              </w:rPr>
            </w:pPr>
            <w:hyperlink w:anchor="page28">
              <w:r>
                <w:rPr>
                  <w:rFonts w:ascii="Arial" w:cs="Arial" w:eastAsia="Arial" w:hAnsi="Arial"/>
                  <w:sz w:val="18"/>
                  <w:szCs w:val="18"/>
                  <w:color w:val="0000FF"/>
                  <w:w w:val="93"/>
                </w:rPr>
                <w:t>First Amendment to the License Agreement by and between the Registrant and Arctic Vision (Hong Kong) Limited, dated as of August</w:t>
              </w:r>
            </w:hyperlink>
          </w:p>
        </w:tc>
      </w:tr>
      <w:tr>
        <w:trPr>
          <w:trHeight w:val="209"/>
        </w:trPr>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Borders>
              <w:top w:val="single" w:sz="8" w:color="0000FF"/>
              <w:bottom w:val="single" w:sz="8" w:color="0000FF"/>
            </w:tcBorders>
          </w:tcPr>
          <w:p>
            <w:pPr>
              <w:ind w:left="20"/>
              <w:spacing w:after="0"/>
              <w:rPr>
                <w:rFonts w:ascii="Arial" w:cs="Arial" w:eastAsia="Arial" w:hAnsi="Arial"/>
                <w:sz w:val="18"/>
                <w:szCs w:val="18"/>
                <w:color w:val="0000FF"/>
                <w:w w:val="85"/>
              </w:rPr>
            </w:pPr>
            <w:hyperlink w:anchor="page28">
              <w:r>
                <w:rPr>
                  <w:rFonts w:ascii="Arial" w:cs="Arial" w:eastAsia="Arial" w:hAnsi="Arial"/>
                  <w:sz w:val="18"/>
                  <w:szCs w:val="18"/>
                  <w:color w:val="0000FF"/>
                  <w:w w:val="85"/>
                </w:rPr>
                <w:t>15, 2021.</w:t>
              </w:r>
            </w:hyperlink>
          </w:p>
        </w:tc>
        <w:tc>
          <w:tcPr>
            <w:tcW w:w="20" w:type="dxa"/>
            <w:vAlign w:val="bottom"/>
            <w:tcBorders>
              <w:top w:val="single" w:sz="8" w:color="0000FF"/>
              <w:bottom w:val="single" w:sz="8" w:color="0000EE"/>
            </w:tcBorders>
          </w:tcPr>
          <w:p>
            <w:pPr>
              <w:spacing w:after="0"/>
              <w:rPr>
                <w:sz w:val="18"/>
                <w:szCs w:val="18"/>
                <w:color w:val="auto"/>
              </w:rPr>
            </w:pPr>
          </w:p>
        </w:tc>
        <w:tc>
          <w:tcPr>
            <w:tcW w:w="720" w:type="dxa"/>
            <w:vAlign w:val="bottom"/>
            <w:tcBorders>
              <w:top w:val="single" w:sz="8" w:color="0000FF"/>
            </w:tcBorders>
          </w:tcPr>
          <w:p>
            <w:pPr>
              <w:spacing w:after="0"/>
              <w:rPr>
                <w:sz w:val="18"/>
                <w:szCs w:val="18"/>
                <w:color w:val="auto"/>
              </w:rPr>
            </w:pPr>
          </w:p>
        </w:tc>
        <w:tc>
          <w:tcPr>
            <w:tcW w:w="210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600" w:type="dxa"/>
            <w:vAlign w:val="bottom"/>
            <w:tcBorders>
              <w:top w:val="single" w:sz="8" w:color="0000FF"/>
            </w:tcBorders>
          </w:tcPr>
          <w:p>
            <w:pPr>
              <w:spacing w:after="0"/>
              <w:rPr>
                <w:sz w:val="18"/>
                <w:szCs w:val="18"/>
                <w:color w:val="auto"/>
              </w:rPr>
            </w:pPr>
          </w:p>
        </w:tc>
        <w:tc>
          <w:tcPr>
            <w:tcW w:w="84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146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2340" w:type="dxa"/>
            <w:vAlign w:val="bottom"/>
            <w:tcBorders>
              <w:top w:val="single" w:sz="8" w:color="0000FF"/>
            </w:tcBorders>
          </w:tcPr>
          <w:p>
            <w:pPr>
              <w:spacing w:after="0"/>
              <w:rPr>
                <w:sz w:val="18"/>
                <w:szCs w:val="18"/>
                <w:color w:val="auto"/>
              </w:rPr>
            </w:pPr>
          </w:p>
        </w:tc>
        <w:tc>
          <w:tcPr>
            <w:tcW w:w="600" w:type="dxa"/>
            <w:vAlign w:val="bottom"/>
            <w:tcBorders>
              <w:top w:val="single" w:sz="8" w:color="0000FF"/>
            </w:tcBorders>
          </w:tcPr>
          <w:p>
            <w:pPr>
              <w:spacing w:after="0"/>
              <w:rPr>
                <w:sz w:val="18"/>
                <w:szCs w:val="18"/>
                <w:color w:val="auto"/>
              </w:rPr>
            </w:pPr>
          </w:p>
        </w:tc>
        <w:tc>
          <w:tcPr>
            <w:tcW w:w="380" w:type="dxa"/>
            <w:vAlign w:val="bottom"/>
            <w:tcBorders>
              <w:top w:val="single" w:sz="8" w:color="0000FF"/>
            </w:tcBorders>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398"/>
        </w:trPr>
        <w:tc>
          <w:tcPr>
            <w:tcW w:w="1120" w:type="dxa"/>
            <w:vAlign w:val="bottom"/>
          </w:tcPr>
          <w:p>
            <w:pPr>
              <w:ind w:left="20"/>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4"/>
                <w:szCs w:val="24"/>
                <w:color w:val="auto"/>
              </w:rPr>
            </w:pPr>
          </w:p>
        </w:tc>
        <w:tc>
          <w:tcPr>
            <w:tcW w:w="9440" w:type="dxa"/>
            <w:vAlign w:val="bottom"/>
            <w:tcBorders>
              <w:bottom w:val="single" w:sz="8" w:color="0000FF"/>
            </w:tcBorders>
            <w:gridSpan w:val="12"/>
          </w:tcPr>
          <w:p>
            <w:pPr>
              <w:ind w:left="20"/>
              <w:spacing w:after="0"/>
              <w:rPr>
                <w:rFonts w:ascii="Arial" w:cs="Arial" w:eastAsia="Arial" w:hAnsi="Arial"/>
                <w:sz w:val="18"/>
                <w:szCs w:val="18"/>
                <w:color w:val="0000FF"/>
                <w:w w:val="91"/>
              </w:rPr>
            </w:pPr>
            <w:hyperlink w:anchor="page33">
              <w:r>
                <w:rPr>
                  <w:rFonts w:ascii="Arial" w:cs="Arial" w:eastAsia="Arial" w:hAnsi="Arial"/>
                  <w:sz w:val="18"/>
                  <w:szCs w:val="18"/>
                  <w:color w:val="0000FF"/>
                  <w:w w:val="91"/>
                </w:rPr>
                <w:t>Second Amendment to the License Agreement by and between the Registrant and Arctic Vision (Hong Kong) Limited, dated as of</w:t>
              </w:r>
            </w:hyperlink>
          </w:p>
        </w:tc>
        <w:tc>
          <w:tcPr>
            <w:tcW w:w="560" w:type="dxa"/>
            <w:vAlign w:val="bottom"/>
            <w:gridSpan w:val="4"/>
          </w:tcPr>
          <w:p>
            <w:pPr>
              <w:spacing w:after="0"/>
              <w:rPr>
                <w:sz w:val="24"/>
                <w:szCs w:val="24"/>
                <w:color w:val="auto"/>
              </w:rPr>
            </w:pPr>
          </w:p>
        </w:tc>
      </w:tr>
      <w:tr>
        <w:trPr>
          <w:trHeight w:val="209"/>
        </w:trPr>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0" w:type="dxa"/>
            <w:vAlign w:val="bottom"/>
            <w:gridSpan w:val="16"/>
          </w:tcPr>
          <w:p>
            <w:pPr>
              <w:ind w:left="20"/>
              <w:spacing w:after="0"/>
              <w:rPr>
                <w:rFonts w:ascii="Arial" w:cs="Arial" w:eastAsia="Arial" w:hAnsi="Arial"/>
                <w:sz w:val="18"/>
                <w:szCs w:val="18"/>
                <w:color w:val="0000FF"/>
              </w:rPr>
            </w:pPr>
            <w:hyperlink w:anchor="page33">
              <w:r>
                <w:rPr>
                  <w:rFonts w:ascii="Arial" w:cs="Arial" w:eastAsia="Arial" w:hAnsi="Arial"/>
                  <w:sz w:val="18"/>
                  <w:szCs w:val="18"/>
                  <w:color w:val="0000FF"/>
                </w:rPr>
                <w:t>September 9, 2021.</w:t>
              </w:r>
            </w:hyperlink>
          </w:p>
        </w:tc>
      </w:tr>
      <w:tr>
        <w:trPr>
          <w:trHeight w:val="20"/>
        </w:trPr>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right w:val="single" w:sz="8" w:color="0000EE"/>
            </w:tcBorders>
            <w:gridSpan w:val="3"/>
            <w:shd w:val="clear" w:color="auto" w:fill="0000FF"/>
          </w:tcPr>
          <w:p>
            <w:pPr>
              <w:spacing w:after="0" w:line="20" w:lineRule="exact"/>
              <w:rPr>
                <w:sz w:val="1"/>
                <w:szCs w:val="1"/>
                <w:color w:val="auto"/>
              </w:rPr>
            </w:pPr>
          </w:p>
        </w:tc>
        <w:tc>
          <w:tcPr>
            <w:tcW w:w="2720" w:type="dxa"/>
            <w:vAlign w:val="bottom"/>
            <w:gridSpan w:val="3"/>
          </w:tcPr>
          <w:p>
            <w:pPr>
              <w:spacing w:after="0" w:line="20" w:lineRule="exact"/>
              <w:rPr>
                <w:sz w:val="1"/>
                <w:szCs w:val="1"/>
                <w:color w:val="auto"/>
              </w:rPr>
            </w:pPr>
          </w:p>
        </w:tc>
        <w:tc>
          <w:tcPr>
            <w:tcW w:w="23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99"/>
        </w:trPr>
        <w:tc>
          <w:tcPr>
            <w:tcW w:w="1120" w:type="dxa"/>
            <w:vAlign w:val="bottom"/>
          </w:tcPr>
          <w:p>
            <w:pPr>
              <w:ind w:left="20"/>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24"/>
                <w:szCs w:val="24"/>
                <w:color w:val="auto"/>
              </w:rPr>
            </w:pPr>
          </w:p>
        </w:tc>
        <w:tc>
          <w:tcPr>
            <w:tcW w:w="9980" w:type="dxa"/>
            <w:vAlign w:val="bottom"/>
            <w:tcBorders>
              <w:bottom w:val="single" w:sz="8" w:color="0000FF"/>
            </w:tcBorders>
            <w:gridSpan w:val="15"/>
          </w:tcPr>
          <w:p>
            <w:pPr>
              <w:ind w:left="20"/>
              <w:spacing w:after="0"/>
              <w:rPr>
                <w:rFonts w:ascii="Arial" w:cs="Arial" w:eastAsia="Arial" w:hAnsi="Arial"/>
                <w:sz w:val="18"/>
                <w:szCs w:val="18"/>
                <w:color w:val="0000FF"/>
                <w:w w:val="90"/>
              </w:rPr>
            </w:pPr>
            <w:hyperlink w:anchor="page38">
              <w:r>
                <w:rPr>
                  <w:rFonts w:ascii="Arial" w:cs="Arial" w:eastAsia="Arial" w:hAnsi="Arial"/>
                  <w:sz w:val="18"/>
                  <w:szCs w:val="18"/>
                  <w:color w:val="0000FF"/>
                  <w:w w:val="90"/>
                </w:rPr>
                <w:t>Second Amendment to the License Agreement by and between the Registrant and Bausch + Lomb Ireland Limited (as assignee of Bausch</w:t>
              </w:r>
            </w:hyperlink>
          </w:p>
        </w:tc>
        <w:tc>
          <w:tcPr>
            <w:tcW w:w="20" w:type="dxa"/>
            <w:vAlign w:val="bottom"/>
          </w:tcPr>
          <w:p>
            <w:pPr>
              <w:spacing w:after="0"/>
              <w:rPr>
                <w:sz w:val="24"/>
                <w:szCs w:val="24"/>
                <w:color w:val="auto"/>
              </w:rPr>
            </w:pPr>
          </w:p>
        </w:tc>
      </w:tr>
      <w:tr>
        <w:trPr>
          <w:trHeight w:val="209"/>
        </w:trPr>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0" w:type="dxa"/>
            <w:vAlign w:val="bottom"/>
            <w:gridSpan w:val="16"/>
          </w:tcPr>
          <w:p>
            <w:pPr>
              <w:ind w:left="20"/>
              <w:spacing w:after="0"/>
              <w:rPr>
                <w:rFonts w:ascii="Arial" w:cs="Arial" w:eastAsia="Arial" w:hAnsi="Arial"/>
                <w:sz w:val="18"/>
                <w:szCs w:val="18"/>
                <w:color w:val="0000FF"/>
              </w:rPr>
            </w:pPr>
            <w:hyperlink w:anchor="page38">
              <w:r>
                <w:rPr>
                  <w:rFonts w:ascii="Arial" w:cs="Arial" w:eastAsia="Arial" w:hAnsi="Arial"/>
                  <w:sz w:val="18"/>
                  <w:szCs w:val="18"/>
                  <w:color w:val="0000FF"/>
                </w:rPr>
                <w:t>Health Ireland Limited), dated as of September 27, 2021.</w:t>
              </w:r>
            </w:hyperlink>
          </w:p>
        </w:tc>
      </w:tr>
      <w:tr>
        <w:trPr>
          <w:trHeight w:val="20"/>
        </w:trPr>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140" w:type="dxa"/>
            <w:vAlign w:val="bottom"/>
            <w:tcBorders>
              <w:right w:val="single" w:sz="8" w:color="0000EE"/>
            </w:tcBorders>
            <w:gridSpan w:val="6"/>
            <w:shd w:val="clear" w:color="auto" w:fill="0000FF"/>
          </w:tcPr>
          <w:p>
            <w:pPr>
              <w:spacing w:after="0" w:line="20" w:lineRule="exact"/>
              <w:rPr>
                <w:sz w:val="1"/>
                <w:szCs w:val="1"/>
                <w:color w:val="auto"/>
              </w:rPr>
            </w:pPr>
          </w:p>
        </w:tc>
        <w:tc>
          <w:tcPr>
            <w:tcW w:w="23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160" w:type="dxa"/>
            <w:vAlign w:val="bottom"/>
            <w:gridSpan w:val="5"/>
          </w:tcPr>
          <w:p>
            <w:pPr>
              <w:spacing w:after="0" w:line="20" w:lineRule="exact"/>
              <w:rPr>
                <w:sz w:val="1"/>
                <w:szCs w:val="1"/>
                <w:color w:val="auto"/>
              </w:rPr>
            </w:pPr>
          </w:p>
        </w:tc>
      </w:tr>
      <w:tr>
        <w:trPr>
          <w:trHeight w:val="398"/>
        </w:trPr>
        <w:tc>
          <w:tcPr>
            <w:tcW w:w="1120" w:type="dxa"/>
            <w:vAlign w:val="bottom"/>
          </w:tcPr>
          <w:p>
            <w:pPr>
              <w:ind w:left="20"/>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4"/>
                <w:szCs w:val="24"/>
                <w:color w:val="auto"/>
              </w:rPr>
            </w:pPr>
          </w:p>
        </w:tc>
        <w:tc>
          <w:tcPr>
            <w:tcW w:w="6500" w:type="dxa"/>
            <w:vAlign w:val="bottom"/>
            <w:tcBorders>
              <w:bottom w:val="single" w:sz="8" w:color="0000FF"/>
            </w:tcBorders>
            <w:gridSpan w:val="10"/>
          </w:tcPr>
          <w:p>
            <w:pPr>
              <w:ind w:left="20"/>
              <w:spacing w:after="0"/>
              <w:rPr>
                <w:rFonts w:ascii="Arial" w:cs="Arial" w:eastAsia="Arial" w:hAnsi="Arial"/>
                <w:sz w:val="18"/>
                <w:szCs w:val="18"/>
                <w:color w:val="0000FF"/>
                <w:w w:val="92"/>
              </w:rPr>
            </w:pPr>
            <w:hyperlink w:anchor="page41">
              <w:r>
                <w:rPr>
                  <w:rFonts w:ascii="Arial" w:cs="Arial" w:eastAsia="Arial" w:hAnsi="Arial"/>
                  <w:sz w:val="18"/>
                  <w:szCs w:val="18"/>
                  <w:color w:val="0000FF"/>
                  <w:w w:val="92"/>
                </w:rPr>
                <w:t>Certification of Principal Executive Officer under Section 302 of the Sarbanes-Oxley Act.</w:t>
              </w:r>
            </w:hyperlink>
          </w:p>
        </w:tc>
        <w:tc>
          <w:tcPr>
            <w:tcW w:w="3500" w:type="dxa"/>
            <w:vAlign w:val="bottom"/>
            <w:gridSpan w:val="6"/>
          </w:tcPr>
          <w:p>
            <w:pPr>
              <w:spacing w:after="0"/>
              <w:rPr>
                <w:sz w:val="24"/>
                <w:szCs w:val="24"/>
                <w:color w:val="auto"/>
              </w:rPr>
            </w:pPr>
          </w:p>
        </w:tc>
      </w:tr>
      <w:tr>
        <w:trPr>
          <w:trHeight w:val="628"/>
        </w:trPr>
        <w:tc>
          <w:tcPr>
            <w:tcW w:w="1120" w:type="dxa"/>
            <w:vAlign w:val="bottom"/>
          </w:tcPr>
          <w:p>
            <w:pPr>
              <w:ind w:left="20"/>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4"/>
                <w:szCs w:val="24"/>
                <w:color w:val="auto"/>
              </w:rPr>
            </w:pPr>
          </w:p>
        </w:tc>
        <w:tc>
          <w:tcPr>
            <w:tcW w:w="10000" w:type="dxa"/>
            <w:vAlign w:val="bottom"/>
            <w:gridSpan w:val="16"/>
          </w:tcPr>
          <w:p>
            <w:pPr>
              <w:ind w:left="20"/>
              <w:spacing w:after="0"/>
              <w:rPr>
                <w:rFonts w:ascii="Arial" w:cs="Arial" w:eastAsia="Arial" w:hAnsi="Arial"/>
                <w:sz w:val="18"/>
                <w:szCs w:val="18"/>
                <w:color w:val="0000FF"/>
              </w:rPr>
            </w:pPr>
            <w:hyperlink w:anchor="page42">
              <w:r>
                <w:rPr>
                  <w:rFonts w:ascii="Arial" w:cs="Arial" w:eastAsia="Arial" w:hAnsi="Arial"/>
                  <w:sz w:val="18"/>
                  <w:szCs w:val="18"/>
                  <w:color w:val="0000FF"/>
                </w:rPr>
                <w:t>Certification of Principal Financial Officer under Section 302 of the Sarbanes-Oxley Act.</w:t>
              </w:r>
            </w:hyperlink>
          </w:p>
        </w:tc>
      </w:tr>
      <w:tr>
        <w:trPr>
          <w:trHeight w:val="20"/>
        </w:trPr>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60" w:type="dxa"/>
            <w:vAlign w:val="bottom"/>
            <w:tcBorders>
              <w:right w:val="single" w:sz="8" w:color="0000EE"/>
            </w:tcBorders>
            <w:gridSpan w:val="9"/>
            <w:shd w:val="clear" w:color="auto" w:fill="0000FF"/>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1160" w:type="dxa"/>
            <w:vAlign w:val="bottom"/>
            <w:gridSpan w:val="5"/>
          </w:tcPr>
          <w:p>
            <w:pPr>
              <w:spacing w:after="0" w:line="20" w:lineRule="exact"/>
              <w:rPr>
                <w:sz w:val="1"/>
                <w:szCs w:val="1"/>
                <w:color w:val="auto"/>
              </w:rPr>
            </w:pPr>
          </w:p>
        </w:tc>
      </w:tr>
      <w:tr>
        <w:trPr>
          <w:trHeight w:val="628"/>
        </w:trPr>
        <w:tc>
          <w:tcPr>
            <w:tcW w:w="1120" w:type="dxa"/>
            <w:vAlign w:val="bottom"/>
          </w:tcPr>
          <w:p>
            <w:pPr>
              <w:ind w:left="20"/>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4"/>
                <w:szCs w:val="24"/>
                <w:color w:val="auto"/>
              </w:rPr>
            </w:pPr>
          </w:p>
        </w:tc>
        <w:tc>
          <w:tcPr>
            <w:tcW w:w="8840" w:type="dxa"/>
            <w:vAlign w:val="bottom"/>
            <w:tcBorders>
              <w:bottom w:val="single" w:sz="8" w:color="0000FF"/>
            </w:tcBorders>
            <w:gridSpan w:val="11"/>
          </w:tcPr>
          <w:p>
            <w:pPr>
              <w:ind w:left="20"/>
              <w:spacing w:after="0"/>
              <w:rPr>
                <w:rFonts w:ascii="Arial" w:cs="Arial" w:eastAsia="Arial" w:hAnsi="Arial"/>
                <w:sz w:val="18"/>
                <w:szCs w:val="18"/>
                <w:color w:val="0000FF"/>
                <w:w w:val="92"/>
              </w:rPr>
            </w:pPr>
            <w:hyperlink w:anchor="page43">
              <w:r>
                <w:rPr>
                  <w:rFonts w:ascii="Arial" w:cs="Arial" w:eastAsia="Arial" w:hAnsi="Arial"/>
                  <w:sz w:val="18"/>
                  <w:szCs w:val="18"/>
                  <w:color w:val="0000FF"/>
                  <w:w w:val="92"/>
                </w:rPr>
                <w:t>Certifications of Principal Executive Officer and Principal Financial Officer under Section 906 of the Sarbanes-Oxley Act.</w:t>
              </w:r>
            </w:hyperlink>
          </w:p>
        </w:tc>
        <w:tc>
          <w:tcPr>
            <w:tcW w:w="1160" w:type="dxa"/>
            <w:vAlign w:val="bottom"/>
            <w:gridSpan w:val="5"/>
          </w:tcPr>
          <w:p>
            <w:pPr>
              <w:spacing w:after="0"/>
              <w:rPr>
                <w:sz w:val="24"/>
                <w:szCs w:val="24"/>
                <w:color w:val="auto"/>
              </w:rPr>
            </w:pPr>
          </w:p>
        </w:tc>
      </w:tr>
      <w:tr>
        <w:trPr>
          <w:trHeight w:val="669"/>
        </w:trPr>
        <w:tc>
          <w:tcPr>
            <w:tcW w:w="1240" w:type="dxa"/>
            <w:vAlign w:val="bottom"/>
            <w:gridSpan w:val="2"/>
          </w:tcPr>
          <w:p>
            <w:pPr>
              <w:ind w:left="20"/>
              <w:spacing w:after="0"/>
              <w:rPr>
                <w:sz w:val="20"/>
                <w:szCs w:val="20"/>
                <w:color w:val="auto"/>
              </w:rPr>
            </w:pPr>
            <w:r>
              <w:rPr>
                <w:rFonts w:ascii="Arial" w:cs="Arial" w:eastAsia="Arial" w:hAnsi="Arial"/>
                <w:sz w:val="18"/>
                <w:szCs w:val="18"/>
                <w:color w:val="auto"/>
              </w:rPr>
              <w:t>101.INS</w:t>
            </w:r>
          </w:p>
        </w:tc>
        <w:tc>
          <w:tcPr>
            <w:tcW w:w="10000" w:type="dxa"/>
            <w:vAlign w:val="bottom"/>
            <w:gridSpan w:val="16"/>
          </w:tcPr>
          <w:p>
            <w:pPr>
              <w:ind w:left="20"/>
              <w:spacing w:after="0"/>
              <w:rPr>
                <w:sz w:val="20"/>
                <w:szCs w:val="20"/>
                <w:color w:val="auto"/>
              </w:rPr>
            </w:pPr>
            <w:r>
              <w:rPr>
                <w:rFonts w:ascii="Arial" w:cs="Arial" w:eastAsia="Arial" w:hAnsi="Arial"/>
                <w:sz w:val="18"/>
                <w:szCs w:val="18"/>
                <w:color w:val="auto"/>
              </w:rPr>
              <w:t>Inline XBRL Instance Document</w:t>
            </w:r>
          </w:p>
        </w:tc>
      </w:tr>
      <w:tr>
        <w:trPr>
          <w:trHeight w:val="648"/>
        </w:trPr>
        <w:tc>
          <w:tcPr>
            <w:tcW w:w="1240" w:type="dxa"/>
            <w:vAlign w:val="bottom"/>
            <w:gridSpan w:val="2"/>
          </w:tcPr>
          <w:p>
            <w:pPr>
              <w:ind w:left="20"/>
              <w:spacing w:after="0"/>
              <w:rPr>
                <w:sz w:val="20"/>
                <w:szCs w:val="20"/>
                <w:color w:val="auto"/>
              </w:rPr>
            </w:pPr>
            <w:r>
              <w:rPr>
                <w:rFonts w:ascii="Arial" w:cs="Arial" w:eastAsia="Arial" w:hAnsi="Arial"/>
                <w:sz w:val="18"/>
                <w:szCs w:val="18"/>
                <w:color w:val="auto"/>
              </w:rPr>
              <w:t>101.SCH</w:t>
            </w:r>
          </w:p>
        </w:tc>
        <w:tc>
          <w:tcPr>
            <w:tcW w:w="10000" w:type="dxa"/>
            <w:vAlign w:val="bottom"/>
            <w:gridSpan w:val="16"/>
          </w:tcPr>
          <w:p>
            <w:pPr>
              <w:ind w:left="20"/>
              <w:spacing w:after="0"/>
              <w:rPr>
                <w:sz w:val="20"/>
                <w:szCs w:val="20"/>
                <w:color w:val="auto"/>
              </w:rPr>
            </w:pPr>
            <w:r>
              <w:rPr>
                <w:rFonts w:ascii="Arial" w:cs="Arial" w:eastAsia="Arial" w:hAnsi="Arial"/>
                <w:sz w:val="18"/>
                <w:szCs w:val="18"/>
                <w:color w:val="auto"/>
              </w:rPr>
              <w:t>Inline XBRL Taxonomy Extension Schema Document</w:t>
            </w:r>
          </w:p>
        </w:tc>
      </w:tr>
      <w:tr>
        <w:trPr>
          <w:trHeight w:val="419"/>
        </w:trPr>
        <w:tc>
          <w:tcPr>
            <w:tcW w:w="1240" w:type="dxa"/>
            <w:vAlign w:val="bottom"/>
            <w:gridSpan w:val="2"/>
          </w:tcPr>
          <w:p>
            <w:pPr>
              <w:ind w:left="20"/>
              <w:spacing w:after="0"/>
              <w:rPr>
                <w:sz w:val="20"/>
                <w:szCs w:val="20"/>
                <w:color w:val="auto"/>
              </w:rPr>
            </w:pPr>
            <w:r>
              <w:rPr>
                <w:rFonts w:ascii="Arial" w:cs="Arial" w:eastAsia="Arial" w:hAnsi="Arial"/>
                <w:sz w:val="18"/>
                <w:szCs w:val="18"/>
                <w:color w:val="auto"/>
              </w:rPr>
              <w:t>101.CAL</w:t>
            </w:r>
          </w:p>
        </w:tc>
        <w:tc>
          <w:tcPr>
            <w:tcW w:w="10000" w:type="dxa"/>
            <w:vAlign w:val="bottom"/>
            <w:gridSpan w:val="16"/>
          </w:tcPr>
          <w:p>
            <w:pPr>
              <w:ind w:left="20"/>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648"/>
        </w:trPr>
        <w:tc>
          <w:tcPr>
            <w:tcW w:w="1240" w:type="dxa"/>
            <w:vAlign w:val="bottom"/>
            <w:gridSpan w:val="2"/>
          </w:tcPr>
          <w:p>
            <w:pPr>
              <w:ind w:left="20"/>
              <w:spacing w:after="0"/>
              <w:rPr>
                <w:sz w:val="20"/>
                <w:szCs w:val="20"/>
                <w:color w:val="auto"/>
              </w:rPr>
            </w:pPr>
            <w:r>
              <w:rPr>
                <w:rFonts w:ascii="Arial" w:cs="Arial" w:eastAsia="Arial" w:hAnsi="Arial"/>
                <w:sz w:val="18"/>
                <w:szCs w:val="18"/>
                <w:color w:val="auto"/>
              </w:rPr>
              <w:t>101.DEF</w:t>
            </w:r>
          </w:p>
        </w:tc>
        <w:tc>
          <w:tcPr>
            <w:tcW w:w="10000" w:type="dxa"/>
            <w:vAlign w:val="bottom"/>
            <w:gridSpan w:val="16"/>
          </w:tcPr>
          <w:p>
            <w:pPr>
              <w:ind w:left="20"/>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648"/>
        </w:trPr>
        <w:tc>
          <w:tcPr>
            <w:tcW w:w="1240" w:type="dxa"/>
            <w:vAlign w:val="bottom"/>
            <w:gridSpan w:val="2"/>
          </w:tcPr>
          <w:p>
            <w:pPr>
              <w:ind w:left="20"/>
              <w:spacing w:after="0"/>
              <w:rPr>
                <w:sz w:val="20"/>
                <w:szCs w:val="20"/>
                <w:color w:val="auto"/>
              </w:rPr>
            </w:pPr>
            <w:r>
              <w:rPr>
                <w:rFonts w:ascii="Arial" w:cs="Arial" w:eastAsia="Arial" w:hAnsi="Arial"/>
                <w:sz w:val="18"/>
                <w:szCs w:val="18"/>
                <w:color w:val="auto"/>
              </w:rPr>
              <w:t>101.LAB</w:t>
            </w:r>
          </w:p>
        </w:tc>
        <w:tc>
          <w:tcPr>
            <w:tcW w:w="10000" w:type="dxa"/>
            <w:vAlign w:val="bottom"/>
            <w:gridSpan w:val="16"/>
          </w:tcPr>
          <w:p>
            <w:pPr>
              <w:ind w:left="20"/>
              <w:spacing w:after="0"/>
              <w:rPr>
                <w:sz w:val="20"/>
                <w:szCs w:val="20"/>
                <w:color w:val="auto"/>
              </w:rPr>
            </w:pPr>
            <w:r>
              <w:rPr>
                <w:rFonts w:ascii="Arial" w:cs="Arial" w:eastAsia="Arial" w:hAnsi="Arial"/>
                <w:sz w:val="18"/>
                <w:szCs w:val="18"/>
                <w:color w:val="auto"/>
              </w:rPr>
              <w:t>Inline XBRL Taxonomy Extension Label Linkbase Document</w:t>
            </w:r>
          </w:p>
        </w:tc>
      </w:tr>
      <w:tr>
        <w:trPr>
          <w:trHeight w:val="648"/>
        </w:trPr>
        <w:tc>
          <w:tcPr>
            <w:tcW w:w="1240" w:type="dxa"/>
            <w:vAlign w:val="bottom"/>
            <w:gridSpan w:val="2"/>
          </w:tcPr>
          <w:p>
            <w:pPr>
              <w:ind w:left="20"/>
              <w:spacing w:after="0"/>
              <w:rPr>
                <w:sz w:val="20"/>
                <w:szCs w:val="20"/>
                <w:color w:val="auto"/>
              </w:rPr>
            </w:pPr>
            <w:r>
              <w:rPr>
                <w:rFonts w:ascii="Arial" w:cs="Arial" w:eastAsia="Arial" w:hAnsi="Arial"/>
                <w:sz w:val="18"/>
                <w:szCs w:val="18"/>
                <w:color w:val="auto"/>
              </w:rPr>
              <w:t>101.PRE</w:t>
            </w:r>
          </w:p>
        </w:tc>
        <w:tc>
          <w:tcPr>
            <w:tcW w:w="10000" w:type="dxa"/>
            <w:vAlign w:val="bottom"/>
            <w:gridSpan w:val="16"/>
          </w:tcPr>
          <w:p>
            <w:pPr>
              <w:ind w:left="20"/>
              <w:spacing w:after="0"/>
              <w:rPr>
                <w:sz w:val="20"/>
                <w:szCs w:val="20"/>
                <w:color w:val="auto"/>
              </w:rPr>
            </w:pPr>
            <w:r>
              <w:rPr>
                <w:rFonts w:ascii="Arial" w:cs="Arial" w:eastAsia="Arial" w:hAnsi="Arial"/>
                <w:sz w:val="18"/>
                <w:szCs w:val="18"/>
                <w:color w:val="auto"/>
              </w:rPr>
              <w:t>Inline XBRL Taxonomy Extension Presentation Linkbase Document</w:t>
            </w:r>
          </w:p>
        </w:tc>
      </w:tr>
    </w:tbl>
    <w:p>
      <w:pPr>
        <w:spacing w:after="0" w:line="200" w:lineRule="exact"/>
        <w:rPr>
          <w:sz w:val="20"/>
          <w:szCs w:val="20"/>
          <w:color w:val="auto"/>
        </w:rPr>
      </w:pPr>
    </w:p>
    <w:p>
      <w:pPr>
        <w:spacing w:after="0" w:line="208" w:lineRule="exact"/>
        <w:rPr>
          <w:sz w:val="20"/>
          <w:szCs w:val="20"/>
          <w:color w:val="auto"/>
        </w:rPr>
      </w:pPr>
    </w:p>
    <w:p>
      <w:pPr>
        <w:ind w:left="1260" w:hanging="1239"/>
        <w:spacing w:after="0"/>
        <w:tabs>
          <w:tab w:leader="none" w:pos="1260" w:val="left"/>
        </w:tabs>
        <w:numPr>
          <w:ilvl w:val="0"/>
          <w:numId w:val="5"/>
        </w:numPr>
        <w:rPr>
          <w:rFonts w:ascii="Arial" w:cs="Arial" w:eastAsia="Arial" w:hAnsi="Arial"/>
          <w:sz w:val="18"/>
          <w:szCs w:val="18"/>
          <w:color w:val="auto"/>
        </w:rPr>
      </w:pPr>
      <w:r>
        <w:rPr>
          <w:rFonts w:ascii="Arial" w:cs="Arial" w:eastAsia="Arial" w:hAnsi="Arial"/>
          <w:sz w:val="16"/>
          <w:szCs w:val="16"/>
          <w:color w:val="auto"/>
        </w:rPr>
        <w:t>Cover Page Interactive Data File (formatted as inline XBRL and contained in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123825</wp:posOffset>
            </wp:positionV>
            <wp:extent cx="95123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8">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ind w:left="600" w:hanging="464"/>
        <w:spacing w:after="0"/>
        <w:tabs>
          <w:tab w:leader="none" w:pos="600" w:val="left"/>
        </w:tabs>
        <w:numPr>
          <w:ilvl w:val="0"/>
          <w:numId w:val="6"/>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36" w:lineRule="exact"/>
        <w:rPr>
          <w:sz w:val="20"/>
          <w:szCs w:val="20"/>
          <w:color w:val="auto"/>
        </w:rPr>
      </w:pPr>
    </w:p>
    <w:p>
      <w:pPr>
        <w:ind w:left="600" w:right="240" w:hanging="464"/>
        <w:spacing w:after="0" w:line="287" w:lineRule="auto"/>
        <w:tabs>
          <w:tab w:leader="none" w:pos="60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These certifications are being furnished solely to accompany this quarterly report pursuant to 18 U.S.C. Section 1350, and are not being filed for purposes of Section 18 of the Securities Exchange Act of 1934, as amended, and are not to be incorporated by reference into any filing of the registrant, whether made before or after the date hereof, regardless of any general incorporation language in such filing.</w:t>
      </w:r>
    </w:p>
    <w:p>
      <w:pPr>
        <w:spacing w:after="0" w:line="1" w:lineRule="exact"/>
        <w:rPr>
          <w:sz w:val="20"/>
          <w:szCs w:val="20"/>
          <w:color w:val="auto"/>
        </w:rPr>
      </w:pPr>
    </w:p>
    <w:p>
      <w:pPr>
        <w:ind w:left="600" w:right="160" w:hanging="464"/>
        <w:spacing w:after="0" w:line="279" w:lineRule="auto"/>
        <w:tabs>
          <w:tab w:leader="none" w:pos="6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Pursuant to Item 601(b)(10) of Regulation S-K, certain confidential portions of this exhibit have been omitted by means of marking such portions with asterisks [***] as the identified confidential portions (i) are not material and (ii) the Registrant customarily and actually treats that information as private or confidential.</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6" w:name="page27"/>
    <w:bookmarkEnd w:id="26"/>
    <w:p>
      <w:pPr>
        <w:jc w:val="center"/>
        <w:ind w:right="-459"/>
        <w:spacing w:after="0"/>
        <w:rPr>
          <w:sz w:val="20"/>
          <w:szCs w:val="20"/>
          <w:color w:val="auto"/>
        </w:rPr>
      </w:pPr>
      <w:r>
        <w:rPr>
          <w:rFonts w:ascii="Arial" w:cs="Arial" w:eastAsia="Arial" w:hAnsi="Arial"/>
          <w:sz w:val="18"/>
          <w:szCs w:val="18"/>
          <w:b w:val="1"/>
          <w:bCs w:val="1"/>
          <w:color w:val="auto"/>
        </w:rPr>
        <w:t>SIGNATURES</w:t>
      </w:r>
    </w:p>
    <w:p>
      <w:pPr>
        <w:spacing w:after="0" w:line="243" w:lineRule="exact"/>
        <w:rPr>
          <w:sz w:val="20"/>
          <w:szCs w:val="20"/>
          <w:color w:val="auto"/>
        </w:rPr>
      </w:pPr>
    </w:p>
    <w:p>
      <w:pPr>
        <w:ind w:firstLine="509"/>
        <w:spacing w:after="0" w:line="293"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Clearside Biomedical, Inc.</w:t>
      </w:r>
    </w:p>
    <w:p>
      <w:pPr>
        <w:sectPr>
          <w:pgSz w:w="11900" w:h="16838" w:orient="portrait"/>
          <w:cols w:equalWidth="0" w:num="1">
            <w:col w:w="10800"/>
          </w:cols>
          <w:pgMar w:left="320" w:top="364" w:right="779" w:bottom="1440" w:gutter="0" w:footer="0" w:header="0"/>
        </w:sectPr>
      </w:pPr>
    </w:p>
    <w:p>
      <w:pPr>
        <w:spacing w:after="0" w:line="200" w:lineRule="exact"/>
        <w:rPr>
          <w:sz w:val="20"/>
          <w:szCs w:val="20"/>
          <w:color w:val="auto"/>
        </w:rPr>
      </w:pPr>
    </w:p>
    <w:p>
      <w:pPr>
        <w:spacing w:after="0" w:line="390" w:lineRule="exact"/>
        <w:rPr>
          <w:sz w:val="20"/>
          <w:szCs w:val="20"/>
          <w:color w:val="auto"/>
        </w:rPr>
      </w:pPr>
    </w:p>
    <w:p>
      <w:pPr>
        <w:ind w:left="20"/>
        <w:spacing w:after="0"/>
        <w:rPr>
          <w:sz w:val="20"/>
          <w:szCs w:val="20"/>
          <w:color w:val="auto"/>
        </w:rPr>
      </w:pPr>
      <w:r>
        <w:rPr>
          <w:rFonts w:ascii="Arial" w:cs="Arial" w:eastAsia="Arial" w:hAnsi="Arial"/>
          <w:sz w:val="16"/>
          <w:szCs w:val="16"/>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6"/>
          <w:szCs w:val="16"/>
          <w:color w:val="auto"/>
        </w:rPr>
        <w:t>November 10, 2021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 Charles A. Deignan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29210</wp:posOffset>
            </wp:positionV>
            <wp:extent cx="257175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0">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59" w:lineRule="exact"/>
        <w:rPr>
          <w:sz w:val="20"/>
          <w:szCs w:val="20"/>
          <w:color w:val="auto"/>
        </w:rPr>
      </w:pPr>
    </w:p>
    <w:p>
      <w:pPr>
        <w:sectPr>
          <w:pgSz w:w="11900" w:h="16838" w:orient="portrait"/>
          <w:cols w:equalWidth="0" w:num="4">
            <w:col w:w="420" w:space="120"/>
            <w:col w:w="5520" w:space="720"/>
            <w:col w:w="900" w:space="720"/>
            <w:col w:w="2400"/>
          </w:cols>
          <w:pgMar w:left="320" w:top="364" w:right="779" w:bottom="1440" w:gutter="0" w:footer="0" w:header="0"/>
          <w:type w:val="continuous"/>
        </w:sectPr>
      </w:pPr>
    </w:p>
    <w:p>
      <w:pPr>
        <w:jc w:val="center"/>
        <w:ind w:left="7180"/>
        <w:spacing w:after="0"/>
        <w:rPr>
          <w:sz w:val="20"/>
          <w:szCs w:val="20"/>
          <w:color w:val="auto"/>
        </w:rPr>
      </w:pPr>
      <w:r>
        <w:rPr>
          <w:rFonts w:ascii="Arial" w:cs="Arial" w:eastAsia="Arial" w:hAnsi="Arial"/>
          <w:sz w:val="18"/>
          <w:szCs w:val="18"/>
          <w:color w:val="auto"/>
        </w:rPr>
        <w:t>Charles A. Deignan</w:t>
      </w:r>
    </w:p>
    <w:p>
      <w:pPr>
        <w:spacing w:after="0" w:line="36" w:lineRule="exact"/>
        <w:rPr>
          <w:sz w:val="20"/>
          <w:szCs w:val="20"/>
          <w:color w:val="auto"/>
        </w:rPr>
      </w:pPr>
    </w:p>
    <w:p>
      <w:pPr>
        <w:ind w:left="8380"/>
        <w:spacing w:after="0"/>
        <w:rPr>
          <w:sz w:val="20"/>
          <w:szCs w:val="20"/>
          <w:color w:val="auto"/>
        </w:rPr>
      </w:pPr>
      <w:r>
        <w:rPr>
          <w:rFonts w:ascii="Arial" w:cs="Arial" w:eastAsia="Arial" w:hAnsi="Arial"/>
          <w:sz w:val="18"/>
          <w:szCs w:val="18"/>
          <w:color w:val="auto"/>
        </w:rPr>
        <w:t>Chief Financial Officer</w:t>
      </w:r>
    </w:p>
    <w:p>
      <w:pPr>
        <w:spacing w:after="0" w:line="36" w:lineRule="exact"/>
        <w:rPr>
          <w:sz w:val="20"/>
          <w:szCs w:val="20"/>
          <w:color w:val="auto"/>
        </w:rPr>
      </w:pPr>
    </w:p>
    <w:p>
      <w:pPr>
        <w:ind w:left="7940"/>
        <w:spacing w:after="0"/>
        <w:rPr>
          <w:sz w:val="20"/>
          <w:szCs w:val="20"/>
          <w:color w:val="auto"/>
        </w:rPr>
      </w:pPr>
      <w:r>
        <w:rPr>
          <w:rFonts w:ascii="Arial" w:cs="Arial" w:eastAsia="Arial" w:hAnsi="Arial"/>
          <w:sz w:val="16"/>
          <w:szCs w:val="16"/>
          <w:color w:val="auto"/>
        </w:rPr>
        <w:t>(On behalf of the Registrant and as</w:t>
      </w:r>
    </w:p>
    <w:p>
      <w:pPr>
        <w:spacing w:after="0" w:line="46" w:lineRule="exact"/>
        <w:rPr>
          <w:sz w:val="20"/>
          <w:szCs w:val="20"/>
          <w:color w:val="auto"/>
        </w:rPr>
      </w:pPr>
    </w:p>
    <w:p>
      <w:pPr>
        <w:ind w:left="8220"/>
        <w:spacing w:after="0"/>
        <w:rPr>
          <w:sz w:val="20"/>
          <w:szCs w:val="20"/>
          <w:color w:val="auto"/>
        </w:rPr>
      </w:pPr>
      <w:r>
        <w:rPr>
          <w:rFonts w:ascii="Arial" w:cs="Arial" w:eastAsia="Arial" w:hAnsi="Arial"/>
          <w:sz w:val="18"/>
          <w:szCs w:val="18"/>
          <w:color w:val="auto"/>
        </w:rPr>
        <w:t>Principal Financial Officer)</w:t>
      </w:r>
    </w:p>
    <w:p>
      <w:pPr>
        <w:spacing w:after="0" w:line="265" w:lineRule="exact"/>
        <w:rPr>
          <w:sz w:val="20"/>
          <w:szCs w:val="20"/>
          <w:color w:val="auto"/>
        </w:rPr>
      </w:pPr>
    </w:p>
    <w:p>
      <w:pPr>
        <w:jc w:val="center"/>
        <w:ind w:right="-45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320" w:top="364" w:right="779" w:bottom="1440" w:gutter="0" w:footer="0" w:header="0"/>
          <w:type w:val="continuous"/>
        </w:sectPr>
      </w:pPr>
    </w:p>
    <w:bookmarkStart w:id="27" w:name="page28"/>
    <w:bookmarkEnd w:id="27"/>
    <w:p>
      <w:pPr>
        <w:jc w:val="right"/>
        <w:spacing w:after="0"/>
        <w:rPr>
          <w:sz w:val="20"/>
          <w:szCs w:val="20"/>
          <w:color w:val="auto"/>
        </w:rPr>
      </w:pPr>
      <w:r>
        <w:rPr>
          <w:rFonts w:ascii="Arial" w:cs="Arial" w:eastAsia="Arial" w:hAnsi="Arial"/>
          <w:sz w:val="22"/>
          <w:szCs w:val="22"/>
          <w:b w:val="1"/>
          <w:bCs w:val="1"/>
          <w:color w:val="auto"/>
        </w:rPr>
        <w:t>Exhibit 10.1</w:t>
      </w:r>
    </w:p>
    <w:p>
      <w:pPr>
        <w:spacing w:after="0" w:line="296" w:lineRule="exact"/>
        <w:rPr>
          <w:sz w:val="20"/>
          <w:szCs w:val="20"/>
          <w:color w:val="auto"/>
        </w:rPr>
      </w:pPr>
    </w:p>
    <w:p>
      <w:pPr>
        <w:ind w:right="200"/>
        <w:spacing w:after="0" w:line="297" w:lineRule="auto"/>
        <w:rPr>
          <w:sz w:val="20"/>
          <w:szCs w:val="20"/>
          <w:color w:val="auto"/>
        </w:rPr>
      </w:pPr>
      <w:r>
        <w:rPr>
          <w:rFonts w:ascii="Arial" w:cs="Arial" w:eastAsia="Arial" w:hAnsi="Arial"/>
          <w:sz w:val="18"/>
          <w:szCs w:val="18"/>
          <w:b w:val="1"/>
          <w:bCs w:val="1"/>
          <w:color w:val="auto"/>
        </w:rPr>
        <w:t>CERTAIN CONFIDENTIAL INFORMATION CONTAINED IN THIS DOCUMENT, MARKED BY [***], HAS BEEN OMITTED BECAUSE IT IS BOTH (I) NOT MATERIAL AND (II) IS THE TYPE THAT THE REGISTRANT TREATS AS PRIVATE OR CONFIDENTIAL.</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w:t>
      </w:r>
      <w:r>
        <w:rPr>
          <w:rFonts w:ascii="Arial" w:cs="Arial" w:eastAsia="Arial" w:hAnsi="Arial"/>
          <w:sz w:val="14"/>
          <w:szCs w:val="14"/>
          <w:b w:val="1"/>
          <w:bCs w:val="1"/>
          <w:color w:val="auto"/>
        </w:rPr>
        <w:t>MENDMENT</w:t>
      </w:r>
      <w:r>
        <w:rPr>
          <w:rFonts w:ascii="Arial" w:cs="Arial" w:eastAsia="Arial" w:hAnsi="Arial"/>
          <w:sz w:val="22"/>
          <w:szCs w:val="22"/>
          <w:b w:val="1"/>
          <w:bCs w:val="1"/>
          <w:color w:val="auto"/>
        </w:rPr>
        <w:t xml:space="preserve"> N</w:t>
      </w:r>
      <w:r>
        <w:rPr>
          <w:rFonts w:ascii="Arial" w:cs="Arial" w:eastAsia="Arial" w:hAnsi="Arial"/>
          <w:sz w:val="14"/>
          <w:szCs w:val="14"/>
          <w:b w:val="1"/>
          <w:bCs w:val="1"/>
          <w:color w:val="auto"/>
        </w:rPr>
        <w:t>O</w:t>
      </w:r>
      <w:r>
        <w:rPr>
          <w:rFonts w:ascii="Arial" w:cs="Arial" w:eastAsia="Arial" w:hAnsi="Arial"/>
          <w:sz w:val="22"/>
          <w:szCs w:val="22"/>
          <w:b w:val="1"/>
          <w:bCs w:val="1"/>
          <w:color w:val="auto"/>
        </w:rPr>
        <w:t xml:space="preserve">. 1 </w:t>
      </w:r>
      <w:r>
        <w:rPr>
          <w:rFonts w:ascii="Arial" w:cs="Arial" w:eastAsia="Arial" w:hAnsi="Arial"/>
          <w:sz w:val="14"/>
          <w:szCs w:val="14"/>
          <w:b w:val="1"/>
          <w:bCs w:val="1"/>
          <w:color w:val="auto"/>
        </w:rPr>
        <w:t>TO</w:t>
      </w:r>
      <w:r>
        <w:rPr>
          <w:rFonts w:ascii="Arial" w:cs="Arial" w:eastAsia="Arial" w:hAnsi="Arial"/>
          <w:sz w:val="22"/>
          <w:szCs w:val="22"/>
          <w:b w:val="1"/>
          <w:bCs w:val="1"/>
          <w:color w:val="auto"/>
        </w:rPr>
        <w:t xml:space="preserve"> L</w:t>
      </w:r>
      <w:r>
        <w:rPr>
          <w:rFonts w:ascii="Arial" w:cs="Arial" w:eastAsia="Arial" w:hAnsi="Arial"/>
          <w:sz w:val="14"/>
          <w:szCs w:val="14"/>
          <w:b w:val="1"/>
          <w:bCs w:val="1"/>
          <w:color w:val="auto"/>
        </w:rPr>
        <w:t>ICENSE</w:t>
      </w:r>
      <w:r>
        <w:rPr>
          <w:rFonts w:ascii="Arial" w:cs="Arial" w:eastAsia="Arial" w:hAnsi="Arial"/>
          <w:sz w:val="22"/>
          <w:szCs w:val="22"/>
          <w:b w:val="1"/>
          <w:bCs w:val="1"/>
          <w:color w:val="auto"/>
        </w:rPr>
        <w:t xml:space="preserve"> A</w:t>
      </w:r>
      <w:r>
        <w:rPr>
          <w:rFonts w:ascii="Arial" w:cs="Arial" w:eastAsia="Arial" w:hAnsi="Arial"/>
          <w:sz w:val="14"/>
          <w:szCs w:val="14"/>
          <w:b w:val="1"/>
          <w:bCs w:val="1"/>
          <w:color w:val="auto"/>
        </w:rPr>
        <w:t>GREEMENT</w:t>
      </w:r>
    </w:p>
    <w:p>
      <w:pPr>
        <w:spacing w:after="0" w:line="233" w:lineRule="exact"/>
        <w:rPr>
          <w:sz w:val="20"/>
          <w:szCs w:val="20"/>
          <w:color w:val="auto"/>
        </w:rPr>
      </w:pPr>
    </w:p>
    <w:p>
      <w:pPr>
        <w:jc w:val="both"/>
        <w:ind w:firstLine="749"/>
        <w:spacing w:after="0" w:line="277" w:lineRule="auto"/>
        <w:rPr>
          <w:sz w:val="20"/>
          <w:szCs w:val="20"/>
          <w:color w:val="auto"/>
        </w:rPr>
      </w:pPr>
      <w:r>
        <w:rPr>
          <w:rFonts w:ascii="Arial" w:cs="Arial" w:eastAsia="Arial" w:hAnsi="Arial"/>
          <w:sz w:val="20"/>
          <w:szCs w:val="20"/>
          <w:color w:val="auto"/>
        </w:rPr>
        <w:t xml:space="preserve">This </w:t>
      </w:r>
      <w:r>
        <w:rPr>
          <w:rFonts w:ascii="Arial" w:cs="Arial" w:eastAsia="Arial" w:hAnsi="Arial"/>
          <w:sz w:val="20"/>
          <w:szCs w:val="20"/>
          <w:b w:val="1"/>
          <w:bCs w:val="1"/>
          <w:color w:val="auto"/>
        </w:rPr>
        <w:t>A</w:t>
      </w:r>
      <w:r>
        <w:rPr>
          <w:rFonts w:ascii="Arial" w:cs="Arial" w:eastAsia="Arial" w:hAnsi="Arial"/>
          <w:sz w:val="13"/>
          <w:szCs w:val="13"/>
          <w:b w:val="1"/>
          <w:bCs w:val="1"/>
          <w:color w:val="auto"/>
        </w:rPr>
        <w:t>MENDMENT</w:t>
      </w:r>
      <w:r>
        <w:rPr>
          <w:rFonts w:ascii="Arial" w:cs="Arial" w:eastAsia="Arial" w:hAnsi="Arial"/>
          <w:sz w:val="20"/>
          <w:szCs w:val="20"/>
          <w:color w:val="auto"/>
        </w:rPr>
        <w:t xml:space="preserve"> </w:t>
      </w:r>
      <w:r>
        <w:rPr>
          <w:rFonts w:ascii="Arial" w:cs="Arial" w:eastAsia="Arial" w:hAnsi="Arial"/>
          <w:sz w:val="20"/>
          <w:szCs w:val="20"/>
          <w:b w:val="1"/>
          <w:bCs w:val="1"/>
          <w:color w:val="auto"/>
        </w:rPr>
        <w:t>N</w:t>
      </w:r>
      <w:r>
        <w:rPr>
          <w:rFonts w:ascii="Arial" w:cs="Arial" w:eastAsia="Arial" w:hAnsi="Arial"/>
          <w:sz w:val="13"/>
          <w:szCs w:val="13"/>
          <w:b w:val="1"/>
          <w:bCs w:val="1"/>
          <w:color w:val="auto"/>
        </w:rPr>
        <w:t>O</w:t>
      </w:r>
      <w:r>
        <w:rPr>
          <w:rFonts w:ascii="Arial" w:cs="Arial" w:eastAsia="Arial" w:hAnsi="Arial"/>
          <w:sz w:val="20"/>
          <w:szCs w:val="20"/>
          <w:b w:val="1"/>
          <w:bCs w:val="1"/>
          <w:color w:val="auto"/>
        </w:rPr>
        <w:t>. 1</w:t>
      </w:r>
      <w:r>
        <w:rPr>
          <w:rFonts w:ascii="Arial" w:cs="Arial" w:eastAsia="Arial" w:hAnsi="Arial"/>
          <w:sz w:val="20"/>
          <w:szCs w:val="20"/>
          <w:color w:val="auto"/>
        </w:rPr>
        <w:t xml:space="preserve"> </w:t>
      </w:r>
      <w:r>
        <w:rPr>
          <w:rFonts w:ascii="Arial" w:cs="Arial" w:eastAsia="Arial" w:hAnsi="Arial"/>
          <w:sz w:val="13"/>
          <w:szCs w:val="13"/>
          <w:b w:val="1"/>
          <w:bCs w:val="1"/>
          <w:color w:val="auto"/>
        </w:rPr>
        <w:t>TO</w:t>
      </w:r>
      <w:r>
        <w:rPr>
          <w:rFonts w:ascii="Arial" w:cs="Arial" w:eastAsia="Arial" w:hAnsi="Arial"/>
          <w:sz w:val="20"/>
          <w:szCs w:val="20"/>
          <w:color w:val="auto"/>
        </w:rPr>
        <w:t xml:space="preserve"> </w:t>
      </w:r>
      <w:r>
        <w:rPr>
          <w:rFonts w:ascii="Arial" w:cs="Arial" w:eastAsia="Arial" w:hAnsi="Arial"/>
          <w:sz w:val="20"/>
          <w:szCs w:val="20"/>
          <w:b w:val="1"/>
          <w:bCs w:val="1"/>
          <w:color w:val="auto"/>
        </w:rPr>
        <w:t>L</w:t>
      </w:r>
      <w:r>
        <w:rPr>
          <w:rFonts w:ascii="Arial" w:cs="Arial" w:eastAsia="Arial" w:hAnsi="Arial"/>
          <w:sz w:val="13"/>
          <w:szCs w:val="13"/>
          <w:b w:val="1"/>
          <w:bCs w:val="1"/>
          <w:color w:val="auto"/>
        </w:rPr>
        <w:t>ICENSE</w:t>
      </w:r>
      <w:r>
        <w:rPr>
          <w:rFonts w:ascii="Arial" w:cs="Arial" w:eastAsia="Arial" w:hAnsi="Arial"/>
          <w:sz w:val="20"/>
          <w:szCs w:val="20"/>
          <w:color w:val="auto"/>
        </w:rPr>
        <w:t xml:space="preserve"> </w:t>
      </w:r>
      <w:r>
        <w:rPr>
          <w:rFonts w:ascii="Arial" w:cs="Arial" w:eastAsia="Arial" w:hAnsi="Arial"/>
          <w:sz w:val="20"/>
          <w:szCs w:val="20"/>
          <w:b w:val="1"/>
          <w:bCs w:val="1"/>
          <w:color w:val="auto"/>
        </w:rPr>
        <w:t>A</w:t>
      </w:r>
      <w:r>
        <w:rPr>
          <w:rFonts w:ascii="Arial" w:cs="Arial" w:eastAsia="Arial" w:hAnsi="Arial"/>
          <w:sz w:val="13"/>
          <w:szCs w:val="13"/>
          <w:b w:val="1"/>
          <w:bCs w:val="1"/>
          <w:color w:val="auto"/>
        </w:rPr>
        <w:t>GREEMENT</w:t>
      </w:r>
      <w:r>
        <w:rPr>
          <w:rFonts w:ascii="Arial" w:cs="Arial" w:eastAsia="Arial" w:hAnsi="Arial"/>
          <w:sz w:val="20"/>
          <w:szCs w:val="20"/>
          <w:color w:val="auto"/>
        </w:rPr>
        <w:t xml:space="preserve"> (the “</w:t>
      </w:r>
      <w:r>
        <w:rPr>
          <w:rFonts w:ascii="Arial" w:cs="Arial" w:eastAsia="Arial" w:hAnsi="Arial"/>
          <w:sz w:val="20"/>
          <w:szCs w:val="20"/>
          <w:b w:val="1"/>
          <w:bCs w:val="1"/>
          <w:u w:val="single" w:color="auto"/>
          <w:color w:val="auto"/>
        </w:rPr>
        <w:t>Amendment</w:t>
      </w:r>
      <w:r>
        <w:rPr>
          <w:rFonts w:ascii="Arial" w:cs="Arial" w:eastAsia="Arial" w:hAnsi="Arial"/>
          <w:sz w:val="20"/>
          <w:szCs w:val="20"/>
          <w:color w:val="auto"/>
        </w:rPr>
        <w:t>”) is effective as of August 15</w:t>
      </w:r>
      <w:r>
        <w:rPr>
          <w:rFonts w:ascii="Arial" w:cs="Arial" w:eastAsia="Arial" w:hAnsi="Arial"/>
          <w:sz w:val="26"/>
          <w:szCs w:val="26"/>
          <w:color w:val="auto"/>
          <w:vertAlign w:val="superscript"/>
        </w:rPr>
        <w:t>th</w:t>
      </w:r>
      <w:r>
        <w:rPr>
          <w:rFonts w:ascii="Arial" w:cs="Arial" w:eastAsia="Arial" w:hAnsi="Arial"/>
          <w:sz w:val="20"/>
          <w:szCs w:val="20"/>
          <w:color w:val="auto"/>
        </w:rPr>
        <w:t>, 2021 (the “</w:t>
      </w:r>
      <w:r>
        <w:rPr>
          <w:rFonts w:ascii="Arial" w:cs="Arial" w:eastAsia="Arial" w:hAnsi="Arial"/>
          <w:sz w:val="20"/>
          <w:szCs w:val="20"/>
          <w:b w:val="1"/>
          <w:bCs w:val="1"/>
          <w:u w:val="single" w:color="auto"/>
          <w:color w:val="auto"/>
        </w:rPr>
        <w:t>Amendment Effective Date</w:t>
      </w:r>
      <w:r>
        <w:rPr>
          <w:rFonts w:ascii="Arial" w:cs="Arial" w:eastAsia="Arial" w:hAnsi="Arial"/>
          <w:sz w:val="20"/>
          <w:szCs w:val="20"/>
          <w:color w:val="auto"/>
        </w:rPr>
        <w:t xml:space="preserve">”) by and between </w:t>
      </w:r>
      <w:r>
        <w:rPr>
          <w:rFonts w:ascii="Arial" w:cs="Arial" w:eastAsia="Arial" w:hAnsi="Arial"/>
          <w:sz w:val="20"/>
          <w:szCs w:val="20"/>
          <w:b w:val="1"/>
          <w:bCs w:val="1"/>
          <w:color w:val="auto"/>
        </w:rPr>
        <w:t>C</w:t>
      </w:r>
      <w:r>
        <w:rPr>
          <w:rFonts w:ascii="Arial" w:cs="Arial" w:eastAsia="Arial" w:hAnsi="Arial"/>
          <w:sz w:val="13"/>
          <w:szCs w:val="13"/>
          <w:b w:val="1"/>
          <w:bCs w:val="1"/>
          <w:color w:val="auto"/>
        </w:rPr>
        <w:t>LEARSIDE</w:t>
      </w:r>
      <w:r>
        <w:rPr>
          <w:rFonts w:ascii="Arial" w:cs="Arial" w:eastAsia="Arial" w:hAnsi="Arial"/>
          <w:sz w:val="20"/>
          <w:szCs w:val="20"/>
          <w:color w:val="auto"/>
        </w:rPr>
        <w:t xml:space="preserve"> </w:t>
      </w:r>
      <w:r>
        <w:rPr>
          <w:rFonts w:ascii="Arial" w:cs="Arial" w:eastAsia="Arial" w:hAnsi="Arial"/>
          <w:sz w:val="20"/>
          <w:szCs w:val="20"/>
          <w:b w:val="1"/>
          <w:bCs w:val="1"/>
          <w:color w:val="auto"/>
        </w:rPr>
        <w:t>B</w:t>
      </w:r>
      <w:r>
        <w:rPr>
          <w:rFonts w:ascii="Arial" w:cs="Arial" w:eastAsia="Arial" w:hAnsi="Arial"/>
          <w:sz w:val="13"/>
          <w:szCs w:val="13"/>
          <w:b w:val="1"/>
          <w:bCs w:val="1"/>
          <w:color w:val="auto"/>
        </w:rPr>
        <w:t>IOMEDICAL</w:t>
      </w:r>
      <w:r>
        <w:rPr>
          <w:rFonts w:ascii="Arial" w:cs="Arial" w:eastAsia="Arial" w:hAnsi="Arial"/>
          <w:sz w:val="20"/>
          <w:szCs w:val="20"/>
          <w:b w:val="1"/>
          <w:bCs w:val="1"/>
          <w:color w:val="auto"/>
        </w:rPr>
        <w:t>, I</w:t>
      </w:r>
      <w:r>
        <w:rPr>
          <w:rFonts w:ascii="Arial" w:cs="Arial" w:eastAsia="Arial" w:hAnsi="Arial"/>
          <w:sz w:val="13"/>
          <w:szCs w:val="13"/>
          <w:b w:val="1"/>
          <w:bCs w:val="1"/>
          <w:color w:val="auto"/>
        </w:rPr>
        <w:t>NC</w:t>
      </w:r>
      <w:r>
        <w:rPr>
          <w:rFonts w:ascii="Arial" w:cs="Arial" w:eastAsia="Arial" w:hAnsi="Arial"/>
          <w:sz w:val="20"/>
          <w:szCs w:val="20"/>
          <w:b w:val="1"/>
          <w:bCs w:val="1"/>
          <w:color w:val="auto"/>
        </w:rPr>
        <w:t>.</w:t>
      </w:r>
      <w:r>
        <w:rPr>
          <w:rFonts w:ascii="Arial" w:cs="Arial" w:eastAsia="Arial" w:hAnsi="Arial"/>
          <w:sz w:val="20"/>
          <w:szCs w:val="20"/>
          <w:color w:val="auto"/>
        </w:rPr>
        <w:t>, with a principal place of business at 900 North Point Parkway, Suite 200, Alpharetta, Georgia 30005 United States of America (“</w:t>
      </w:r>
      <w:r>
        <w:rPr>
          <w:rFonts w:ascii="Arial" w:cs="Arial" w:eastAsia="Arial" w:hAnsi="Arial"/>
          <w:sz w:val="20"/>
          <w:szCs w:val="20"/>
          <w:b w:val="1"/>
          <w:bCs w:val="1"/>
          <w:u w:val="single" w:color="auto"/>
          <w:color w:val="auto"/>
        </w:rPr>
        <w:t>Clearside</w:t>
      </w:r>
      <w:r>
        <w:rPr>
          <w:rFonts w:ascii="Arial" w:cs="Arial" w:eastAsia="Arial" w:hAnsi="Arial"/>
          <w:sz w:val="20"/>
          <w:szCs w:val="20"/>
          <w:color w:val="auto"/>
        </w:rPr>
        <w:t xml:space="preserve">”) and </w:t>
      </w:r>
      <w:r>
        <w:rPr>
          <w:rFonts w:ascii="Arial" w:cs="Arial" w:eastAsia="Arial" w:hAnsi="Arial"/>
          <w:sz w:val="20"/>
          <w:szCs w:val="20"/>
          <w:b w:val="1"/>
          <w:bCs w:val="1"/>
          <w:color w:val="auto"/>
        </w:rPr>
        <w:t>A</w:t>
      </w:r>
      <w:r>
        <w:rPr>
          <w:rFonts w:ascii="Arial" w:cs="Arial" w:eastAsia="Arial" w:hAnsi="Arial"/>
          <w:sz w:val="13"/>
          <w:szCs w:val="13"/>
          <w:b w:val="1"/>
          <w:bCs w:val="1"/>
          <w:color w:val="auto"/>
        </w:rPr>
        <w:t>RCTIC</w:t>
      </w:r>
      <w:r>
        <w:rPr>
          <w:rFonts w:ascii="Arial" w:cs="Arial" w:eastAsia="Arial" w:hAnsi="Arial"/>
          <w:sz w:val="20"/>
          <w:szCs w:val="20"/>
          <w:color w:val="auto"/>
        </w:rPr>
        <w:t xml:space="preserve"> </w:t>
      </w:r>
      <w:r>
        <w:rPr>
          <w:rFonts w:ascii="Arial" w:cs="Arial" w:eastAsia="Arial" w:hAnsi="Arial"/>
          <w:sz w:val="20"/>
          <w:szCs w:val="20"/>
          <w:b w:val="1"/>
          <w:bCs w:val="1"/>
          <w:color w:val="auto"/>
        </w:rPr>
        <w:t>V</w:t>
      </w:r>
      <w:r>
        <w:rPr>
          <w:rFonts w:ascii="Arial" w:cs="Arial" w:eastAsia="Arial" w:hAnsi="Arial"/>
          <w:sz w:val="13"/>
          <w:szCs w:val="13"/>
          <w:b w:val="1"/>
          <w:bCs w:val="1"/>
          <w:color w:val="auto"/>
        </w:rPr>
        <w:t>ISION</w:t>
      </w:r>
      <w:r>
        <w:rPr>
          <w:rFonts w:ascii="Arial" w:cs="Arial" w:eastAsia="Arial" w:hAnsi="Arial"/>
          <w:sz w:val="20"/>
          <w:szCs w:val="20"/>
          <w:color w:val="auto"/>
        </w:rPr>
        <w:t xml:space="preserve"> </w:t>
      </w:r>
      <w:r>
        <w:rPr>
          <w:rFonts w:ascii="Arial" w:cs="Arial" w:eastAsia="Arial" w:hAnsi="Arial"/>
          <w:sz w:val="20"/>
          <w:szCs w:val="20"/>
          <w:b w:val="1"/>
          <w:bCs w:val="1"/>
          <w:color w:val="auto"/>
        </w:rPr>
        <w:t>(H</w:t>
      </w:r>
      <w:r>
        <w:rPr>
          <w:rFonts w:ascii="Arial" w:cs="Arial" w:eastAsia="Arial" w:hAnsi="Arial"/>
          <w:sz w:val="13"/>
          <w:szCs w:val="13"/>
          <w:b w:val="1"/>
          <w:bCs w:val="1"/>
          <w:color w:val="auto"/>
        </w:rPr>
        <w:t>ONG</w:t>
      </w:r>
      <w:r>
        <w:rPr>
          <w:rFonts w:ascii="Arial" w:cs="Arial" w:eastAsia="Arial" w:hAnsi="Arial"/>
          <w:sz w:val="20"/>
          <w:szCs w:val="20"/>
          <w:color w:val="auto"/>
        </w:rPr>
        <w:t xml:space="preserve"> </w:t>
      </w:r>
      <w:r>
        <w:rPr>
          <w:rFonts w:ascii="Arial" w:cs="Arial" w:eastAsia="Arial" w:hAnsi="Arial"/>
          <w:sz w:val="20"/>
          <w:szCs w:val="20"/>
          <w:b w:val="1"/>
          <w:bCs w:val="1"/>
          <w:color w:val="auto"/>
        </w:rPr>
        <w:t>K</w:t>
      </w:r>
      <w:r>
        <w:rPr>
          <w:rFonts w:ascii="Arial" w:cs="Arial" w:eastAsia="Arial" w:hAnsi="Arial"/>
          <w:sz w:val="13"/>
          <w:szCs w:val="13"/>
          <w:b w:val="1"/>
          <w:bCs w:val="1"/>
          <w:color w:val="auto"/>
        </w:rPr>
        <w:t>ONG</w:t>
      </w:r>
      <w:r>
        <w:rPr>
          <w:rFonts w:ascii="Arial" w:cs="Arial" w:eastAsia="Arial" w:hAnsi="Arial"/>
          <w:sz w:val="20"/>
          <w:szCs w:val="20"/>
          <w:b w:val="1"/>
          <w:bCs w:val="1"/>
          <w:color w:val="auto"/>
        </w:rPr>
        <w:t>)</w:t>
      </w:r>
      <w:r>
        <w:rPr>
          <w:rFonts w:ascii="Arial" w:cs="Arial" w:eastAsia="Arial" w:hAnsi="Arial"/>
          <w:sz w:val="20"/>
          <w:szCs w:val="20"/>
          <w:color w:val="auto"/>
        </w:rPr>
        <w:t xml:space="preserve"> </w:t>
      </w:r>
      <w:r>
        <w:rPr>
          <w:rFonts w:ascii="Arial" w:cs="Arial" w:eastAsia="Arial" w:hAnsi="Arial"/>
          <w:sz w:val="20"/>
          <w:szCs w:val="20"/>
          <w:b w:val="1"/>
          <w:bCs w:val="1"/>
          <w:color w:val="auto"/>
        </w:rPr>
        <w:t>L</w:t>
      </w:r>
      <w:r>
        <w:rPr>
          <w:rFonts w:ascii="Arial" w:cs="Arial" w:eastAsia="Arial" w:hAnsi="Arial"/>
          <w:sz w:val="13"/>
          <w:szCs w:val="13"/>
          <w:b w:val="1"/>
          <w:bCs w:val="1"/>
          <w:color w:val="auto"/>
        </w:rPr>
        <w:t>IMITED</w:t>
      </w:r>
      <w:r>
        <w:rPr>
          <w:rFonts w:ascii="Arial" w:cs="Arial" w:eastAsia="Arial" w:hAnsi="Arial"/>
          <w:sz w:val="20"/>
          <w:szCs w:val="20"/>
          <w:color w:val="auto"/>
        </w:rPr>
        <w:t>, with a principal place of business at 23/F Nan Fung Tower 88 Connaught Road C &amp; 173 Des Voeux Road C, Central,</w:t>
      </w:r>
      <w:r>
        <w:rPr>
          <w:rFonts w:ascii="Arial" w:cs="Arial" w:eastAsia="Arial" w:hAnsi="Arial"/>
          <w:sz w:val="20"/>
          <w:szCs w:val="20"/>
          <w:b w:val="1"/>
          <w:bCs w:val="1"/>
          <w:color w:val="auto"/>
        </w:rPr>
        <w:t xml:space="preserve"> </w:t>
      </w:r>
      <w:r>
        <w:rPr>
          <w:rFonts w:ascii="Arial" w:cs="Arial" w:eastAsia="Arial" w:hAnsi="Arial"/>
          <w:sz w:val="20"/>
          <w:szCs w:val="20"/>
          <w:color w:val="auto"/>
        </w:rPr>
        <w:t>Hong Kong (“</w:t>
      </w:r>
      <w:r>
        <w:rPr>
          <w:rFonts w:ascii="Arial" w:cs="Arial" w:eastAsia="Arial" w:hAnsi="Arial"/>
          <w:sz w:val="20"/>
          <w:szCs w:val="20"/>
          <w:b w:val="1"/>
          <w:bCs w:val="1"/>
          <w:u w:val="single" w:color="auto"/>
          <w:color w:val="auto"/>
        </w:rPr>
        <w:t>Arctic Vision</w:t>
      </w:r>
      <w:r>
        <w:rPr>
          <w:rFonts w:ascii="Arial" w:cs="Arial" w:eastAsia="Arial" w:hAnsi="Arial"/>
          <w:sz w:val="20"/>
          <w:szCs w:val="20"/>
          <w:color w:val="auto"/>
        </w:rPr>
        <w:t xml:space="preserve">”), and solely with respect to </w:t>
      </w:r>
      <w:r>
        <w:rPr>
          <w:rFonts w:ascii="Arial" w:cs="Arial" w:eastAsia="Arial" w:hAnsi="Arial"/>
          <w:sz w:val="20"/>
          <w:szCs w:val="20"/>
          <w:b w:val="1"/>
          <w:bCs w:val="1"/>
          <w:color w:val="auto"/>
        </w:rPr>
        <w:t>Section 5 (Guaranty)</w:t>
      </w:r>
      <w:r>
        <w:rPr>
          <w:rFonts w:ascii="Arial" w:cs="Arial" w:eastAsia="Arial" w:hAnsi="Arial"/>
          <w:sz w:val="20"/>
          <w:szCs w:val="20"/>
          <w:color w:val="auto"/>
        </w:rPr>
        <w:t>, Arctic Vision (Cayman) Limited with a principal place of business at Cricket Square, Hutchins Drive, P.O. Box 2681, Grand Cayman KY1-1111 Cayman Islands (“</w:t>
      </w:r>
      <w:r>
        <w:rPr>
          <w:rFonts w:ascii="Arial" w:cs="Arial" w:eastAsia="Arial" w:hAnsi="Arial"/>
          <w:sz w:val="20"/>
          <w:szCs w:val="20"/>
          <w:b w:val="1"/>
          <w:bCs w:val="1"/>
          <w:u w:val="single" w:color="auto"/>
          <w:color w:val="auto"/>
        </w:rPr>
        <w:t>Arctic Vision Parent</w:t>
      </w:r>
      <w:r>
        <w:rPr>
          <w:rFonts w:ascii="Arial" w:cs="Arial" w:eastAsia="Arial" w:hAnsi="Arial"/>
          <w:sz w:val="20"/>
          <w:szCs w:val="20"/>
          <w:color w:val="auto"/>
        </w:rPr>
        <w:t>”), and amends that certain License Agreement by and between Clearside and Arctic Vision, dated March 10, 2020 (the “</w:t>
      </w:r>
      <w:r>
        <w:rPr>
          <w:rFonts w:ascii="Arial" w:cs="Arial" w:eastAsia="Arial" w:hAnsi="Arial"/>
          <w:sz w:val="20"/>
          <w:szCs w:val="20"/>
          <w:b w:val="1"/>
          <w:bCs w:val="1"/>
          <w:u w:val="single" w:color="auto"/>
          <w:color w:val="auto"/>
        </w:rPr>
        <w:t>Agreement</w:t>
      </w:r>
      <w:r>
        <w:rPr>
          <w:rFonts w:ascii="Arial" w:cs="Arial" w:eastAsia="Arial" w:hAnsi="Arial"/>
          <w:sz w:val="20"/>
          <w:szCs w:val="20"/>
          <w:color w:val="auto"/>
        </w:rPr>
        <w:t>”). Clearside and Arctic Vision may each be referred to individually as a “</w:t>
      </w:r>
      <w:r>
        <w:rPr>
          <w:rFonts w:ascii="Arial" w:cs="Arial" w:eastAsia="Arial" w:hAnsi="Arial"/>
          <w:sz w:val="20"/>
          <w:szCs w:val="20"/>
          <w:b w:val="1"/>
          <w:bCs w:val="1"/>
          <w:u w:val="single" w:color="auto"/>
          <w:color w:val="auto"/>
        </w:rPr>
        <w:t>Party</w:t>
      </w:r>
      <w:r>
        <w:rPr>
          <w:rFonts w:ascii="Arial" w:cs="Arial" w:eastAsia="Arial" w:hAnsi="Arial"/>
          <w:sz w:val="20"/>
          <w:szCs w:val="20"/>
          <w:color w:val="auto"/>
        </w:rPr>
        <w:t>” and collectively as the “</w:t>
      </w:r>
      <w:r>
        <w:rPr>
          <w:rFonts w:ascii="Arial" w:cs="Arial" w:eastAsia="Arial" w:hAnsi="Arial"/>
          <w:sz w:val="20"/>
          <w:szCs w:val="20"/>
          <w:b w:val="1"/>
          <w:bCs w:val="1"/>
          <w:u w:val="single" w:color="auto"/>
          <w:color w:val="auto"/>
        </w:rPr>
        <w:t>Parties</w:t>
      </w:r>
      <w:r>
        <w:rPr>
          <w:rFonts w:ascii="Arial" w:cs="Arial" w:eastAsia="Arial" w:hAnsi="Arial"/>
          <w:sz w:val="20"/>
          <w:szCs w:val="20"/>
          <w:color w:val="auto"/>
        </w:rPr>
        <w:t>”. Capitalized terms not expressly defined herein shall have the meaning set forth in the Agreement.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w:t>
      </w:r>
      <w:r>
        <w:rPr>
          <w:rFonts w:ascii="Arial" w:cs="Arial" w:eastAsia="Arial" w:hAnsi="Arial"/>
          <w:sz w:val="14"/>
          <w:szCs w:val="14"/>
          <w:b w:val="1"/>
          <w:bCs w:val="1"/>
          <w:color w:val="auto"/>
        </w:rPr>
        <w:t>ECITALS</w:t>
      </w:r>
    </w:p>
    <w:p>
      <w:pPr>
        <w:spacing w:after="0" w:line="233" w:lineRule="exact"/>
        <w:rPr>
          <w:sz w:val="20"/>
          <w:szCs w:val="20"/>
          <w:color w:val="auto"/>
        </w:rPr>
      </w:pPr>
    </w:p>
    <w:p>
      <w:pPr>
        <w:jc w:val="both"/>
        <w:ind w:firstLine="749"/>
        <w:spacing w:after="0" w:line="264" w:lineRule="auto"/>
        <w:rPr>
          <w:sz w:val="20"/>
          <w:szCs w:val="20"/>
          <w:color w:val="auto"/>
        </w:rPr>
      </w:pPr>
      <w:r>
        <w:rPr>
          <w:rFonts w:ascii="Arial" w:cs="Arial" w:eastAsia="Arial" w:hAnsi="Arial"/>
          <w:sz w:val="22"/>
          <w:szCs w:val="22"/>
          <w:b w:val="1"/>
          <w:bCs w:val="1"/>
          <w:color w:val="auto"/>
        </w:rPr>
        <w:t>W</w:t>
      </w:r>
      <w:r>
        <w:rPr>
          <w:rFonts w:ascii="Arial" w:cs="Arial" w:eastAsia="Arial" w:hAnsi="Arial"/>
          <w:sz w:val="14"/>
          <w:szCs w:val="14"/>
          <w:b w:val="1"/>
          <w:bCs w:val="1"/>
          <w:color w:val="auto"/>
        </w:rPr>
        <w:t>HEREAS</w:t>
      </w:r>
      <w:r>
        <w:rPr>
          <w:rFonts w:ascii="Arial" w:cs="Arial" w:eastAsia="Arial" w:hAnsi="Arial"/>
          <w:sz w:val="22"/>
          <w:szCs w:val="22"/>
          <w:color w:val="auto"/>
        </w:rPr>
        <w:t>, pursuant to the Agreement, Clearside granted to Arctic Vision an exclusive license under Clearside</w:t>
      </w:r>
      <w:r>
        <w:rPr>
          <w:rFonts w:ascii="Arial" w:cs="Arial" w:eastAsia="Arial" w:hAnsi="Arial"/>
          <w:sz w:val="22"/>
          <w:szCs w:val="22"/>
          <w:b w:val="1"/>
          <w:bCs w:val="1"/>
          <w:color w:val="auto"/>
        </w:rPr>
        <w:t xml:space="preserve"> </w:t>
      </w:r>
      <w:r>
        <w:rPr>
          <w:rFonts w:ascii="Arial" w:cs="Arial" w:eastAsia="Arial" w:hAnsi="Arial"/>
          <w:sz w:val="22"/>
          <w:szCs w:val="22"/>
          <w:color w:val="auto"/>
        </w:rPr>
        <w:t>Technology to Develop and Commercialize Licensed Products in the Field in the Territory, and Arctic Vision is obligated to use Commercially Reasonable Efforts to Develop and Commercialize Licensed Products in the Territory for use in an indication associated with uveitis;</w:t>
      </w:r>
    </w:p>
    <w:p>
      <w:pPr>
        <w:spacing w:after="0" w:line="183"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W</w:t>
      </w:r>
      <w:r>
        <w:rPr>
          <w:rFonts w:ascii="Arial" w:cs="Arial" w:eastAsia="Arial" w:hAnsi="Arial"/>
          <w:sz w:val="14"/>
          <w:szCs w:val="14"/>
          <w:b w:val="1"/>
          <w:bCs w:val="1"/>
          <w:color w:val="auto"/>
        </w:rPr>
        <w:t>HEREAS</w:t>
      </w:r>
      <w:r>
        <w:rPr>
          <w:rFonts w:ascii="Arial" w:cs="Arial" w:eastAsia="Arial" w:hAnsi="Arial"/>
          <w:sz w:val="22"/>
          <w:szCs w:val="22"/>
          <w:color w:val="auto"/>
        </w:rPr>
        <w:t>, the Parties now desire to expand the Territory; and</w:t>
      </w:r>
    </w:p>
    <w:p>
      <w:pPr>
        <w:spacing w:after="0" w:line="233"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W</w:t>
      </w:r>
      <w:r>
        <w:rPr>
          <w:rFonts w:ascii="Arial" w:cs="Arial" w:eastAsia="Arial" w:hAnsi="Arial"/>
          <w:sz w:val="14"/>
          <w:szCs w:val="14"/>
          <w:b w:val="1"/>
          <w:bCs w:val="1"/>
          <w:color w:val="auto"/>
        </w:rPr>
        <w:t>HEREAS</w:t>
      </w:r>
      <w:r>
        <w:rPr>
          <w:rFonts w:ascii="Arial" w:cs="Arial" w:eastAsia="Arial" w:hAnsi="Arial"/>
          <w:sz w:val="22"/>
          <w:szCs w:val="22"/>
          <w:color w:val="auto"/>
        </w:rPr>
        <w:t>, the Parties wish to amend the Agreement in accordance with Section 17.02 thereof.</w:t>
      </w:r>
    </w:p>
    <w:p>
      <w:pPr>
        <w:spacing w:after="0" w:line="233" w:lineRule="exact"/>
        <w:rPr>
          <w:sz w:val="20"/>
          <w:szCs w:val="20"/>
          <w:color w:val="auto"/>
        </w:rPr>
      </w:pPr>
    </w:p>
    <w:p>
      <w:pPr>
        <w:jc w:val="both"/>
        <w:ind w:firstLine="749"/>
        <w:spacing w:after="0" w:line="282" w:lineRule="auto"/>
        <w:rPr>
          <w:sz w:val="20"/>
          <w:szCs w:val="20"/>
          <w:color w:val="auto"/>
        </w:rPr>
      </w:pPr>
      <w:r>
        <w:rPr>
          <w:rFonts w:ascii="Arial" w:cs="Arial" w:eastAsia="Arial" w:hAnsi="Arial"/>
          <w:sz w:val="22"/>
          <w:szCs w:val="22"/>
          <w:b w:val="1"/>
          <w:bCs w:val="1"/>
          <w:color w:val="auto"/>
        </w:rPr>
        <w:t>N</w:t>
      </w:r>
      <w:r>
        <w:rPr>
          <w:rFonts w:ascii="Arial" w:cs="Arial" w:eastAsia="Arial" w:hAnsi="Arial"/>
          <w:sz w:val="14"/>
          <w:szCs w:val="14"/>
          <w:b w:val="1"/>
          <w:bCs w:val="1"/>
          <w:color w:val="auto"/>
        </w:rPr>
        <w:t>OW</w:t>
      </w:r>
      <w:r>
        <w:rPr>
          <w:rFonts w:ascii="Arial" w:cs="Arial" w:eastAsia="Arial" w:hAnsi="Arial"/>
          <w:sz w:val="22"/>
          <w:szCs w:val="22"/>
          <w:b w:val="1"/>
          <w:bCs w:val="1"/>
          <w:color w:val="auto"/>
        </w:rPr>
        <w:t>, T</w:t>
      </w:r>
      <w:r>
        <w:rPr>
          <w:rFonts w:ascii="Arial" w:cs="Arial" w:eastAsia="Arial" w:hAnsi="Arial"/>
          <w:sz w:val="14"/>
          <w:szCs w:val="14"/>
          <w:b w:val="1"/>
          <w:bCs w:val="1"/>
          <w:color w:val="auto"/>
        </w:rPr>
        <w:t>HEREFORE</w:t>
      </w:r>
      <w:r>
        <w:rPr>
          <w:rFonts w:ascii="Arial" w:cs="Arial" w:eastAsia="Arial" w:hAnsi="Arial"/>
          <w:sz w:val="22"/>
          <w:szCs w:val="22"/>
          <w:color w:val="auto"/>
        </w:rPr>
        <w:t>, the Parties hereby agree to amend the terms of the Agreement as provided below, effective as of the</w:t>
      </w:r>
      <w:r>
        <w:rPr>
          <w:rFonts w:ascii="Arial" w:cs="Arial" w:eastAsia="Arial" w:hAnsi="Arial"/>
          <w:sz w:val="22"/>
          <w:szCs w:val="22"/>
          <w:b w:val="1"/>
          <w:bCs w:val="1"/>
          <w:color w:val="auto"/>
        </w:rPr>
        <w:t xml:space="preserve"> </w:t>
      </w:r>
      <w:r>
        <w:rPr>
          <w:rFonts w:ascii="Arial" w:cs="Arial" w:eastAsia="Arial" w:hAnsi="Arial"/>
          <w:sz w:val="22"/>
          <w:szCs w:val="22"/>
          <w:color w:val="auto"/>
        </w:rPr>
        <w:t>Amendment Effective Date.</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1.A</w:t>
      </w:r>
      <w:r>
        <w:rPr>
          <w:rFonts w:ascii="Arial" w:cs="Arial" w:eastAsia="Arial" w:hAnsi="Arial"/>
          <w:sz w:val="13"/>
          <w:szCs w:val="13"/>
          <w:b w:val="1"/>
          <w:bCs w:val="1"/>
          <w:color w:val="auto"/>
        </w:rPr>
        <w:t>MENDMENT TO</w:t>
      </w:r>
      <w:r>
        <w:rPr>
          <w:rFonts w:ascii="Arial" w:cs="Arial" w:eastAsia="Arial" w:hAnsi="Arial"/>
          <w:sz w:val="20"/>
          <w:szCs w:val="20"/>
          <w:b w:val="1"/>
          <w:bCs w:val="1"/>
          <w:color w:val="auto"/>
        </w:rPr>
        <w:t xml:space="preserve"> S</w:t>
      </w:r>
      <w:r>
        <w:rPr>
          <w:rFonts w:ascii="Arial" w:cs="Arial" w:eastAsia="Arial" w:hAnsi="Arial"/>
          <w:sz w:val="13"/>
          <w:szCs w:val="13"/>
          <w:b w:val="1"/>
          <w:bCs w:val="1"/>
          <w:color w:val="auto"/>
        </w:rPr>
        <w:t>ECTION</w:t>
      </w:r>
      <w:r>
        <w:rPr>
          <w:rFonts w:ascii="Arial" w:cs="Arial" w:eastAsia="Arial" w:hAnsi="Arial"/>
          <w:sz w:val="20"/>
          <w:szCs w:val="20"/>
          <w:b w:val="1"/>
          <w:bCs w:val="1"/>
          <w:color w:val="auto"/>
        </w:rPr>
        <w:t xml:space="preserve"> 1.39</w:t>
      </w:r>
      <w:r>
        <w:rPr>
          <w:rFonts w:ascii="Arial" w:cs="Arial" w:eastAsia="Arial" w:hAnsi="Arial"/>
          <w:sz w:val="20"/>
          <w:szCs w:val="20"/>
          <w:color w:val="auto"/>
        </w:rPr>
        <w:t>. Section 1.39 of the Agreement is hereby amended and restated to read in its entirety as follows:</w:t>
      </w:r>
    </w:p>
    <w:p>
      <w:pPr>
        <w:spacing w:after="0" w:line="256" w:lineRule="exact"/>
        <w:rPr>
          <w:sz w:val="20"/>
          <w:szCs w:val="20"/>
          <w:color w:val="auto"/>
        </w:rPr>
      </w:pPr>
    </w:p>
    <w:p>
      <w:pPr>
        <w:jc w:val="both"/>
        <w:spacing w:after="0" w:line="269"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b w:val="1"/>
          <w:bCs w:val="1"/>
          <w:color w:val="auto"/>
        </w:rPr>
        <w:t>Section 1.39</w:t>
      </w:r>
      <w:r>
        <w:rPr>
          <w:rFonts w:ascii="Arial" w:cs="Arial" w:eastAsia="Arial" w:hAnsi="Arial"/>
          <w:sz w:val="22"/>
          <w:szCs w:val="22"/>
          <w:color w:val="auto"/>
        </w:rPr>
        <w:t xml:space="preserve"> “ </w:t>
      </w:r>
      <w:r>
        <w:rPr>
          <w:rFonts w:ascii="Arial" w:cs="Arial" w:eastAsia="Arial" w:hAnsi="Arial"/>
          <w:sz w:val="22"/>
          <w:szCs w:val="22"/>
          <w:b w:val="1"/>
          <w:bCs w:val="1"/>
          <w:u w:val="single" w:color="auto"/>
          <w:color w:val="auto"/>
        </w:rPr>
        <w:t>Jurisdiction</w:t>
      </w:r>
      <w:r>
        <w:rPr>
          <w:rFonts w:ascii="Arial" w:cs="Arial" w:eastAsia="Arial" w:hAnsi="Arial"/>
          <w:sz w:val="22"/>
          <w:szCs w:val="22"/>
          <w:color w:val="auto"/>
        </w:rPr>
        <w:t>” means each of the following: (i) Mainland China, (ii) Taiwan, (iii) Hong Kong, (iv) South Korea, (v) Macau, (vi) Brunei, (vii) Cambodia, (viii) India, (ix) Indonesia, (x) Laos, (xi) Malaysia, (xii) Myanmar, (xiii) the Philippines, (xiv) Singapore, (xv) Thailand, and (xvi) Vietnam.”</w:t>
      </w:r>
    </w:p>
    <w:p>
      <w:pPr>
        <w:spacing w:after="0" w:line="17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2.</w:t>
      </w:r>
      <w:r>
        <w:rPr>
          <w:rFonts w:ascii="Arial" w:cs="Arial" w:eastAsia="Arial" w:hAnsi="Arial"/>
          <w:sz w:val="21"/>
          <w:szCs w:val="21"/>
          <w:color w:val="auto"/>
        </w:rPr>
        <w:t>In partial consideration for expansion of the Territory pursuant to the Amendment, Arctic Vision shall pay Clearside:</w:t>
      </w:r>
    </w:p>
    <w:p>
      <w:pPr>
        <w:spacing w:after="0" w:line="251" w:lineRule="exact"/>
        <w:rPr>
          <w:sz w:val="20"/>
          <w:szCs w:val="20"/>
          <w:color w:val="auto"/>
        </w:rPr>
      </w:pPr>
    </w:p>
    <w:p>
      <w:pPr>
        <w:ind w:right="140" w:firstLine="872"/>
        <w:spacing w:after="0" w:line="276" w:lineRule="auto"/>
        <w:tabs>
          <w:tab w:leader="none" w:pos="1381" w:val="left"/>
        </w:tabs>
        <w:numPr>
          <w:ilvl w:val="0"/>
          <w:numId w:val="10"/>
        </w:numPr>
        <w:rPr>
          <w:rFonts w:ascii="Arial" w:cs="Arial" w:eastAsia="Arial" w:hAnsi="Arial"/>
          <w:sz w:val="22"/>
          <w:szCs w:val="22"/>
          <w:color w:val="auto"/>
        </w:rPr>
      </w:pPr>
      <w:r>
        <w:rPr>
          <w:rFonts w:ascii="Arial" w:cs="Arial" w:eastAsia="Arial" w:hAnsi="Arial"/>
          <w:sz w:val="22"/>
          <w:szCs w:val="22"/>
          <w:color w:val="auto"/>
        </w:rPr>
        <w:t>within [***] of the Amendment Effective Date, a one-time, non-refundable, non-creditable payment of One Million Five Hundred Thousand Dollars ($1,500,000), by wire transfer; and</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243205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8" w:name="page29"/>
    <w:bookmarkEnd w:id="28"/>
    <w:p>
      <w:pPr>
        <w:ind w:right="200"/>
        <w:spacing w:after="0" w:line="297" w:lineRule="auto"/>
        <w:rPr>
          <w:sz w:val="20"/>
          <w:szCs w:val="20"/>
          <w:color w:val="auto"/>
        </w:rPr>
      </w:pPr>
      <w:r>
        <w:rPr>
          <w:rFonts w:ascii="Arial" w:cs="Arial" w:eastAsia="Arial" w:hAnsi="Arial"/>
          <w:sz w:val="18"/>
          <w:szCs w:val="18"/>
          <w:b w:val="1"/>
          <w:bCs w:val="1"/>
          <w:color w:val="auto"/>
        </w:rPr>
        <w:t>CERTAIN CONFIDENTIAL INFORMATION CONTAINED IN THIS DOCUMENT, MARKED BY [***], HAS BEEN OMITTED BECAUSE IT IS BOTH (I) NOT MATERIAL AND (II) IS THE TYPE THAT THE REGISTRANT TREATS AS PRIVATE OR CONFIDENTIAL.</w:t>
      </w:r>
    </w:p>
    <w:p>
      <w:pPr>
        <w:spacing w:after="0" w:line="214" w:lineRule="exact"/>
        <w:rPr>
          <w:sz w:val="20"/>
          <w:szCs w:val="20"/>
          <w:color w:val="auto"/>
        </w:rPr>
      </w:pPr>
    </w:p>
    <w:p>
      <w:pPr>
        <w:jc w:val="both"/>
        <w:ind w:right="20" w:firstLine="872"/>
        <w:spacing w:after="0" w:line="266" w:lineRule="auto"/>
        <w:tabs>
          <w:tab w:leader="none" w:pos="1296" w:val="left"/>
        </w:tabs>
        <w:numPr>
          <w:ilvl w:val="0"/>
          <w:numId w:val="11"/>
        </w:numPr>
        <w:rPr>
          <w:rFonts w:ascii="Arial" w:cs="Arial" w:eastAsia="Arial" w:hAnsi="Arial"/>
          <w:sz w:val="22"/>
          <w:szCs w:val="22"/>
          <w:color w:val="auto"/>
        </w:rPr>
      </w:pPr>
      <w:r>
        <w:rPr>
          <w:rFonts w:ascii="Arial" w:cs="Arial" w:eastAsia="Arial" w:hAnsi="Arial"/>
          <w:sz w:val="22"/>
          <w:szCs w:val="22"/>
          <w:color w:val="auto"/>
        </w:rPr>
        <w:t>within [***] after the earlier of (1) [***] or (2) [***], in each case in any of [***], a one-time milestone payment of [***]. For clarity, this milestone payment of [***] shall only be payable once, even if [***] occurred or [***] was obtained in more than one of the aforementioned countries.</w:t>
      </w:r>
    </w:p>
    <w:p>
      <w:pPr>
        <w:spacing w:after="0" w:line="179" w:lineRule="exact"/>
        <w:rPr>
          <w:sz w:val="20"/>
          <w:szCs w:val="20"/>
          <w:color w:val="auto"/>
        </w:rPr>
      </w:pPr>
    </w:p>
    <w:p>
      <w:pPr>
        <w:jc w:val="both"/>
        <w:ind w:left="180" w:hanging="161"/>
        <w:spacing w:after="0" w:line="282" w:lineRule="auto"/>
        <w:rPr>
          <w:sz w:val="20"/>
          <w:szCs w:val="20"/>
          <w:color w:val="auto"/>
        </w:rPr>
      </w:pPr>
      <w:r>
        <w:rPr>
          <w:rFonts w:ascii="Arial" w:cs="Arial" w:eastAsia="Arial" w:hAnsi="Arial"/>
          <w:sz w:val="22"/>
          <w:szCs w:val="22"/>
          <w:b w:val="1"/>
          <w:bCs w:val="1"/>
          <w:color w:val="auto"/>
        </w:rPr>
        <w:t>3.A</w:t>
      </w:r>
      <w:r>
        <w:rPr>
          <w:rFonts w:ascii="Arial" w:cs="Arial" w:eastAsia="Arial" w:hAnsi="Arial"/>
          <w:sz w:val="14"/>
          <w:szCs w:val="14"/>
          <w:b w:val="1"/>
          <w:bCs w:val="1"/>
          <w:color w:val="auto"/>
        </w:rPr>
        <w:t>MENDMENT TO</w:t>
      </w:r>
      <w:r>
        <w:rPr>
          <w:rFonts w:ascii="Arial" w:cs="Arial" w:eastAsia="Arial" w:hAnsi="Arial"/>
          <w:sz w:val="22"/>
          <w:szCs w:val="22"/>
          <w:b w:val="1"/>
          <w:bCs w:val="1"/>
          <w:color w:val="auto"/>
        </w:rPr>
        <w:t xml:space="preserve"> S</w:t>
      </w:r>
      <w:r>
        <w:rPr>
          <w:rFonts w:ascii="Arial" w:cs="Arial" w:eastAsia="Arial" w:hAnsi="Arial"/>
          <w:sz w:val="14"/>
          <w:szCs w:val="14"/>
          <w:b w:val="1"/>
          <w:bCs w:val="1"/>
          <w:color w:val="auto"/>
        </w:rPr>
        <w:t>ECTION</w:t>
      </w:r>
      <w:r>
        <w:rPr>
          <w:rFonts w:ascii="Arial" w:cs="Arial" w:eastAsia="Arial" w:hAnsi="Arial"/>
          <w:sz w:val="22"/>
          <w:szCs w:val="22"/>
          <w:b w:val="1"/>
          <w:bCs w:val="1"/>
          <w:color w:val="auto"/>
        </w:rPr>
        <w:t xml:space="preserve"> 8.04(</w:t>
      </w:r>
      <w:r>
        <w:rPr>
          <w:rFonts w:ascii="Arial" w:cs="Arial" w:eastAsia="Arial" w:hAnsi="Arial"/>
          <w:sz w:val="22"/>
          <w:szCs w:val="22"/>
          <w:color w:val="auto"/>
        </w:rPr>
        <w:t>a</w:t>
      </w:r>
      <w:r>
        <w:rPr>
          <w:rFonts w:ascii="Arial" w:cs="Arial" w:eastAsia="Arial" w:hAnsi="Arial"/>
          <w:sz w:val="22"/>
          <w:szCs w:val="22"/>
          <w:b w:val="1"/>
          <w:bCs w:val="1"/>
          <w:color w:val="auto"/>
        </w:rPr>
        <w:t>)(</w:t>
      </w:r>
      <w:r>
        <w:rPr>
          <w:rFonts w:ascii="Arial" w:cs="Arial" w:eastAsia="Arial" w:hAnsi="Arial"/>
          <w:sz w:val="22"/>
          <w:szCs w:val="22"/>
          <w:color w:val="auto"/>
        </w:rPr>
        <w:t>ii</w:t>
      </w:r>
      <w:r>
        <w:rPr>
          <w:rFonts w:ascii="Arial" w:cs="Arial" w:eastAsia="Arial" w:hAnsi="Arial"/>
          <w:sz w:val="22"/>
          <w:szCs w:val="22"/>
          <w:b w:val="1"/>
          <w:bCs w:val="1"/>
          <w:color w:val="auto"/>
        </w:rPr>
        <w:t>)</w:t>
      </w:r>
      <w:r>
        <w:rPr>
          <w:rFonts w:ascii="Arial" w:cs="Arial" w:eastAsia="Arial" w:hAnsi="Arial"/>
          <w:sz w:val="22"/>
          <w:szCs w:val="22"/>
          <w:color w:val="auto"/>
        </w:rPr>
        <w:t>. Section 8.04(a)(ii) of the Agreement is hereby amended and restated to read in its entirety</w:t>
      </w:r>
      <w:r>
        <w:rPr>
          <w:rFonts w:ascii="Arial" w:cs="Arial" w:eastAsia="Arial" w:hAnsi="Arial"/>
          <w:sz w:val="22"/>
          <w:szCs w:val="22"/>
          <w:b w:val="1"/>
          <w:bCs w:val="1"/>
          <w:color w:val="auto"/>
        </w:rPr>
        <w:t xml:space="preserve"> </w:t>
      </w:r>
      <w:r>
        <w:rPr>
          <w:rFonts w:ascii="Arial" w:cs="Arial" w:eastAsia="Arial" w:hAnsi="Arial"/>
          <w:sz w:val="22"/>
          <w:szCs w:val="22"/>
          <w:color w:val="auto"/>
        </w:rPr>
        <w:t>as follows:</w:t>
      </w:r>
    </w:p>
    <w:p>
      <w:pPr>
        <w:spacing w:after="0" w:line="152" w:lineRule="exact"/>
        <w:rPr>
          <w:sz w:val="20"/>
          <w:szCs w:val="20"/>
          <w:color w:val="auto"/>
        </w:rPr>
      </w:pPr>
    </w:p>
    <w:tbl>
      <w:tblPr>
        <w:tblLayout w:type="fixed"/>
        <w:tblInd w:w="670" w:type="dxa"/>
        <w:tblCellMar>
          <w:top w:w="0" w:type="dxa"/>
          <w:left w:w="0" w:type="dxa"/>
          <w:bottom w:w="0" w:type="dxa"/>
          <w:right w:w="0" w:type="dxa"/>
        </w:tblCellMar>
      </w:tblPr>
      <w:tr>
        <w:trPr>
          <w:trHeight w:val="317"/>
        </w:trPr>
        <w:tc>
          <w:tcPr>
            <w:tcW w:w="6880" w:type="dxa"/>
            <w:vAlign w:val="bottom"/>
            <w:tcBorders>
              <w:top w:val="single" w:sz="8" w:color="auto"/>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22"/>
                <w:szCs w:val="22"/>
                <w:b w:val="1"/>
                <w:bCs w:val="1"/>
                <w:color w:val="auto"/>
              </w:rPr>
              <w:t>Milestone Event</w:t>
            </w:r>
          </w:p>
        </w:tc>
        <w:tc>
          <w:tcPr>
            <w:tcW w:w="3440" w:type="dxa"/>
            <w:vAlign w:val="bottom"/>
            <w:tcBorders>
              <w:top w:val="single" w:sz="8" w:color="auto"/>
              <w:bottom w:val="single" w:sz="8" w:color="auto"/>
              <w:right w:val="single" w:sz="8" w:color="auto"/>
            </w:tcBorders>
          </w:tcPr>
          <w:p>
            <w:pPr>
              <w:jc w:val="right"/>
              <w:ind w:right="1472"/>
              <w:spacing w:after="0"/>
              <w:rPr>
                <w:sz w:val="20"/>
                <w:szCs w:val="20"/>
                <w:color w:val="auto"/>
              </w:rPr>
            </w:pPr>
            <w:r>
              <w:rPr>
                <w:rFonts w:ascii="Arial" w:cs="Arial" w:eastAsia="Arial" w:hAnsi="Arial"/>
                <w:sz w:val="22"/>
                <w:szCs w:val="22"/>
                <w:b w:val="1"/>
                <w:bCs w:val="1"/>
                <w:color w:val="auto"/>
                <w:w w:val="92"/>
              </w:rPr>
              <w:t>Milestone Payment</w:t>
            </w:r>
          </w:p>
        </w:tc>
      </w:tr>
      <w:tr>
        <w:trPr>
          <w:trHeight w:val="267"/>
        </w:trPr>
        <w:tc>
          <w:tcPr>
            <w:tcW w:w="68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w:t>
            </w:r>
          </w:p>
        </w:tc>
        <w:tc>
          <w:tcPr>
            <w:tcW w:w="3440" w:type="dxa"/>
            <w:vAlign w:val="bottom"/>
            <w:tcBorders>
              <w:bottom w:val="single" w:sz="8" w:color="auto"/>
              <w:right w:val="single" w:sz="8" w:color="auto"/>
            </w:tcBorders>
          </w:tcPr>
          <w:p>
            <w:pPr>
              <w:jc w:val="right"/>
              <w:ind w:right="1372"/>
              <w:spacing w:after="0"/>
              <w:rPr>
                <w:sz w:val="20"/>
                <w:szCs w:val="20"/>
                <w:color w:val="auto"/>
              </w:rPr>
            </w:pPr>
            <w:r>
              <w:rPr>
                <w:rFonts w:ascii="Arial" w:cs="Arial" w:eastAsia="Arial" w:hAnsi="Arial"/>
                <w:sz w:val="22"/>
                <w:szCs w:val="22"/>
                <w:color w:val="auto"/>
              </w:rPr>
              <w:t>[***]</w:t>
            </w:r>
          </w:p>
        </w:tc>
      </w:tr>
    </w:tbl>
    <w:p>
      <w:pPr>
        <w:spacing w:after="0" w:line="200" w:lineRule="exact"/>
        <w:rPr>
          <w:sz w:val="20"/>
          <w:szCs w:val="20"/>
          <w:color w:val="auto"/>
        </w:rPr>
      </w:pPr>
    </w:p>
    <w:p>
      <w:pPr>
        <w:spacing w:after="0" w:line="326" w:lineRule="exact"/>
        <w:rPr>
          <w:sz w:val="20"/>
          <w:szCs w:val="20"/>
          <w:color w:val="auto"/>
        </w:rPr>
      </w:pPr>
    </w:p>
    <w:p>
      <w:pPr>
        <w:jc w:val="both"/>
        <w:ind w:left="180" w:hanging="161"/>
        <w:spacing w:after="0" w:line="269" w:lineRule="auto"/>
        <w:rPr>
          <w:sz w:val="20"/>
          <w:szCs w:val="20"/>
          <w:color w:val="auto"/>
        </w:rPr>
      </w:pPr>
      <w:r>
        <w:rPr>
          <w:rFonts w:ascii="Arial" w:cs="Arial" w:eastAsia="Arial" w:hAnsi="Arial"/>
          <w:sz w:val="22"/>
          <w:szCs w:val="22"/>
          <w:b w:val="1"/>
          <w:bCs w:val="1"/>
          <w:color w:val="auto"/>
        </w:rPr>
        <w:t>4.E</w:t>
      </w:r>
      <w:r>
        <w:rPr>
          <w:rFonts w:ascii="Arial" w:cs="Arial" w:eastAsia="Arial" w:hAnsi="Arial"/>
          <w:sz w:val="14"/>
          <w:szCs w:val="14"/>
          <w:b w:val="1"/>
          <w:bCs w:val="1"/>
          <w:color w:val="auto"/>
        </w:rPr>
        <w:t>FFECT OF</w:t>
      </w:r>
      <w:r>
        <w:rPr>
          <w:rFonts w:ascii="Arial" w:cs="Arial" w:eastAsia="Arial" w:hAnsi="Arial"/>
          <w:sz w:val="22"/>
          <w:szCs w:val="22"/>
          <w:b w:val="1"/>
          <w:bCs w:val="1"/>
          <w:color w:val="auto"/>
        </w:rPr>
        <w:t xml:space="preserve"> A</w:t>
      </w:r>
      <w:r>
        <w:rPr>
          <w:rFonts w:ascii="Arial" w:cs="Arial" w:eastAsia="Arial" w:hAnsi="Arial"/>
          <w:sz w:val="14"/>
          <w:szCs w:val="14"/>
          <w:b w:val="1"/>
          <w:bCs w:val="1"/>
          <w:color w:val="auto"/>
        </w:rPr>
        <w:t>MENDMENT</w:t>
      </w:r>
      <w:r>
        <w:rPr>
          <w:rFonts w:ascii="Arial" w:cs="Arial" w:eastAsia="Arial" w:hAnsi="Arial"/>
          <w:sz w:val="22"/>
          <w:szCs w:val="22"/>
          <w:color w:val="auto"/>
        </w:rPr>
        <w:t>. Except as amended herein, all other provisions of the Agreement shall remain unchanged and in full</w:t>
      </w:r>
      <w:r>
        <w:rPr>
          <w:rFonts w:ascii="Arial" w:cs="Arial" w:eastAsia="Arial" w:hAnsi="Arial"/>
          <w:sz w:val="22"/>
          <w:szCs w:val="22"/>
          <w:b w:val="1"/>
          <w:bCs w:val="1"/>
          <w:color w:val="auto"/>
        </w:rPr>
        <w:t xml:space="preserve"> </w:t>
      </w:r>
      <w:r>
        <w:rPr>
          <w:rFonts w:ascii="Arial" w:cs="Arial" w:eastAsia="Arial" w:hAnsi="Arial"/>
          <w:sz w:val="22"/>
          <w:szCs w:val="22"/>
          <w:color w:val="auto"/>
        </w:rPr>
        <w:t>force and effect. If there is a conflict between the Agreement and this Amendment, the terms of this Amendment shall prevail solely with respect to the matters set forth in this Amendment.</w:t>
      </w:r>
    </w:p>
    <w:p>
      <w:pPr>
        <w:spacing w:after="0" w:line="175" w:lineRule="exact"/>
        <w:rPr>
          <w:sz w:val="20"/>
          <w:szCs w:val="20"/>
          <w:color w:val="auto"/>
        </w:rPr>
      </w:pPr>
    </w:p>
    <w:p>
      <w:pPr>
        <w:jc w:val="both"/>
        <w:ind w:left="180" w:right="20" w:hanging="161"/>
        <w:spacing w:after="0" w:line="276" w:lineRule="auto"/>
        <w:rPr>
          <w:sz w:val="20"/>
          <w:szCs w:val="20"/>
          <w:color w:val="auto"/>
        </w:rPr>
      </w:pPr>
      <w:r>
        <w:rPr>
          <w:rFonts w:ascii="Arial" w:cs="Arial" w:eastAsia="Arial" w:hAnsi="Arial"/>
          <w:sz w:val="22"/>
          <w:szCs w:val="22"/>
          <w:b w:val="1"/>
          <w:bCs w:val="1"/>
          <w:color w:val="auto"/>
        </w:rPr>
        <w:t>5.C</w:t>
      </w:r>
      <w:r>
        <w:rPr>
          <w:rFonts w:ascii="Arial" w:cs="Arial" w:eastAsia="Arial" w:hAnsi="Arial"/>
          <w:sz w:val="14"/>
          <w:szCs w:val="14"/>
          <w:b w:val="1"/>
          <w:bCs w:val="1"/>
          <w:color w:val="auto"/>
        </w:rPr>
        <w:t>OUNTERPARTS</w:t>
      </w:r>
      <w:r>
        <w:rPr>
          <w:rFonts w:ascii="Arial" w:cs="Arial" w:eastAsia="Arial" w:hAnsi="Arial"/>
          <w:sz w:val="22"/>
          <w:szCs w:val="22"/>
          <w:color w:val="auto"/>
        </w:rPr>
        <w:t>.</w:t>
      </w:r>
      <w:r>
        <w:rPr>
          <w:sz w:val="20"/>
          <w:szCs w:val="20"/>
          <w:color w:val="auto"/>
        </w:rPr>
        <w:t xml:space="preserve"> </w:t>
      </w:r>
      <w:r>
        <w:rPr>
          <w:rFonts w:ascii="Arial" w:cs="Arial" w:eastAsia="Arial" w:hAnsi="Arial"/>
          <w:sz w:val="22"/>
          <w:szCs w:val="22"/>
          <w:color w:val="auto"/>
        </w:rPr>
        <w:t>This Amendment may be executed in counterparts, each such counterpart will be deemed an original agreement, but all such counterparts together will constitute one and the same instrument.</w:t>
      </w:r>
    </w:p>
    <w:p>
      <w:pPr>
        <w:spacing w:after="0" w:line="174" w:lineRule="exact"/>
        <w:rPr>
          <w:sz w:val="20"/>
          <w:szCs w:val="20"/>
          <w:color w:val="auto"/>
        </w:rPr>
      </w:pPr>
    </w:p>
    <w:p>
      <w:pPr>
        <w:spacing w:after="0"/>
        <w:tabs>
          <w:tab w:leader="none" w:pos="1340" w:val="left"/>
        </w:tabs>
        <w:rPr>
          <w:sz w:val="20"/>
          <w:szCs w:val="20"/>
          <w:color w:val="auto"/>
        </w:rPr>
      </w:pPr>
      <w:r>
        <w:rPr>
          <w:rFonts w:ascii="Arial" w:cs="Arial" w:eastAsia="Arial" w:hAnsi="Arial"/>
          <w:sz w:val="22"/>
          <w:szCs w:val="22"/>
          <w:b w:val="1"/>
          <w:bCs w:val="1"/>
          <w:color w:val="auto"/>
        </w:rPr>
        <w:t>6.G</w:t>
      </w:r>
      <w:r>
        <w:rPr>
          <w:rFonts w:ascii="Arial" w:cs="Arial" w:eastAsia="Arial" w:hAnsi="Arial"/>
          <w:sz w:val="14"/>
          <w:szCs w:val="14"/>
          <w:b w:val="1"/>
          <w:bCs w:val="1"/>
          <w:color w:val="auto"/>
        </w:rPr>
        <w:t>UARANTY</w:t>
      </w:r>
      <w:r>
        <w:rPr>
          <w:rFonts w:ascii="Arial" w:cs="Arial" w:eastAsia="Arial" w:hAnsi="Arial"/>
          <w:sz w:val="22"/>
          <w:szCs w:val="22"/>
          <w:color w:val="auto"/>
        </w:rPr>
        <w:t>.</w:t>
      </w:r>
      <w:r>
        <w:rPr>
          <w:sz w:val="20"/>
          <w:szCs w:val="20"/>
          <w:color w:val="auto"/>
        </w:rPr>
        <w:tab/>
      </w:r>
      <w:r>
        <w:rPr>
          <w:rFonts w:ascii="Arial" w:cs="Arial" w:eastAsia="Arial" w:hAnsi="Arial"/>
          <w:sz w:val="21"/>
          <w:szCs w:val="21"/>
          <w:color w:val="auto"/>
        </w:rPr>
        <w:t>Arctic Vision Parent irrevocably guarantees the performance of all obligations of Arctic Vision under this</w:t>
      </w:r>
    </w:p>
    <w:p>
      <w:pPr>
        <w:spacing w:after="0" w:line="27" w:lineRule="exact"/>
        <w:rPr>
          <w:sz w:val="20"/>
          <w:szCs w:val="20"/>
          <w:color w:val="auto"/>
        </w:rPr>
      </w:pPr>
    </w:p>
    <w:p>
      <w:pPr>
        <w:ind w:left="180"/>
        <w:spacing w:after="0"/>
        <w:rPr>
          <w:sz w:val="20"/>
          <w:szCs w:val="20"/>
          <w:color w:val="auto"/>
        </w:rPr>
      </w:pPr>
      <w:r>
        <w:rPr>
          <w:rFonts w:ascii="Arial" w:cs="Arial" w:eastAsia="Arial" w:hAnsi="Arial"/>
          <w:sz w:val="19"/>
          <w:szCs w:val="19"/>
          <w:color w:val="auto"/>
        </w:rPr>
        <w:t>Amendment.  Arctic Vision Parent may engage a qualified Third Party to perform any such obligations, provided that Arctic</w:t>
      </w:r>
    </w:p>
    <w:p>
      <w:pPr>
        <w:spacing w:after="0" w:line="52" w:lineRule="exact"/>
        <w:rPr>
          <w:sz w:val="20"/>
          <w:szCs w:val="20"/>
          <w:color w:val="auto"/>
        </w:rPr>
      </w:pPr>
    </w:p>
    <w:p>
      <w:pPr>
        <w:ind w:left="180"/>
        <w:spacing w:after="0"/>
        <w:rPr>
          <w:sz w:val="20"/>
          <w:szCs w:val="20"/>
          <w:color w:val="auto"/>
        </w:rPr>
      </w:pPr>
      <w:r>
        <w:rPr>
          <w:rFonts w:ascii="Arial" w:cs="Arial" w:eastAsia="Arial" w:hAnsi="Arial"/>
          <w:sz w:val="19"/>
          <w:szCs w:val="19"/>
          <w:color w:val="auto"/>
        </w:rPr>
        <w:t>Vision Parent shall in any case remain responsible for such performance. Arctic Vision Parent acknowledges and agrees that</w:t>
      </w:r>
    </w:p>
    <w:p>
      <w:pPr>
        <w:spacing w:after="0" w:line="52" w:lineRule="exact"/>
        <w:rPr>
          <w:sz w:val="20"/>
          <w:szCs w:val="20"/>
          <w:color w:val="auto"/>
        </w:rPr>
      </w:pPr>
    </w:p>
    <w:p>
      <w:pPr>
        <w:ind w:left="180"/>
        <w:spacing w:after="0"/>
        <w:rPr>
          <w:sz w:val="20"/>
          <w:szCs w:val="20"/>
          <w:color w:val="auto"/>
        </w:rPr>
      </w:pPr>
      <w:r>
        <w:rPr>
          <w:rFonts w:ascii="Arial" w:cs="Arial" w:eastAsia="Arial" w:hAnsi="Arial"/>
          <w:sz w:val="19"/>
          <w:szCs w:val="19"/>
          <w:color w:val="auto"/>
        </w:rPr>
        <w:t>this guarantee is full and unconditional, and no release of Arctic Vision’s liabilities (other than in accordance with the terms of</w:t>
      </w:r>
    </w:p>
    <w:p>
      <w:pPr>
        <w:spacing w:after="0" w:line="52" w:lineRule="exact"/>
        <w:rPr>
          <w:sz w:val="20"/>
          <w:szCs w:val="20"/>
          <w:color w:val="auto"/>
        </w:rPr>
      </w:pPr>
    </w:p>
    <w:p>
      <w:pPr>
        <w:ind w:left="180"/>
        <w:spacing w:after="0"/>
        <w:rPr>
          <w:sz w:val="20"/>
          <w:szCs w:val="20"/>
          <w:color w:val="auto"/>
        </w:rPr>
      </w:pPr>
      <w:r>
        <w:rPr>
          <w:rFonts w:ascii="Arial" w:cs="Arial" w:eastAsia="Arial" w:hAnsi="Arial"/>
          <w:sz w:val="21"/>
          <w:szCs w:val="21"/>
          <w:color w:val="auto"/>
        </w:rPr>
        <w:t>this Amendment), whether by decree in any bankruptcy proceeding or otherwise, will affect the continuing validity and</w:t>
      </w:r>
    </w:p>
    <w:p>
      <w:pPr>
        <w:spacing w:after="0" w:line="29" w:lineRule="exact"/>
        <w:rPr>
          <w:sz w:val="20"/>
          <w:szCs w:val="20"/>
          <w:color w:val="auto"/>
        </w:rPr>
      </w:pPr>
    </w:p>
    <w:p>
      <w:pPr>
        <w:ind w:left="180"/>
        <w:spacing w:after="0"/>
        <w:rPr>
          <w:sz w:val="20"/>
          <w:szCs w:val="20"/>
          <w:color w:val="auto"/>
        </w:rPr>
      </w:pPr>
      <w:r>
        <w:rPr>
          <w:rFonts w:ascii="Arial" w:cs="Arial" w:eastAsia="Arial" w:hAnsi="Arial"/>
          <w:sz w:val="19"/>
          <w:szCs w:val="19"/>
          <w:color w:val="auto"/>
        </w:rPr>
        <w:t>enforceability of this guarantee. If and each time that Arctic Vision fails to make any undisputed payment when it is due under</w:t>
      </w:r>
    </w:p>
    <w:p>
      <w:pPr>
        <w:spacing w:after="0" w:line="52" w:lineRule="exact"/>
        <w:rPr>
          <w:sz w:val="20"/>
          <w:szCs w:val="20"/>
          <w:color w:val="auto"/>
        </w:rPr>
      </w:pPr>
    </w:p>
    <w:p>
      <w:pPr>
        <w:ind w:left="180"/>
        <w:spacing w:after="0"/>
        <w:rPr>
          <w:sz w:val="20"/>
          <w:szCs w:val="20"/>
          <w:color w:val="auto"/>
        </w:rPr>
      </w:pPr>
      <w:r>
        <w:rPr>
          <w:rFonts w:ascii="Arial" w:cs="Arial" w:eastAsia="Arial" w:hAnsi="Arial"/>
          <w:sz w:val="19"/>
          <w:szCs w:val="19"/>
          <w:color w:val="auto"/>
        </w:rPr>
        <w:t>or pursuant to this Amendment, Arctic Vision Parent must at Clearside’s request (without requiring Clearside first to take steps</w:t>
      </w:r>
    </w:p>
    <w:p>
      <w:pPr>
        <w:spacing w:after="0" w:line="52" w:lineRule="exact"/>
        <w:rPr>
          <w:sz w:val="20"/>
          <w:szCs w:val="20"/>
          <w:color w:val="auto"/>
        </w:rPr>
      </w:pPr>
    </w:p>
    <w:p>
      <w:pPr>
        <w:ind w:left="180"/>
        <w:spacing w:after="0"/>
        <w:rPr>
          <w:sz w:val="20"/>
          <w:szCs w:val="20"/>
          <w:color w:val="auto"/>
        </w:rPr>
      </w:pPr>
      <w:r>
        <w:rPr>
          <w:rFonts w:ascii="Arial" w:cs="Arial" w:eastAsia="Arial" w:hAnsi="Arial"/>
          <w:sz w:val="19"/>
          <w:szCs w:val="19"/>
          <w:color w:val="auto"/>
        </w:rPr>
        <w:t>against Arctic Vision) pay directly to Clearside the relevant amount as if it were the principal obligor in respect of that amount.</w:t>
      </w:r>
    </w:p>
    <w:p>
      <w:pPr>
        <w:spacing w:after="0" w:line="257" w:lineRule="exact"/>
        <w:rPr>
          <w:sz w:val="20"/>
          <w:szCs w:val="20"/>
          <w:color w:val="auto"/>
        </w:rPr>
      </w:pPr>
    </w:p>
    <w:p>
      <w:pPr>
        <w:jc w:val="both"/>
        <w:ind w:left="180" w:hanging="161"/>
        <w:spacing w:after="0" w:line="261" w:lineRule="auto"/>
        <w:rPr>
          <w:sz w:val="20"/>
          <w:szCs w:val="20"/>
          <w:color w:val="auto"/>
        </w:rPr>
      </w:pPr>
      <w:r>
        <w:rPr>
          <w:rFonts w:ascii="Arial" w:cs="Arial" w:eastAsia="Arial" w:hAnsi="Arial"/>
          <w:sz w:val="22"/>
          <w:szCs w:val="22"/>
          <w:b w:val="1"/>
          <w:bCs w:val="1"/>
          <w:color w:val="auto"/>
        </w:rPr>
        <w:t>7.P</w:t>
      </w:r>
      <w:r>
        <w:rPr>
          <w:rFonts w:ascii="Arial" w:cs="Arial" w:eastAsia="Arial" w:hAnsi="Arial"/>
          <w:sz w:val="14"/>
          <w:szCs w:val="14"/>
          <w:b w:val="1"/>
          <w:bCs w:val="1"/>
          <w:color w:val="auto"/>
        </w:rPr>
        <w:t>ATENT</w:t>
      </w:r>
      <w:r>
        <w:rPr>
          <w:rFonts w:ascii="Arial" w:cs="Arial" w:eastAsia="Arial" w:hAnsi="Arial"/>
          <w:sz w:val="22"/>
          <w:szCs w:val="22"/>
          <w:b w:val="1"/>
          <w:bCs w:val="1"/>
          <w:color w:val="auto"/>
        </w:rPr>
        <w:t xml:space="preserve"> R</w:t>
      </w:r>
      <w:r>
        <w:rPr>
          <w:rFonts w:ascii="Arial" w:cs="Arial" w:eastAsia="Arial" w:hAnsi="Arial"/>
          <w:sz w:val="14"/>
          <w:szCs w:val="14"/>
          <w:b w:val="1"/>
          <w:bCs w:val="1"/>
          <w:color w:val="auto"/>
        </w:rPr>
        <w:t>IGHTS AND</w:t>
      </w:r>
      <w:r>
        <w:rPr>
          <w:rFonts w:ascii="Arial" w:cs="Arial" w:eastAsia="Arial" w:hAnsi="Arial"/>
          <w:sz w:val="22"/>
          <w:szCs w:val="22"/>
          <w:b w:val="1"/>
          <w:bCs w:val="1"/>
          <w:color w:val="auto"/>
        </w:rPr>
        <w:t xml:space="preserve"> T</w:t>
      </w:r>
      <w:r>
        <w:rPr>
          <w:rFonts w:ascii="Arial" w:cs="Arial" w:eastAsia="Arial" w:hAnsi="Arial"/>
          <w:sz w:val="14"/>
          <w:szCs w:val="14"/>
          <w:b w:val="1"/>
          <w:bCs w:val="1"/>
          <w:color w:val="auto"/>
        </w:rPr>
        <w:t>ECHNOLOGY</w:t>
      </w:r>
      <w:r>
        <w:rPr>
          <w:rFonts w:ascii="Arial" w:cs="Arial" w:eastAsia="Arial" w:hAnsi="Arial"/>
          <w:sz w:val="22"/>
          <w:szCs w:val="22"/>
          <w:b w:val="1"/>
          <w:bCs w:val="1"/>
          <w:color w:val="auto"/>
        </w:rPr>
        <w:t xml:space="preserve"> S</w:t>
      </w:r>
      <w:r>
        <w:rPr>
          <w:rFonts w:ascii="Arial" w:cs="Arial" w:eastAsia="Arial" w:hAnsi="Arial"/>
          <w:sz w:val="14"/>
          <w:szCs w:val="14"/>
          <w:b w:val="1"/>
          <w:bCs w:val="1"/>
          <w:color w:val="auto"/>
        </w:rPr>
        <w:t>HARING</w:t>
      </w:r>
      <w:r>
        <w:rPr>
          <w:rFonts w:ascii="Arial" w:cs="Arial" w:eastAsia="Arial" w:hAnsi="Arial"/>
          <w:sz w:val="22"/>
          <w:szCs w:val="22"/>
          <w:color w:val="auto"/>
        </w:rPr>
        <w:t>. The list of Patent Rights that are Controlled by Clearside as of the Amendment</w:t>
      </w:r>
      <w:r>
        <w:rPr>
          <w:rFonts w:ascii="Arial" w:cs="Arial" w:eastAsia="Arial" w:hAnsi="Arial"/>
          <w:sz w:val="22"/>
          <w:szCs w:val="22"/>
          <w:b w:val="1"/>
          <w:bCs w:val="1"/>
          <w:color w:val="auto"/>
        </w:rPr>
        <w:t xml:space="preserve"> </w:t>
      </w:r>
      <w:r>
        <w:rPr>
          <w:rFonts w:ascii="Arial" w:cs="Arial" w:eastAsia="Arial" w:hAnsi="Arial"/>
          <w:sz w:val="22"/>
          <w:szCs w:val="22"/>
          <w:color w:val="auto"/>
        </w:rPr>
        <w:t>Effective Date and that Cover any Licensed Product, or its Development, Manufacture or Commercialization in the Field in any of (i) Brunei, (ii) Cambodia, (iii) India, (iv) Indonesia, (v) Laos, (vi) Malaysia, (vii) Myanmar, (viii) the Philippines, (ix) Singapore, (x) Thailand, or (xi) Vietnam, are attached hereto as Schedule A, and shall be appended to Exhibit A of the Agreement. The lists of documents attached hereto as Schedule B(i) and Schedule B(ii) shall be appended to Exhibit B(i) and Exhibit B(ii) of the Agreement, respectively.</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[Signature Page to Follow]</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w:t>
      </w:r>
      <w:r>
        <w:rPr>
          <w:rFonts w:ascii="Arial" w:cs="Arial" w:eastAsia="Arial" w:hAnsi="Arial"/>
          <w:sz w:val="14"/>
          <w:szCs w:val="14"/>
          <w:b w:val="1"/>
          <w:bCs w:val="1"/>
          <w:color w:val="auto"/>
        </w:rPr>
        <w:t>N</w:t>
      </w:r>
      <w:r>
        <w:rPr>
          <w:rFonts w:ascii="Arial" w:cs="Arial" w:eastAsia="Arial" w:hAnsi="Arial"/>
          <w:sz w:val="22"/>
          <w:szCs w:val="22"/>
          <w:b w:val="1"/>
          <w:bCs w:val="1"/>
          <w:color w:val="auto"/>
        </w:rPr>
        <w:t xml:space="preserve"> W</w:t>
      </w:r>
      <w:r>
        <w:rPr>
          <w:rFonts w:ascii="Arial" w:cs="Arial" w:eastAsia="Arial" w:hAnsi="Arial"/>
          <w:sz w:val="14"/>
          <w:szCs w:val="14"/>
          <w:b w:val="1"/>
          <w:bCs w:val="1"/>
          <w:color w:val="auto"/>
        </w:rPr>
        <w:t>ITNESS</w:t>
      </w:r>
      <w:r>
        <w:rPr>
          <w:rFonts w:ascii="Arial" w:cs="Arial" w:eastAsia="Arial" w:hAnsi="Arial"/>
          <w:sz w:val="22"/>
          <w:szCs w:val="22"/>
          <w:b w:val="1"/>
          <w:bCs w:val="1"/>
          <w:color w:val="auto"/>
        </w:rPr>
        <w:t xml:space="preserve"> W</w:t>
      </w:r>
      <w:r>
        <w:rPr>
          <w:rFonts w:ascii="Arial" w:cs="Arial" w:eastAsia="Arial" w:hAnsi="Arial"/>
          <w:sz w:val="14"/>
          <w:szCs w:val="14"/>
          <w:b w:val="1"/>
          <w:bCs w:val="1"/>
          <w:color w:val="auto"/>
        </w:rPr>
        <w:t>HEREOF</w:t>
      </w:r>
      <w:r>
        <w:rPr>
          <w:rFonts w:ascii="Arial" w:cs="Arial" w:eastAsia="Arial" w:hAnsi="Arial"/>
          <w:sz w:val="22"/>
          <w:szCs w:val="22"/>
          <w:color w:val="auto"/>
        </w:rPr>
        <w:t>, the Parties have caused this Amendment to be executed as of the Amendment Effective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367030</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29" w:name="page30"/>
    <w:bookmarkEnd w:id="29"/>
    <w:p>
      <w:pPr>
        <w:spacing w:after="0" w:line="297" w:lineRule="auto"/>
        <w:rPr>
          <w:sz w:val="20"/>
          <w:szCs w:val="20"/>
          <w:color w:val="auto"/>
        </w:rPr>
      </w:pPr>
      <w:r>
        <w:rPr>
          <w:rFonts w:ascii="Arial" w:cs="Arial" w:eastAsia="Arial" w:hAnsi="Arial"/>
          <w:sz w:val="18"/>
          <w:szCs w:val="18"/>
          <w:b w:val="1"/>
          <w:bCs w:val="1"/>
          <w:color w:val="auto"/>
        </w:rPr>
        <w:t>CERTAIN CONFIDENTIAL INFORMATION CONTAINED IN THIS DOCUMENT, MARKED BY [***], HAS BEEN OMITTED BECAUSE IT IS BOTH (I) NOT MATERIAL AND (II) IS THE TYPE THAT THE REGISTRANT TREATS AS PRIVATE OR CONFIDENTIAL.</w:t>
      </w:r>
    </w:p>
    <w:p>
      <w:pPr>
        <w:sectPr>
          <w:pgSz w:w="11900" w:h="16838" w:orient="portrait"/>
          <w:cols w:equalWidth="0" w:num="1">
            <w:col w:w="11040"/>
          </w:cols>
          <w:pgMar w:left="320" w:top="135" w:right="5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auto"/>
        </w:rPr>
        <w:t>C</w:t>
      </w:r>
      <w:r>
        <w:rPr>
          <w:rFonts w:ascii="Arial" w:cs="Arial" w:eastAsia="Arial" w:hAnsi="Arial"/>
          <w:sz w:val="14"/>
          <w:szCs w:val="14"/>
          <w:b w:val="1"/>
          <w:bCs w:val="1"/>
          <w:color w:val="auto"/>
        </w:rPr>
        <w:t>LEARSIDE</w:t>
      </w:r>
      <w:r>
        <w:rPr>
          <w:rFonts w:ascii="Arial" w:cs="Arial" w:eastAsia="Arial" w:hAnsi="Arial"/>
          <w:sz w:val="22"/>
          <w:szCs w:val="22"/>
          <w:b w:val="1"/>
          <w:bCs w:val="1"/>
          <w:color w:val="auto"/>
        </w:rPr>
        <w:t xml:space="preserve"> B</w:t>
      </w:r>
      <w:r>
        <w:rPr>
          <w:rFonts w:ascii="Arial" w:cs="Arial" w:eastAsia="Arial" w:hAnsi="Arial"/>
          <w:sz w:val="14"/>
          <w:szCs w:val="14"/>
          <w:b w:val="1"/>
          <w:bCs w:val="1"/>
          <w:color w:val="auto"/>
        </w:rPr>
        <w:t>IOMEDICAL</w:t>
      </w:r>
      <w:r>
        <w:rPr>
          <w:rFonts w:ascii="Arial" w:cs="Arial" w:eastAsia="Arial" w:hAnsi="Arial"/>
          <w:sz w:val="22"/>
          <w:szCs w:val="22"/>
          <w:b w:val="1"/>
          <w:bCs w:val="1"/>
          <w:color w:val="auto"/>
        </w:rPr>
        <w:t>, I</w:t>
      </w:r>
      <w:r>
        <w:rPr>
          <w:rFonts w:ascii="Arial" w:cs="Arial" w:eastAsia="Arial" w:hAnsi="Arial"/>
          <w:sz w:val="14"/>
          <w:szCs w:val="14"/>
          <w:b w:val="1"/>
          <w:bCs w:val="1"/>
          <w:color w:val="auto"/>
        </w:rPr>
        <w:t>NC</w:t>
      </w:r>
      <w:r>
        <w:rPr>
          <w:rFonts w:ascii="Arial" w:cs="Arial" w:eastAsia="Arial" w:hAnsi="Arial"/>
          <w:sz w:val="22"/>
          <w:szCs w:val="22"/>
          <w:b w:val="1"/>
          <w:bCs w:val="1"/>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w:t>
      </w:r>
      <w:r>
        <w:rPr>
          <w:rFonts w:ascii="Arial" w:cs="Arial" w:eastAsia="Arial" w:hAnsi="Arial"/>
          <w:sz w:val="14"/>
          <w:szCs w:val="14"/>
          <w:b w:val="1"/>
          <w:bCs w:val="1"/>
          <w:color w:val="auto"/>
        </w:rPr>
        <w:t>RCTIC</w:t>
      </w:r>
      <w:r>
        <w:rPr>
          <w:rFonts w:ascii="Arial" w:cs="Arial" w:eastAsia="Arial" w:hAnsi="Arial"/>
          <w:sz w:val="22"/>
          <w:szCs w:val="22"/>
          <w:b w:val="1"/>
          <w:bCs w:val="1"/>
          <w:color w:val="auto"/>
        </w:rPr>
        <w:t xml:space="preserve"> V</w:t>
      </w:r>
      <w:r>
        <w:rPr>
          <w:rFonts w:ascii="Arial" w:cs="Arial" w:eastAsia="Arial" w:hAnsi="Arial"/>
          <w:sz w:val="14"/>
          <w:szCs w:val="14"/>
          <w:b w:val="1"/>
          <w:bCs w:val="1"/>
          <w:color w:val="auto"/>
        </w:rPr>
        <w:t>ISION</w:t>
      </w:r>
      <w:r>
        <w:rPr>
          <w:rFonts w:ascii="Arial" w:cs="Arial" w:eastAsia="Arial" w:hAnsi="Arial"/>
          <w:sz w:val="22"/>
          <w:szCs w:val="22"/>
          <w:b w:val="1"/>
          <w:bCs w:val="1"/>
          <w:color w:val="auto"/>
        </w:rPr>
        <w:t xml:space="preserve"> (H</w:t>
      </w:r>
      <w:r>
        <w:rPr>
          <w:rFonts w:ascii="Arial" w:cs="Arial" w:eastAsia="Arial" w:hAnsi="Arial"/>
          <w:sz w:val="14"/>
          <w:szCs w:val="14"/>
          <w:b w:val="1"/>
          <w:bCs w:val="1"/>
          <w:color w:val="auto"/>
        </w:rPr>
        <w:t>ONG</w:t>
      </w:r>
      <w:r>
        <w:rPr>
          <w:rFonts w:ascii="Arial" w:cs="Arial" w:eastAsia="Arial" w:hAnsi="Arial"/>
          <w:sz w:val="22"/>
          <w:szCs w:val="22"/>
          <w:b w:val="1"/>
          <w:bCs w:val="1"/>
          <w:color w:val="auto"/>
        </w:rPr>
        <w:t xml:space="preserve"> K</w:t>
      </w:r>
      <w:r>
        <w:rPr>
          <w:rFonts w:ascii="Arial" w:cs="Arial" w:eastAsia="Arial" w:hAnsi="Arial"/>
          <w:sz w:val="14"/>
          <w:szCs w:val="14"/>
          <w:b w:val="1"/>
          <w:bCs w:val="1"/>
          <w:color w:val="auto"/>
        </w:rPr>
        <w:t>ONG</w:t>
      </w:r>
      <w:r>
        <w:rPr>
          <w:rFonts w:ascii="Arial" w:cs="Arial" w:eastAsia="Arial" w:hAnsi="Arial"/>
          <w:sz w:val="22"/>
          <w:szCs w:val="22"/>
          <w:b w:val="1"/>
          <w:bCs w:val="1"/>
          <w:color w:val="auto"/>
        </w:rPr>
        <w:t>) L</w:t>
      </w:r>
      <w:r>
        <w:rPr>
          <w:rFonts w:ascii="Arial" w:cs="Arial" w:eastAsia="Arial" w:hAnsi="Arial"/>
          <w:sz w:val="14"/>
          <w:szCs w:val="14"/>
          <w:b w:val="1"/>
          <w:bCs w:val="1"/>
          <w:color w:val="auto"/>
        </w:rPr>
        <w:t>IMITED</w:t>
      </w:r>
    </w:p>
    <w:p>
      <w:pPr>
        <w:spacing w:after="0" w:line="200" w:lineRule="exact"/>
        <w:rPr>
          <w:sz w:val="20"/>
          <w:szCs w:val="20"/>
          <w:color w:val="auto"/>
        </w:rPr>
      </w:pPr>
    </w:p>
    <w:p>
      <w:pPr>
        <w:sectPr>
          <w:pgSz w:w="11900" w:h="16838" w:orient="portrait"/>
          <w:cols w:equalWidth="0" w:num="2">
            <w:col w:w="4920" w:space="720"/>
            <w:col w:w="5400"/>
          </w:cols>
          <w:pgMar w:left="320" w:top="135" w:right="539" w:bottom="1440" w:gutter="0" w:footer="0" w:header="0"/>
          <w:type w:val="continuous"/>
        </w:sectPr>
      </w:pPr>
    </w:p>
    <w:p>
      <w:pPr>
        <w:spacing w:after="0" w:line="363" w:lineRule="exact"/>
        <w:rPr>
          <w:sz w:val="20"/>
          <w:szCs w:val="20"/>
          <w:color w:val="auto"/>
        </w:rPr>
      </w:pPr>
    </w:p>
    <w:p>
      <w:pPr>
        <w:ind w:left="40"/>
        <w:spacing w:after="0"/>
        <w:rPr>
          <w:sz w:val="20"/>
          <w:szCs w:val="20"/>
          <w:color w:val="auto"/>
        </w:rPr>
      </w:pPr>
      <w:r>
        <w:rPr>
          <w:rFonts w:ascii="Arial" w:cs="Arial" w:eastAsia="Arial" w:hAnsi="Arial"/>
          <w:sz w:val="19"/>
          <w:szCs w:val="19"/>
          <w:color w:val="auto"/>
        </w:rPr>
        <w:t>By: /s/ George Lasezkay</w:t>
      </w:r>
    </w:p>
    <w:p>
      <w:pPr>
        <w:spacing w:after="0" w:line="20" w:lineRule="exact"/>
        <w:rPr>
          <w:sz w:val="20"/>
          <w:szCs w:val="20"/>
          <w:color w:val="auto"/>
        </w:rPr>
      </w:pPr>
      <w:r>
        <w:rPr>
          <w:sz w:val="20"/>
          <w:szCs w:val="20"/>
          <w:color w:val="auto"/>
        </w:rPr>
        <w:br w:type="column"/>
      </w:r>
    </w:p>
    <w:p>
      <w:pPr>
        <w:spacing w:after="0" w:line="343" w:lineRule="exact"/>
        <w:rPr>
          <w:sz w:val="20"/>
          <w:szCs w:val="20"/>
          <w:color w:val="auto"/>
        </w:rPr>
      </w:pPr>
    </w:p>
    <w:p>
      <w:pPr>
        <w:jc w:val="center"/>
        <w:ind w:right="3840"/>
        <w:spacing w:after="0"/>
        <w:rPr>
          <w:sz w:val="20"/>
          <w:szCs w:val="20"/>
          <w:color w:val="auto"/>
        </w:rPr>
      </w:pPr>
      <w:r>
        <w:rPr>
          <w:rFonts w:ascii="Arial" w:cs="Arial" w:eastAsia="Arial" w:hAnsi="Arial"/>
          <w:sz w:val="19"/>
          <w:szCs w:val="19"/>
          <w:color w:val="auto"/>
        </w:rPr>
        <w:t>By: /s/ Hoi Ti Wu</w:t>
      </w:r>
    </w:p>
    <w:p>
      <w:pPr>
        <w:spacing w:after="0" w:line="200" w:lineRule="exact"/>
        <w:rPr>
          <w:sz w:val="20"/>
          <w:szCs w:val="20"/>
          <w:color w:val="auto"/>
        </w:rPr>
      </w:pPr>
    </w:p>
    <w:p>
      <w:pPr>
        <w:sectPr>
          <w:pgSz w:w="11900" w:h="16838" w:orient="portrait"/>
          <w:cols w:equalWidth="0" w:num="2">
            <w:col w:w="4920" w:space="720"/>
            <w:col w:w="5400"/>
          </w:cols>
          <w:pgMar w:left="320" w:top="135" w:right="539" w:bottom="1440" w:gutter="0" w:footer="0" w:header="0"/>
          <w:type w:val="continuous"/>
        </w:sectPr>
      </w:pPr>
    </w:p>
    <w:p>
      <w:pPr>
        <w:spacing w:after="0" w:line="68" w:lineRule="exact"/>
        <w:rPr>
          <w:sz w:val="20"/>
          <w:szCs w:val="20"/>
          <w:color w:val="auto"/>
        </w:rPr>
      </w:pPr>
    </w:p>
    <w:p>
      <w:pPr>
        <w:ind w:left="40"/>
        <w:spacing w:after="0"/>
        <w:rPr>
          <w:sz w:val="20"/>
          <w:szCs w:val="20"/>
          <w:color w:val="auto"/>
        </w:rPr>
      </w:pPr>
      <w:r>
        <w:rPr>
          <w:rFonts w:ascii="Arial" w:cs="Arial" w:eastAsia="Arial" w:hAnsi="Arial"/>
          <w:sz w:val="19"/>
          <w:szCs w:val="19"/>
          <w:color w:val="auto"/>
        </w:rPr>
        <w:t>Name: George Lasezkay</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jc w:val="center"/>
        <w:ind w:right="3840"/>
        <w:spacing w:after="0"/>
        <w:rPr>
          <w:sz w:val="20"/>
          <w:szCs w:val="20"/>
          <w:color w:val="auto"/>
        </w:rPr>
      </w:pPr>
      <w:r>
        <w:rPr>
          <w:rFonts w:ascii="Arial" w:cs="Arial" w:eastAsia="Arial" w:hAnsi="Arial"/>
          <w:sz w:val="19"/>
          <w:szCs w:val="19"/>
          <w:color w:val="auto"/>
        </w:rPr>
        <w:t>Name: Hoi Ti Wu</w:t>
      </w:r>
    </w:p>
    <w:p>
      <w:pPr>
        <w:spacing w:after="0" w:line="200" w:lineRule="exact"/>
        <w:rPr>
          <w:sz w:val="20"/>
          <w:szCs w:val="20"/>
          <w:color w:val="auto"/>
        </w:rPr>
      </w:pPr>
    </w:p>
    <w:p>
      <w:pPr>
        <w:sectPr>
          <w:pgSz w:w="11900" w:h="16838" w:orient="portrait"/>
          <w:cols w:equalWidth="0" w:num="2">
            <w:col w:w="4920" w:space="720"/>
            <w:col w:w="5400"/>
          </w:cols>
          <w:pgMar w:left="320" w:top="135" w:right="539" w:bottom="1440" w:gutter="0" w:footer="0" w:header="0"/>
          <w:type w:val="continuous"/>
        </w:sectPr>
      </w:pPr>
    </w:p>
    <w:p>
      <w:pPr>
        <w:spacing w:after="0" w:line="68" w:lineRule="exact"/>
        <w:rPr>
          <w:sz w:val="20"/>
          <w:szCs w:val="20"/>
          <w:color w:val="auto"/>
        </w:rPr>
      </w:pPr>
    </w:p>
    <w:p>
      <w:pPr>
        <w:ind w:left="40"/>
        <w:spacing w:after="0"/>
        <w:rPr>
          <w:sz w:val="20"/>
          <w:szCs w:val="20"/>
          <w:color w:val="auto"/>
        </w:rPr>
      </w:pPr>
      <w:r>
        <w:rPr>
          <w:rFonts w:ascii="Arial" w:cs="Arial" w:eastAsia="Arial" w:hAnsi="Arial"/>
          <w:sz w:val="19"/>
          <w:szCs w:val="19"/>
          <w:color w:val="auto"/>
        </w:rPr>
        <w:t>Title: Chief Executive Officer</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jc w:val="center"/>
        <w:ind w:right="2800"/>
        <w:spacing w:after="0"/>
        <w:rPr>
          <w:sz w:val="20"/>
          <w:szCs w:val="20"/>
          <w:color w:val="auto"/>
        </w:rPr>
      </w:pPr>
      <w:r>
        <w:rPr>
          <w:rFonts w:ascii="Arial" w:cs="Arial" w:eastAsia="Arial" w:hAnsi="Arial"/>
          <w:sz w:val="19"/>
          <w:szCs w:val="19"/>
          <w:color w:val="auto"/>
        </w:rPr>
        <w:t>Title: Chief Executive Officer</w:t>
      </w:r>
    </w:p>
    <w:p>
      <w:pPr>
        <w:spacing w:after="0" w:line="200" w:lineRule="exact"/>
        <w:rPr>
          <w:sz w:val="20"/>
          <w:szCs w:val="20"/>
          <w:color w:val="auto"/>
        </w:rPr>
      </w:pPr>
    </w:p>
    <w:p>
      <w:pPr>
        <w:sectPr>
          <w:pgSz w:w="11900" w:h="16838" w:orient="portrait"/>
          <w:cols w:equalWidth="0" w:num="2">
            <w:col w:w="4920" w:space="720"/>
            <w:col w:w="5400"/>
          </w:cols>
          <w:pgMar w:left="320" w:top="135" w:right="539" w:bottom="1440" w:gutter="0" w:footer="0" w:header="0"/>
          <w:type w:val="continuous"/>
        </w:sect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w:t>
      </w:r>
      <w:r>
        <w:rPr>
          <w:rFonts w:ascii="Arial" w:cs="Arial" w:eastAsia="Arial" w:hAnsi="Arial"/>
          <w:sz w:val="13"/>
          <w:szCs w:val="13"/>
          <w:b w:val="1"/>
          <w:bCs w:val="1"/>
          <w:color w:val="auto"/>
        </w:rPr>
        <w:t>RCTIC</w:t>
      </w:r>
      <w:r>
        <w:rPr>
          <w:rFonts w:ascii="Arial" w:cs="Arial" w:eastAsia="Arial" w:hAnsi="Arial"/>
          <w:sz w:val="20"/>
          <w:szCs w:val="20"/>
          <w:b w:val="1"/>
          <w:bCs w:val="1"/>
          <w:color w:val="auto"/>
        </w:rPr>
        <w:t xml:space="preserve"> V</w:t>
      </w:r>
      <w:r>
        <w:rPr>
          <w:rFonts w:ascii="Arial" w:cs="Arial" w:eastAsia="Arial" w:hAnsi="Arial"/>
          <w:sz w:val="13"/>
          <w:szCs w:val="13"/>
          <w:b w:val="1"/>
          <w:bCs w:val="1"/>
          <w:color w:val="auto"/>
        </w:rPr>
        <w:t>ISION</w:t>
      </w:r>
      <w:r>
        <w:rPr>
          <w:rFonts w:ascii="Arial" w:cs="Arial" w:eastAsia="Arial" w:hAnsi="Arial"/>
          <w:sz w:val="20"/>
          <w:szCs w:val="20"/>
          <w:b w:val="1"/>
          <w:bCs w:val="1"/>
          <w:color w:val="auto"/>
        </w:rPr>
        <w:t xml:space="preserve"> C</w:t>
      </w:r>
      <w:r>
        <w:rPr>
          <w:rFonts w:ascii="Arial" w:cs="Arial" w:eastAsia="Arial" w:hAnsi="Arial"/>
          <w:sz w:val="13"/>
          <w:szCs w:val="13"/>
          <w:b w:val="1"/>
          <w:bCs w:val="1"/>
          <w:color w:val="auto"/>
        </w:rPr>
        <w:t>AYMAN</w:t>
      </w:r>
      <w:r>
        <w:rPr>
          <w:rFonts w:ascii="Arial" w:cs="Arial" w:eastAsia="Arial" w:hAnsi="Arial"/>
          <w:sz w:val="20"/>
          <w:szCs w:val="20"/>
          <w:b w:val="1"/>
          <w:bCs w:val="1"/>
          <w:color w:val="auto"/>
        </w:rPr>
        <w:t xml:space="preserve"> L</w:t>
      </w:r>
      <w:r>
        <w:rPr>
          <w:rFonts w:ascii="Arial" w:cs="Arial" w:eastAsia="Arial" w:hAnsi="Arial"/>
          <w:sz w:val="13"/>
          <w:szCs w:val="13"/>
          <w:b w:val="1"/>
          <w:bCs w:val="1"/>
          <w:color w:val="auto"/>
        </w:rPr>
        <w:t>IMITED</w:t>
      </w:r>
      <w:r>
        <w:rPr>
          <w:rFonts w:ascii="Arial" w:cs="Arial" w:eastAsia="Arial" w:hAnsi="Arial"/>
          <w:sz w:val="20"/>
          <w:szCs w:val="20"/>
          <w:b w:val="1"/>
          <w:bCs w:val="1"/>
          <w:color w:val="auto"/>
        </w:rPr>
        <w:t xml:space="preserve">  (solely for purposes of Section 6 (Guaranty))</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22"/>
          <w:szCs w:val="22"/>
          <w:color w:val="auto"/>
        </w:rPr>
        <w:t>By: /s/ Hoi Ti Wu</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Name: Hoi Ti Wu</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Title: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525780</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35" w:right="539" w:bottom="1440" w:gutter="0" w:footer="0" w:header="0"/>
          <w:type w:val="continuous"/>
        </w:sectPr>
      </w:pPr>
    </w:p>
    <w:bookmarkStart w:id="30" w:name="page31"/>
    <w:bookmarkEnd w:id="30"/>
    <w:p>
      <w:pPr>
        <w:spacing w:after="0" w:line="297" w:lineRule="auto"/>
        <w:rPr>
          <w:sz w:val="20"/>
          <w:szCs w:val="20"/>
          <w:color w:val="auto"/>
        </w:rPr>
      </w:pPr>
      <w:r>
        <w:rPr>
          <w:rFonts w:ascii="Arial" w:cs="Arial" w:eastAsia="Arial" w:hAnsi="Arial"/>
          <w:sz w:val="18"/>
          <w:szCs w:val="18"/>
          <w:b w:val="1"/>
          <w:bCs w:val="1"/>
          <w:color w:val="auto"/>
        </w:rPr>
        <w:t>CERTAIN CONFIDENTIAL INFORMATION CONTAINED IN THIS DOCUMENT, MARKED BY [***], HAS BEEN OMITTED BECAUSE IT IS BOTH (I) NOT MATERIAL AND (II) IS THE TYPE THAT THE REGISTRANT TREATS AS PRIVATE OR CONFIDENTIAL.</w:t>
      </w:r>
    </w:p>
    <w:p>
      <w:pPr>
        <w:spacing w:after="0" w:line="235" w:lineRule="exact"/>
        <w:rPr>
          <w:sz w:val="20"/>
          <w:szCs w:val="20"/>
          <w:color w:val="auto"/>
        </w:rPr>
      </w:pPr>
    </w:p>
    <w:p>
      <w:pPr>
        <w:jc w:val="center"/>
        <w:ind w:right="-219"/>
        <w:spacing w:after="0"/>
        <w:rPr>
          <w:sz w:val="20"/>
          <w:szCs w:val="20"/>
          <w:color w:val="auto"/>
        </w:rPr>
      </w:pPr>
      <w:r>
        <w:rPr>
          <w:rFonts w:ascii="Arial" w:cs="Arial" w:eastAsia="Arial" w:hAnsi="Arial"/>
          <w:sz w:val="22"/>
          <w:szCs w:val="22"/>
          <w:b w:val="1"/>
          <w:bCs w:val="1"/>
          <w:color w:val="auto"/>
        </w:rPr>
        <w:t>Schedule A</w:t>
      </w:r>
    </w:p>
    <w:p>
      <w:pPr>
        <w:spacing w:after="0" w:line="200" w:lineRule="exact"/>
        <w:rPr>
          <w:sz w:val="20"/>
          <w:szCs w:val="20"/>
          <w:color w:val="auto"/>
        </w:rPr>
      </w:pPr>
    </w:p>
    <w:p>
      <w:pPr>
        <w:spacing w:after="0" w:line="215"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706120</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35" w:right="539" w:bottom="1440" w:gutter="0" w:footer="0" w:header="0"/>
        </w:sectPr>
      </w:pPr>
    </w:p>
    <w:bookmarkStart w:id="31" w:name="page32"/>
    <w:bookmarkEnd w:id="31"/>
    <w:p>
      <w:pPr>
        <w:spacing w:after="0" w:line="297" w:lineRule="auto"/>
        <w:rPr>
          <w:sz w:val="20"/>
          <w:szCs w:val="20"/>
          <w:color w:val="auto"/>
        </w:rPr>
      </w:pPr>
      <w:r>
        <w:rPr>
          <w:rFonts w:ascii="Arial" w:cs="Arial" w:eastAsia="Arial" w:hAnsi="Arial"/>
          <w:sz w:val="18"/>
          <w:szCs w:val="18"/>
          <w:b w:val="1"/>
          <w:bCs w:val="1"/>
          <w:color w:val="auto"/>
        </w:rPr>
        <w:t>CERTAIN CONFIDENTIAL INFORMATION CONTAINED IN THIS DOCUMENT, MARKED BY [***], HAS BEEN OMITTED BECAUSE IT IS BOTH (I) NOT MATERIAL AND (II) IS THE TYPE THAT THE REGISTRANT TREATS AS PRIVATE OR CONFIDENTIAL.</w:t>
      </w:r>
    </w:p>
    <w:p>
      <w:pPr>
        <w:spacing w:after="0" w:line="235" w:lineRule="exact"/>
        <w:rPr>
          <w:sz w:val="20"/>
          <w:szCs w:val="20"/>
          <w:color w:val="auto"/>
        </w:rPr>
      </w:pPr>
    </w:p>
    <w:p>
      <w:pPr>
        <w:jc w:val="center"/>
        <w:ind w:right="-219"/>
        <w:spacing w:after="0"/>
        <w:rPr>
          <w:sz w:val="20"/>
          <w:szCs w:val="20"/>
          <w:color w:val="auto"/>
        </w:rPr>
      </w:pPr>
      <w:r>
        <w:rPr>
          <w:rFonts w:ascii="Arial" w:cs="Arial" w:eastAsia="Arial" w:hAnsi="Arial"/>
          <w:sz w:val="22"/>
          <w:szCs w:val="22"/>
          <w:b w:val="1"/>
          <w:bCs w:val="1"/>
          <w:color w:val="auto"/>
        </w:rPr>
        <w:t>Schedule B</w:t>
      </w:r>
    </w:p>
    <w:p>
      <w:pPr>
        <w:spacing w:after="0" w:line="239"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645795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35" w:right="539" w:bottom="1440" w:gutter="0" w:footer="0" w:header="0"/>
        </w:sectPr>
      </w:pPr>
    </w:p>
    <w:bookmarkStart w:id="32" w:name="page33"/>
    <w:bookmarkEnd w:id="32"/>
    <w:p>
      <w:pPr>
        <w:jc w:val="right"/>
        <w:spacing w:after="0"/>
        <w:rPr>
          <w:sz w:val="20"/>
          <w:szCs w:val="20"/>
          <w:color w:val="auto"/>
        </w:rPr>
      </w:pPr>
      <w:r>
        <w:rPr>
          <w:rFonts w:ascii="Arial" w:cs="Arial" w:eastAsia="Arial" w:hAnsi="Arial"/>
          <w:sz w:val="22"/>
          <w:szCs w:val="22"/>
          <w:b w:val="1"/>
          <w:bCs w:val="1"/>
          <w:color w:val="auto"/>
        </w:rPr>
        <w:t>Exhibit 10.2</w:t>
      </w:r>
    </w:p>
    <w:p>
      <w:pPr>
        <w:spacing w:after="0" w:line="296" w:lineRule="exact"/>
        <w:rPr>
          <w:sz w:val="20"/>
          <w:szCs w:val="20"/>
          <w:color w:val="auto"/>
        </w:rPr>
      </w:pPr>
    </w:p>
    <w:p>
      <w:pPr>
        <w:ind w:right="200"/>
        <w:spacing w:after="0" w:line="297" w:lineRule="auto"/>
        <w:rPr>
          <w:sz w:val="20"/>
          <w:szCs w:val="20"/>
          <w:color w:val="auto"/>
        </w:rPr>
      </w:pPr>
      <w:r>
        <w:rPr>
          <w:rFonts w:ascii="Arial" w:cs="Arial" w:eastAsia="Arial" w:hAnsi="Arial"/>
          <w:sz w:val="18"/>
          <w:szCs w:val="18"/>
          <w:b w:val="1"/>
          <w:bCs w:val="1"/>
          <w:color w:val="auto"/>
        </w:rPr>
        <w:t>CERTAIN CONFIDENTIAL INFORMATION CONTAINED IN THIS DOCUMENT, MARKED BY [***], HAS BEEN OMITTED BECAUSE IT IS BOTH (I) NOT MATERIAL AND (II) IS THE TYPE THAT THE REGISTRANT TREATS AS PRIVATE OR CONFIDENTIAL.</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w:t>
      </w:r>
      <w:r>
        <w:rPr>
          <w:rFonts w:ascii="Arial" w:cs="Arial" w:eastAsia="Arial" w:hAnsi="Arial"/>
          <w:sz w:val="14"/>
          <w:szCs w:val="14"/>
          <w:b w:val="1"/>
          <w:bCs w:val="1"/>
          <w:color w:val="auto"/>
        </w:rPr>
        <w:t>MENDMENT</w:t>
      </w:r>
      <w:r>
        <w:rPr>
          <w:rFonts w:ascii="Arial" w:cs="Arial" w:eastAsia="Arial" w:hAnsi="Arial"/>
          <w:sz w:val="22"/>
          <w:szCs w:val="22"/>
          <w:b w:val="1"/>
          <w:bCs w:val="1"/>
          <w:color w:val="auto"/>
        </w:rPr>
        <w:t xml:space="preserve"> N</w:t>
      </w:r>
      <w:r>
        <w:rPr>
          <w:rFonts w:ascii="Arial" w:cs="Arial" w:eastAsia="Arial" w:hAnsi="Arial"/>
          <w:sz w:val="14"/>
          <w:szCs w:val="14"/>
          <w:b w:val="1"/>
          <w:bCs w:val="1"/>
          <w:color w:val="auto"/>
        </w:rPr>
        <w:t>O</w:t>
      </w:r>
      <w:r>
        <w:rPr>
          <w:rFonts w:ascii="Arial" w:cs="Arial" w:eastAsia="Arial" w:hAnsi="Arial"/>
          <w:sz w:val="22"/>
          <w:szCs w:val="22"/>
          <w:b w:val="1"/>
          <w:bCs w:val="1"/>
          <w:color w:val="auto"/>
        </w:rPr>
        <w:t xml:space="preserve">. 2 </w:t>
      </w:r>
      <w:r>
        <w:rPr>
          <w:rFonts w:ascii="Arial" w:cs="Arial" w:eastAsia="Arial" w:hAnsi="Arial"/>
          <w:sz w:val="14"/>
          <w:szCs w:val="14"/>
          <w:b w:val="1"/>
          <w:bCs w:val="1"/>
          <w:color w:val="auto"/>
        </w:rPr>
        <w:t>TO</w:t>
      </w:r>
      <w:r>
        <w:rPr>
          <w:rFonts w:ascii="Arial" w:cs="Arial" w:eastAsia="Arial" w:hAnsi="Arial"/>
          <w:sz w:val="22"/>
          <w:szCs w:val="22"/>
          <w:b w:val="1"/>
          <w:bCs w:val="1"/>
          <w:color w:val="auto"/>
        </w:rPr>
        <w:t xml:space="preserve"> L</w:t>
      </w:r>
      <w:r>
        <w:rPr>
          <w:rFonts w:ascii="Arial" w:cs="Arial" w:eastAsia="Arial" w:hAnsi="Arial"/>
          <w:sz w:val="14"/>
          <w:szCs w:val="14"/>
          <w:b w:val="1"/>
          <w:bCs w:val="1"/>
          <w:color w:val="auto"/>
        </w:rPr>
        <w:t>ICENSE</w:t>
      </w:r>
      <w:r>
        <w:rPr>
          <w:rFonts w:ascii="Arial" w:cs="Arial" w:eastAsia="Arial" w:hAnsi="Arial"/>
          <w:sz w:val="22"/>
          <w:szCs w:val="22"/>
          <w:b w:val="1"/>
          <w:bCs w:val="1"/>
          <w:color w:val="auto"/>
        </w:rPr>
        <w:t xml:space="preserve"> A</w:t>
      </w:r>
      <w:r>
        <w:rPr>
          <w:rFonts w:ascii="Arial" w:cs="Arial" w:eastAsia="Arial" w:hAnsi="Arial"/>
          <w:sz w:val="14"/>
          <w:szCs w:val="14"/>
          <w:b w:val="1"/>
          <w:bCs w:val="1"/>
          <w:color w:val="auto"/>
        </w:rPr>
        <w:t>GREEMENT</w:t>
      </w:r>
    </w:p>
    <w:p>
      <w:pPr>
        <w:spacing w:after="0" w:line="233" w:lineRule="exact"/>
        <w:rPr>
          <w:sz w:val="20"/>
          <w:szCs w:val="20"/>
          <w:color w:val="auto"/>
        </w:rPr>
      </w:pPr>
    </w:p>
    <w:p>
      <w:pPr>
        <w:jc w:val="both"/>
        <w:ind w:firstLine="749"/>
        <w:spacing w:after="0" w:line="278" w:lineRule="auto"/>
        <w:rPr>
          <w:sz w:val="20"/>
          <w:szCs w:val="20"/>
          <w:color w:val="auto"/>
        </w:rPr>
      </w:pPr>
      <w:r>
        <w:rPr>
          <w:rFonts w:ascii="Arial" w:cs="Arial" w:eastAsia="Arial" w:hAnsi="Arial"/>
          <w:sz w:val="20"/>
          <w:szCs w:val="20"/>
          <w:color w:val="auto"/>
        </w:rPr>
        <w:t xml:space="preserve">This </w:t>
      </w:r>
      <w:r>
        <w:rPr>
          <w:rFonts w:ascii="Arial" w:cs="Arial" w:eastAsia="Arial" w:hAnsi="Arial"/>
          <w:sz w:val="20"/>
          <w:szCs w:val="20"/>
          <w:b w:val="1"/>
          <w:bCs w:val="1"/>
          <w:color w:val="auto"/>
        </w:rPr>
        <w:t>A</w:t>
      </w:r>
      <w:r>
        <w:rPr>
          <w:rFonts w:ascii="Arial" w:cs="Arial" w:eastAsia="Arial" w:hAnsi="Arial"/>
          <w:sz w:val="13"/>
          <w:szCs w:val="13"/>
          <w:b w:val="1"/>
          <w:bCs w:val="1"/>
          <w:color w:val="auto"/>
        </w:rPr>
        <w:t>MENDMENT</w:t>
      </w:r>
      <w:r>
        <w:rPr>
          <w:rFonts w:ascii="Arial" w:cs="Arial" w:eastAsia="Arial" w:hAnsi="Arial"/>
          <w:sz w:val="20"/>
          <w:szCs w:val="20"/>
          <w:color w:val="auto"/>
        </w:rPr>
        <w:t xml:space="preserve"> </w:t>
      </w:r>
      <w:r>
        <w:rPr>
          <w:rFonts w:ascii="Arial" w:cs="Arial" w:eastAsia="Arial" w:hAnsi="Arial"/>
          <w:sz w:val="20"/>
          <w:szCs w:val="20"/>
          <w:b w:val="1"/>
          <w:bCs w:val="1"/>
          <w:color w:val="auto"/>
        </w:rPr>
        <w:t>N</w:t>
      </w:r>
      <w:r>
        <w:rPr>
          <w:rFonts w:ascii="Arial" w:cs="Arial" w:eastAsia="Arial" w:hAnsi="Arial"/>
          <w:sz w:val="13"/>
          <w:szCs w:val="13"/>
          <w:b w:val="1"/>
          <w:bCs w:val="1"/>
          <w:color w:val="auto"/>
        </w:rPr>
        <w:t>O</w:t>
      </w:r>
      <w:r>
        <w:rPr>
          <w:rFonts w:ascii="Arial" w:cs="Arial" w:eastAsia="Arial" w:hAnsi="Arial"/>
          <w:sz w:val="20"/>
          <w:szCs w:val="20"/>
          <w:b w:val="1"/>
          <w:bCs w:val="1"/>
          <w:color w:val="auto"/>
        </w:rPr>
        <w:t>. 2</w:t>
      </w:r>
      <w:r>
        <w:rPr>
          <w:rFonts w:ascii="Arial" w:cs="Arial" w:eastAsia="Arial" w:hAnsi="Arial"/>
          <w:sz w:val="20"/>
          <w:szCs w:val="20"/>
          <w:color w:val="auto"/>
        </w:rPr>
        <w:t xml:space="preserve"> </w:t>
      </w:r>
      <w:r>
        <w:rPr>
          <w:rFonts w:ascii="Arial" w:cs="Arial" w:eastAsia="Arial" w:hAnsi="Arial"/>
          <w:sz w:val="13"/>
          <w:szCs w:val="13"/>
          <w:b w:val="1"/>
          <w:bCs w:val="1"/>
          <w:color w:val="auto"/>
        </w:rPr>
        <w:t>TO</w:t>
      </w:r>
      <w:r>
        <w:rPr>
          <w:rFonts w:ascii="Arial" w:cs="Arial" w:eastAsia="Arial" w:hAnsi="Arial"/>
          <w:sz w:val="20"/>
          <w:szCs w:val="20"/>
          <w:color w:val="auto"/>
        </w:rPr>
        <w:t xml:space="preserve"> </w:t>
      </w:r>
      <w:r>
        <w:rPr>
          <w:rFonts w:ascii="Arial" w:cs="Arial" w:eastAsia="Arial" w:hAnsi="Arial"/>
          <w:sz w:val="20"/>
          <w:szCs w:val="20"/>
          <w:b w:val="1"/>
          <w:bCs w:val="1"/>
          <w:color w:val="auto"/>
        </w:rPr>
        <w:t>L</w:t>
      </w:r>
      <w:r>
        <w:rPr>
          <w:rFonts w:ascii="Arial" w:cs="Arial" w:eastAsia="Arial" w:hAnsi="Arial"/>
          <w:sz w:val="13"/>
          <w:szCs w:val="13"/>
          <w:b w:val="1"/>
          <w:bCs w:val="1"/>
          <w:color w:val="auto"/>
        </w:rPr>
        <w:t>ICENSE</w:t>
      </w:r>
      <w:r>
        <w:rPr>
          <w:rFonts w:ascii="Arial" w:cs="Arial" w:eastAsia="Arial" w:hAnsi="Arial"/>
          <w:sz w:val="20"/>
          <w:szCs w:val="20"/>
          <w:color w:val="auto"/>
        </w:rPr>
        <w:t xml:space="preserve"> </w:t>
      </w:r>
      <w:r>
        <w:rPr>
          <w:rFonts w:ascii="Arial" w:cs="Arial" w:eastAsia="Arial" w:hAnsi="Arial"/>
          <w:sz w:val="20"/>
          <w:szCs w:val="20"/>
          <w:b w:val="1"/>
          <w:bCs w:val="1"/>
          <w:color w:val="auto"/>
        </w:rPr>
        <w:t>A</w:t>
      </w:r>
      <w:r>
        <w:rPr>
          <w:rFonts w:ascii="Arial" w:cs="Arial" w:eastAsia="Arial" w:hAnsi="Arial"/>
          <w:sz w:val="13"/>
          <w:szCs w:val="13"/>
          <w:b w:val="1"/>
          <w:bCs w:val="1"/>
          <w:color w:val="auto"/>
        </w:rPr>
        <w:t>GREEMENT</w:t>
      </w:r>
      <w:r>
        <w:rPr>
          <w:rFonts w:ascii="Arial" w:cs="Arial" w:eastAsia="Arial" w:hAnsi="Arial"/>
          <w:sz w:val="20"/>
          <w:szCs w:val="20"/>
          <w:color w:val="auto"/>
        </w:rPr>
        <w:t xml:space="preserve"> (the “</w:t>
      </w:r>
      <w:r>
        <w:rPr>
          <w:rFonts w:ascii="Arial" w:cs="Arial" w:eastAsia="Arial" w:hAnsi="Arial"/>
          <w:sz w:val="20"/>
          <w:szCs w:val="20"/>
          <w:b w:val="1"/>
          <w:bCs w:val="1"/>
          <w:u w:val="single" w:color="auto"/>
          <w:color w:val="auto"/>
        </w:rPr>
        <w:t>Amendment</w:t>
      </w:r>
      <w:r>
        <w:rPr>
          <w:rFonts w:ascii="Arial" w:cs="Arial" w:eastAsia="Arial" w:hAnsi="Arial"/>
          <w:sz w:val="20"/>
          <w:szCs w:val="20"/>
          <w:color w:val="auto"/>
        </w:rPr>
        <w:t>”) is effective as of September 9</w:t>
      </w:r>
      <w:r>
        <w:rPr>
          <w:rFonts w:ascii="Arial" w:cs="Arial" w:eastAsia="Arial" w:hAnsi="Arial"/>
          <w:sz w:val="26"/>
          <w:szCs w:val="26"/>
          <w:color w:val="auto"/>
          <w:vertAlign w:val="superscript"/>
        </w:rPr>
        <w:t>th</w:t>
      </w:r>
      <w:r>
        <w:rPr>
          <w:rFonts w:ascii="Arial" w:cs="Arial" w:eastAsia="Arial" w:hAnsi="Arial"/>
          <w:sz w:val="20"/>
          <w:szCs w:val="20"/>
          <w:color w:val="auto"/>
        </w:rPr>
        <w:t>, 2021 (the “</w:t>
      </w:r>
      <w:r>
        <w:rPr>
          <w:rFonts w:ascii="Arial" w:cs="Arial" w:eastAsia="Arial" w:hAnsi="Arial"/>
          <w:sz w:val="20"/>
          <w:szCs w:val="20"/>
          <w:b w:val="1"/>
          <w:bCs w:val="1"/>
          <w:u w:val="single" w:color="auto"/>
          <w:color w:val="auto"/>
        </w:rPr>
        <w:t>Amendment Effective Date</w:t>
      </w:r>
      <w:r>
        <w:rPr>
          <w:rFonts w:ascii="Arial" w:cs="Arial" w:eastAsia="Arial" w:hAnsi="Arial"/>
          <w:sz w:val="20"/>
          <w:szCs w:val="20"/>
          <w:color w:val="auto"/>
        </w:rPr>
        <w:t xml:space="preserve">”) by and between </w:t>
      </w:r>
      <w:r>
        <w:rPr>
          <w:rFonts w:ascii="Arial" w:cs="Arial" w:eastAsia="Arial" w:hAnsi="Arial"/>
          <w:sz w:val="20"/>
          <w:szCs w:val="20"/>
          <w:b w:val="1"/>
          <w:bCs w:val="1"/>
          <w:color w:val="auto"/>
        </w:rPr>
        <w:t>C</w:t>
      </w:r>
      <w:r>
        <w:rPr>
          <w:rFonts w:ascii="Arial" w:cs="Arial" w:eastAsia="Arial" w:hAnsi="Arial"/>
          <w:sz w:val="13"/>
          <w:szCs w:val="13"/>
          <w:b w:val="1"/>
          <w:bCs w:val="1"/>
          <w:color w:val="auto"/>
        </w:rPr>
        <w:t>LEARSIDE</w:t>
      </w:r>
      <w:r>
        <w:rPr>
          <w:rFonts w:ascii="Arial" w:cs="Arial" w:eastAsia="Arial" w:hAnsi="Arial"/>
          <w:sz w:val="20"/>
          <w:szCs w:val="20"/>
          <w:color w:val="auto"/>
        </w:rPr>
        <w:t xml:space="preserve"> </w:t>
      </w:r>
      <w:r>
        <w:rPr>
          <w:rFonts w:ascii="Arial" w:cs="Arial" w:eastAsia="Arial" w:hAnsi="Arial"/>
          <w:sz w:val="20"/>
          <w:szCs w:val="20"/>
          <w:b w:val="1"/>
          <w:bCs w:val="1"/>
          <w:color w:val="auto"/>
        </w:rPr>
        <w:t>B</w:t>
      </w:r>
      <w:r>
        <w:rPr>
          <w:rFonts w:ascii="Arial" w:cs="Arial" w:eastAsia="Arial" w:hAnsi="Arial"/>
          <w:sz w:val="13"/>
          <w:szCs w:val="13"/>
          <w:b w:val="1"/>
          <w:bCs w:val="1"/>
          <w:color w:val="auto"/>
        </w:rPr>
        <w:t>IOMEDICAL</w:t>
      </w:r>
      <w:r>
        <w:rPr>
          <w:rFonts w:ascii="Arial" w:cs="Arial" w:eastAsia="Arial" w:hAnsi="Arial"/>
          <w:sz w:val="20"/>
          <w:szCs w:val="20"/>
          <w:b w:val="1"/>
          <w:bCs w:val="1"/>
          <w:color w:val="auto"/>
        </w:rPr>
        <w:t>, I</w:t>
      </w:r>
      <w:r>
        <w:rPr>
          <w:rFonts w:ascii="Arial" w:cs="Arial" w:eastAsia="Arial" w:hAnsi="Arial"/>
          <w:sz w:val="13"/>
          <w:szCs w:val="13"/>
          <w:b w:val="1"/>
          <w:bCs w:val="1"/>
          <w:color w:val="auto"/>
        </w:rPr>
        <w:t>NC</w:t>
      </w:r>
      <w:r>
        <w:rPr>
          <w:rFonts w:ascii="Arial" w:cs="Arial" w:eastAsia="Arial" w:hAnsi="Arial"/>
          <w:sz w:val="20"/>
          <w:szCs w:val="20"/>
          <w:b w:val="1"/>
          <w:bCs w:val="1"/>
          <w:color w:val="auto"/>
        </w:rPr>
        <w:t>.</w:t>
      </w:r>
      <w:r>
        <w:rPr>
          <w:rFonts w:ascii="Arial" w:cs="Arial" w:eastAsia="Arial" w:hAnsi="Arial"/>
          <w:sz w:val="20"/>
          <w:szCs w:val="20"/>
          <w:color w:val="auto"/>
        </w:rPr>
        <w:t>, with a principal place of business at 900 North Point Parkway, Suite 200, Alpharetta, Georgia 30005 United States of America (“</w:t>
      </w:r>
      <w:r>
        <w:rPr>
          <w:rFonts w:ascii="Arial" w:cs="Arial" w:eastAsia="Arial" w:hAnsi="Arial"/>
          <w:sz w:val="20"/>
          <w:szCs w:val="20"/>
          <w:b w:val="1"/>
          <w:bCs w:val="1"/>
          <w:u w:val="single" w:color="auto"/>
          <w:color w:val="auto"/>
        </w:rPr>
        <w:t>Clearside</w:t>
      </w:r>
      <w:r>
        <w:rPr>
          <w:rFonts w:ascii="Arial" w:cs="Arial" w:eastAsia="Arial" w:hAnsi="Arial"/>
          <w:sz w:val="20"/>
          <w:szCs w:val="20"/>
          <w:color w:val="auto"/>
        </w:rPr>
        <w:t xml:space="preserve">”) and </w:t>
      </w:r>
      <w:r>
        <w:rPr>
          <w:rFonts w:ascii="Arial" w:cs="Arial" w:eastAsia="Arial" w:hAnsi="Arial"/>
          <w:sz w:val="20"/>
          <w:szCs w:val="20"/>
          <w:b w:val="1"/>
          <w:bCs w:val="1"/>
          <w:color w:val="auto"/>
        </w:rPr>
        <w:t>A</w:t>
      </w:r>
      <w:r>
        <w:rPr>
          <w:rFonts w:ascii="Arial" w:cs="Arial" w:eastAsia="Arial" w:hAnsi="Arial"/>
          <w:sz w:val="13"/>
          <w:szCs w:val="13"/>
          <w:b w:val="1"/>
          <w:bCs w:val="1"/>
          <w:color w:val="auto"/>
        </w:rPr>
        <w:t>RCTIC</w:t>
      </w:r>
      <w:r>
        <w:rPr>
          <w:rFonts w:ascii="Arial" w:cs="Arial" w:eastAsia="Arial" w:hAnsi="Arial"/>
          <w:sz w:val="20"/>
          <w:szCs w:val="20"/>
          <w:color w:val="auto"/>
        </w:rPr>
        <w:t xml:space="preserve"> </w:t>
      </w:r>
      <w:r>
        <w:rPr>
          <w:rFonts w:ascii="Arial" w:cs="Arial" w:eastAsia="Arial" w:hAnsi="Arial"/>
          <w:sz w:val="20"/>
          <w:szCs w:val="20"/>
          <w:b w:val="1"/>
          <w:bCs w:val="1"/>
          <w:color w:val="auto"/>
        </w:rPr>
        <w:t>V</w:t>
      </w:r>
      <w:r>
        <w:rPr>
          <w:rFonts w:ascii="Arial" w:cs="Arial" w:eastAsia="Arial" w:hAnsi="Arial"/>
          <w:sz w:val="13"/>
          <w:szCs w:val="13"/>
          <w:b w:val="1"/>
          <w:bCs w:val="1"/>
          <w:color w:val="auto"/>
        </w:rPr>
        <w:t>ISION</w:t>
      </w:r>
      <w:r>
        <w:rPr>
          <w:rFonts w:ascii="Arial" w:cs="Arial" w:eastAsia="Arial" w:hAnsi="Arial"/>
          <w:sz w:val="20"/>
          <w:szCs w:val="20"/>
          <w:color w:val="auto"/>
        </w:rPr>
        <w:t xml:space="preserve"> </w:t>
      </w:r>
      <w:r>
        <w:rPr>
          <w:rFonts w:ascii="Arial" w:cs="Arial" w:eastAsia="Arial" w:hAnsi="Arial"/>
          <w:sz w:val="20"/>
          <w:szCs w:val="20"/>
          <w:b w:val="1"/>
          <w:bCs w:val="1"/>
          <w:color w:val="auto"/>
        </w:rPr>
        <w:t>(H</w:t>
      </w:r>
      <w:r>
        <w:rPr>
          <w:rFonts w:ascii="Arial" w:cs="Arial" w:eastAsia="Arial" w:hAnsi="Arial"/>
          <w:sz w:val="13"/>
          <w:szCs w:val="13"/>
          <w:b w:val="1"/>
          <w:bCs w:val="1"/>
          <w:color w:val="auto"/>
        </w:rPr>
        <w:t>ONG</w:t>
      </w:r>
      <w:r>
        <w:rPr>
          <w:rFonts w:ascii="Arial" w:cs="Arial" w:eastAsia="Arial" w:hAnsi="Arial"/>
          <w:sz w:val="20"/>
          <w:szCs w:val="20"/>
          <w:color w:val="auto"/>
        </w:rPr>
        <w:t xml:space="preserve"> </w:t>
      </w:r>
      <w:r>
        <w:rPr>
          <w:rFonts w:ascii="Arial" w:cs="Arial" w:eastAsia="Arial" w:hAnsi="Arial"/>
          <w:sz w:val="20"/>
          <w:szCs w:val="20"/>
          <w:b w:val="1"/>
          <w:bCs w:val="1"/>
          <w:color w:val="auto"/>
        </w:rPr>
        <w:t>K</w:t>
      </w:r>
      <w:r>
        <w:rPr>
          <w:rFonts w:ascii="Arial" w:cs="Arial" w:eastAsia="Arial" w:hAnsi="Arial"/>
          <w:sz w:val="13"/>
          <w:szCs w:val="13"/>
          <w:b w:val="1"/>
          <w:bCs w:val="1"/>
          <w:color w:val="auto"/>
        </w:rPr>
        <w:t>ONG</w:t>
      </w:r>
      <w:r>
        <w:rPr>
          <w:rFonts w:ascii="Arial" w:cs="Arial" w:eastAsia="Arial" w:hAnsi="Arial"/>
          <w:sz w:val="20"/>
          <w:szCs w:val="20"/>
          <w:b w:val="1"/>
          <w:bCs w:val="1"/>
          <w:color w:val="auto"/>
        </w:rPr>
        <w:t>)</w:t>
      </w:r>
      <w:r>
        <w:rPr>
          <w:rFonts w:ascii="Arial" w:cs="Arial" w:eastAsia="Arial" w:hAnsi="Arial"/>
          <w:sz w:val="20"/>
          <w:szCs w:val="20"/>
          <w:color w:val="auto"/>
        </w:rPr>
        <w:t xml:space="preserve"> </w:t>
      </w:r>
      <w:r>
        <w:rPr>
          <w:rFonts w:ascii="Arial" w:cs="Arial" w:eastAsia="Arial" w:hAnsi="Arial"/>
          <w:sz w:val="20"/>
          <w:szCs w:val="20"/>
          <w:b w:val="1"/>
          <w:bCs w:val="1"/>
          <w:color w:val="auto"/>
        </w:rPr>
        <w:t>L</w:t>
      </w:r>
      <w:r>
        <w:rPr>
          <w:rFonts w:ascii="Arial" w:cs="Arial" w:eastAsia="Arial" w:hAnsi="Arial"/>
          <w:sz w:val="13"/>
          <w:szCs w:val="13"/>
          <w:b w:val="1"/>
          <w:bCs w:val="1"/>
          <w:color w:val="auto"/>
        </w:rPr>
        <w:t>IMITED</w:t>
      </w:r>
      <w:r>
        <w:rPr>
          <w:rFonts w:ascii="Arial" w:cs="Arial" w:eastAsia="Arial" w:hAnsi="Arial"/>
          <w:sz w:val="20"/>
          <w:szCs w:val="20"/>
          <w:color w:val="auto"/>
        </w:rPr>
        <w:t>, with a principal place of business at 23/F Nan Fung Tower 88 Connaught Road C &amp; 173 Des Voeux Road C, Central,</w:t>
      </w:r>
      <w:r>
        <w:rPr>
          <w:rFonts w:ascii="Arial" w:cs="Arial" w:eastAsia="Arial" w:hAnsi="Arial"/>
          <w:sz w:val="20"/>
          <w:szCs w:val="20"/>
          <w:b w:val="1"/>
          <w:bCs w:val="1"/>
          <w:color w:val="auto"/>
        </w:rPr>
        <w:t xml:space="preserve"> </w:t>
      </w:r>
      <w:r>
        <w:rPr>
          <w:rFonts w:ascii="Arial" w:cs="Arial" w:eastAsia="Arial" w:hAnsi="Arial"/>
          <w:sz w:val="20"/>
          <w:szCs w:val="20"/>
          <w:color w:val="auto"/>
        </w:rPr>
        <w:t>Hong Kong (“</w:t>
      </w:r>
      <w:r>
        <w:rPr>
          <w:rFonts w:ascii="Arial" w:cs="Arial" w:eastAsia="Arial" w:hAnsi="Arial"/>
          <w:sz w:val="20"/>
          <w:szCs w:val="20"/>
          <w:b w:val="1"/>
          <w:bCs w:val="1"/>
          <w:u w:val="single" w:color="auto"/>
          <w:color w:val="auto"/>
        </w:rPr>
        <w:t>Arctic Vision</w:t>
      </w:r>
      <w:r>
        <w:rPr>
          <w:rFonts w:ascii="Arial" w:cs="Arial" w:eastAsia="Arial" w:hAnsi="Arial"/>
          <w:sz w:val="20"/>
          <w:szCs w:val="20"/>
          <w:color w:val="auto"/>
        </w:rPr>
        <w:t xml:space="preserve">”), and solely with respect to </w:t>
      </w:r>
      <w:r>
        <w:rPr>
          <w:rFonts w:ascii="Arial" w:cs="Arial" w:eastAsia="Arial" w:hAnsi="Arial"/>
          <w:sz w:val="20"/>
          <w:szCs w:val="20"/>
          <w:b w:val="1"/>
          <w:bCs w:val="1"/>
          <w:color w:val="auto"/>
        </w:rPr>
        <w:t>Section 5 (Guaranty)</w:t>
      </w:r>
      <w:r>
        <w:rPr>
          <w:rFonts w:ascii="Arial" w:cs="Arial" w:eastAsia="Arial" w:hAnsi="Arial"/>
          <w:sz w:val="20"/>
          <w:szCs w:val="20"/>
          <w:color w:val="auto"/>
        </w:rPr>
        <w:t>, Arctic Vision (Cayman) Limited with a principal place of business at Cricket Square, Hutchins Drive, P.O. Box 2681, Grand Cayman KY1-1111 Cayman Islands (“</w:t>
      </w:r>
      <w:r>
        <w:rPr>
          <w:rFonts w:ascii="Arial" w:cs="Arial" w:eastAsia="Arial" w:hAnsi="Arial"/>
          <w:sz w:val="20"/>
          <w:szCs w:val="20"/>
          <w:b w:val="1"/>
          <w:bCs w:val="1"/>
          <w:u w:val="single" w:color="auto"/>
          <w:color w:val="auto"/>
        </w:rPr>
        <w:t>Arctic Vision Parent</w:t>
      </w:r>
      <w:r>
        <w:rPr>
          <w:rFonts w:ascii="Arial" w:cs="Arial" w:eastAsia="Arial" w:hAnsi="Arial"/>
          <w:sz w:val="20"/>
          <w:szCs w:val="20"/>
          <w:color w:val="auto"/>
        </w:rPr>
        <w:t>”), and amends that certain License Agreement by and between Clearside and Arctic Vision, dated March 10, 2020 as well as that certain Amendment No. 1 to the License Agreement, dated August 15, 2021 (collectively, the “</w:t>
      </w:r>
      <w:r>
        <w:rPr>
          <w:rFonts w:ascii="Arial" w:cs="Arial" w:eastAsia="Arial" w:hAnsi="Arial"/>
          <w:sz w:val="20"/>
          <w:szCs w:val="20"/>
          <w:b w:val="1"/>
          <w:bCs w:val="1"/>
          <w:u w:val="single" w:color="auto"/>
          <w:color w:val="auto"/>
        </w:rPr>
        <w:t>Agreement</w:t>
      </w:r>
      <w:r>
        <w:rPr>
          <w:rFonts w:ascii="Arial" w:cs="Arial" w:eastAsia="Arial" w:hAnsi="Arial"/>
          <w:sz w:val="20"/>
          <w:szCs w:val="20"/>
          <w:color w:val="auto"/>
        </w:rPr>
        <w:t>”). Clearside and Arctic Vision may each be referred to individually as a “</w:t>
      </w:r>
      <w:r>
        <w:rPr>
          <w:rFonts w:ascii="Arial" w:cs="Arial" w:eastAsia="Arial" w:hAnsi="Arial"/>
          <w:sz w:val="20"/>
          <w:szCs w:val="20"/>
          <w:b w:val="1"/>
          <w:bCs w:val="1"/>
          <w:u w:val="single" w:color="auto"/>
          <w:color w:val="auto"/>
        </w:rPr>
        <w:t>Party</w:t>
      </w:r>
      <w:r>
        <w:rPr>
          <w:rFonts w:ascii="Arial" w:cs="Arial" w:eastAsia="Arial" w:hAnsi="Arial"/>
          <w:sz w:val="20"/>
          <w:szCs w:val="20"/>
          <w:color w:val="auto"/>
        </w:rPr>
        <w:t>” and collectively as the “</w:t>
      </w:r>
      <w:r>
        <w:rPr>
          <w:rFonts w:ascii="Arial" w:cs="Arial" w:eastAsia="Arial" w:hAnsi="Arial"/>
          <w:sz w:val="20"/>
          <w:szCs w:val="20"/>
          <w:b w:val="1"/>
          <w:bCs w:val="1"/>
          <w:u w:val="single" w:color="auto"/>
          <w:color w:val="auto"/>
        </w:rPr>
        <w:t>Parties</w:t>
      </w:r>
      <w:r>
        <w:rPr>
          <w:rFonts w:ascii="Arial" w:cs="Arial" w:eastAsia="Arial" w:hAnsi="Arial"/>
          <w:sz w:val="20"/>
          <w:szCs w:val="20"/>
          <w:color w:val="auto"/>
        </w:rPr>
        <w:t>”. Capitalized terms not expressly defined herein shall have the meaning set forth in the Agreement.</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w:t>
      </w:r>
      <w:r>
        <w:rPr>
          <w:rFonts w:ascii="Arial" w:cs="Arial" w:eastAsia="Arial" w:hAnsi="Arial"/>
          <w:sz w:val="14"/>
          <w:szCs w:val="14"/>
          <w:b w:val="1"/>
          <w:bCs w:val="1"/>
          <w:color w:val="auto"/>
        </w:rPr>
        <w:t>ECITALS</w:t>
      </w:r>
    </w:p>
    <w:p>
      <w:pPr>
        <w:spacing w:after="0" w:line="233" w:lineRule="exact"/>
        <w:rPr>
          <w:sz w:val="20"/>
          <w:szCs w:val="20"/>
          <w:color w:val="auto"/>
        </w:rPr>
      </w:pPr>
    </w:p>
    <w:p>
      <w:pPr>
        <w:jc w:val="both"/>
        <w:ind w:firstLine="749"/>
        <w:spacing w:after="0" w:line="264" w:lineRule="auto"/>
        <w:rPr>
          <w:sz w:val="20"/>
          <w:szCs w:val="20"/>
          <w:color w:val="auto"/>
        </w:rPr>
      </w:pPr>
      <w:r>
        <w:rPr>
          <w:rFonts w:ascii="Arial" w:cs="Arial" w:eastAsia="Arial" w:hAnsi="Arial"/>
          <w:sz w:val="22"/>
          <w:szCs w:val="22"/>
          <w:b w:val="1"/>
          <w:bCs w:val="1"/>
          <w:color w:val="auto"/>
        </w:rPr>
        <w:t>W</w:t>
      </w:r>
      <w:r>
        <w:rPr>
          <w:rFonts w:ascii="Arial" w:cs="Arial" w:eastAsia="Arial" w:hAnsi="Arial"/>
          <w:sz w:val="14"/>
          <w:szCs w:val="14"/>
          <w:b w:val="1"/>
          <w:bCs w:val="1"/>
          <w:color w:val="auto"/>
        </w:rPr>
        <w:t>HEREAS</w:t>
      </w:r>
      <w:r>
        <w:rPr>
          <w:rFonts w:ascii="Arial" w:cs="Arial" w:eastAsia="Arial" w:hAnsi="Arial"/>
          <w:sz w:val="22"/>
          <w:szCs w:val="22"/>
          <w:color w:val="auto"/>
        </w:rPr>
        <w:t>, pursuant to the Agreement, Clearside granted to Arctic Vision an exclusive license under Clearside</w:t>
      </w:r>
      <w:r>
        <w:rPr>
          <w:rFonts w:ascii="Arial" w:cs="Arial" w:eastAsia="Arial" w:hAnsi="Arial"/>
          <w:sz w:val="22"/>
          <w:szCs w:val="22"/>
          <w:b w:val="1"/>
          <w:bCs w:val="1"/>
          <w:color w:val="auto"/>
        </w:rPr>
        <w:t xml:space="preserve"> </w:t>
      </w:r>
      <w:r>
        <w:rPr>
          <w:rFonts w:ascii="Arial" w:cs="Arial" w:eastAsia="Arial" w:hAnsi="Arial"/>
          <w:sz w:val="22"/>
          <w:szCs w:val="22"/>
          <w:color w:val="auto"/>
        </w:rPr>
        <w:t>Technology to Develop and Commercialize Licensed Products in the Field in the Territory, and Arctic Vision is obligated to use Commercially Reasonable Efforts to Develop and Commercialize Licensed Products in the Territory for use in an indication associated with uveitis;</w:t>
      </w:r>
    </w:p>
    <w:p>
      <w:pPr>
        <w:spacing w:after="0" w:line="183"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W</w:t>
      </w:r>
      <w:r>
        <w:rPr>
          <w:rFonts w:ascii="Arial" w:cs="Arial" w:eastAsia="Arial" w:hAnsi="Arial"/>
          <w:sz w:val="14"/>
          <w:szCs w:val="14"/>
          <w:b w:val="1"/>
          <w:bCs w:val="1"/>
          <w:color w:val="auto"/>
        </w:rPr>
        <w:t>HEREAS</w:t>
      </w:r>
      <w:r>
        <w:rPr>
          <w:rFonts w:ascii="Arial" w:cs="Arial" w:eastAsia="Arial" w:hAnsi="Arial"/>
          <w:sz w:val="22"/>
          <w:szCs w:val="22"/>
          <w:color w:val="auto"/>
        </w:rPr>
        <w:t>, the Parties now desire to expand the Territory; and</w:t>
      </w:r>
    </w:p>
    <w:p>
      <w:pPr>
        <w:spacing w:after="0" w:line="233"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W</w:t>
      </w:r>
      <w:r>
        <w:rPr>
          <w:rFonts w:ascii="Arial" w:cs="Arial" w:eastAsia="Arial" w:hAnsi="Arial"/>
          <w:sz w:val="14"/>
          <w:szCs w:val="14"/>
          <w:b w:val="1"/>
          <w:bCs w:val="1"/>
          <w:color w:val="auto"/>
        </w:rPr>
        <w:t>HEREAS</w:t>
      </w:r>
      <w:r>
        <w:rPr>
          <w:rFonts w:ascii="Arial" w:cs="Arial" w:eastAsia="Arial" w:hAnsi="Arial"/>
          <w:sz w:val="22"/>
          <w:szCs w:val="22"/>
          <w:color w:val="auto"/>
        </w:rPr>
        <w:t>, the Parties wish to amend the Agreement in accordance with Section 17.02 thereof.</w:t>
      </w:r>
    </w:p>
    <w:p>
      <w:pPr>
        <w:spacing w:after="0" w:line="233" w:lineRule="exact"/>
        <w:rPr>
          <w:sz w:val="20"/>
          <w:szCs w:val="20"/>
          <w:color w:val="auto"/>
        </w:rPr>
      </w:pPr>
    </w:p>
    <w:p>
      <w:pPr>
        <w:jc w:val="both"/>
        <w:ind w:firstLine="749"/>
        <w:spacing w:after="0" w:line="282" w:lineRule="auto"/>
        <w:rPr>
          <w:sz w:val="20"/>
          <w:szCs w:val="20"/>
          <w:color w:val="auto"/>
        </w:rPr>
      </w:pPr>
      <w:r>
        <w:rPr>
          <w:rFonts w:ascii="Arial" w:cs="Arial" w:eastAsia="Arial" w:hAnsi="Arial"/>
          <w:sz w:val="22"/>
          <w:szCs w:val="22"/>
          <w:b w:val="1"/>
          <w:bCs w:val="1"/>
          <w:color w:val="auto"/>
        </w:rPr>
        <w:t>N</w:t>
      </w:r>
      <w:r>
        <w:rPr>
          <w:rFonts w:ascii="Arial" w:cs="Arial" w:eastAsia="Arial" w:hAnsi="Arial"/>
          <w:sz w:val="14"/>
          <w:szCs w:val="14"/>
          <w:b w:val="1"/>
          <w:bCs w:val="1"/>
          <w:color w:val="auto"/>
        </w:rPr>
        <w:t>OW</w:t>
      </w:r>
      <w:r>
        <w:rPr>
          <w:rFonts w:ascii="Arial" w:cs="Arial" w:eastAsia="Arial" w:hAnsi="Arial"/>
          <w:sz w:val="22"/>
          <w:szCs w:val="22"/>
          <w:b w:val="1"/>
          <w:bCs w:val="1"/>
          <w:color w:val="auto"/>
        </w:rPr>
        <w:t>, T</w:t>
      </w:r>
      <w:r>
        <w:rPr>
          <w:rFonts w:ascii="Arial" w:cs="Arial" w:eastAsia="Arial" w:hAnsi="Arial"/>
          <w:sz w:val="14"/>
          <w:szCs w:val="14"/>
          <w:b w:val="1"/>
          <w:bCs w:val="1"/>
          <w:color w:val="auto"/>
        </w:rPr>
        <w:t>HEREFORE</w:t>
      </w:r>
      <w:r>
        <w:rPr>
          <w:rFonts w:ascii="Arial" w:cs="Arial" w:eastAsia="Arial" w:hAnsi="Arial"/>
          <w:sz w:val="22"/>
          <w:szCs w:val="22"/>
          <w:color w:val="auto"/>
        </w:rPr>
        <w:t>, the Parties hereby agree to amend the terms of the Agreement as provided below, effective as of the</w:t>
      </w:r>
      <w:r>
        <w:rPr>
          <w:rFonts w:ascii="Arial" w:cs="Arial" w:eastAsia="Arial" w:hAnsi="Arial"/>
          <w:sz w:val="22"/>
          <w:szCs w:val="22"/>
          <w:b w:val="1"/>
          <w:bCs w:val="1"/>
          <w:color w:val="auto"/>
        </w:rPr>
        <w:t xml:space="preserve"> </w:t>
      </w:r>
      <w:r>
        <w:rPr>
          <w:rFonts w:ascii="Arial" w:cs="Arial" w:eastAsia="Arial" w:hAnsi="Arial"/>
          <w:sz w:val="22"/>
          <w:szCs w:val="22"/>
          <w:color w:val="auto"/>
        </w:rPr>
        <w:t>Amendment Effective Date.</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1.A</w:t>
      </w:r>
      <w:r>
        <w:rPr>
          <w:rFonts w:ascii="Arial" w:cs="Arial" w:eastAsia="Arial" w:hAnsi="Arial"/>
          <w:sz w:val="13"/>
          <w:szCs w:val="13"/>
          <w:b w:val="1"/>
          <w:bCs w:val="1"/>
          <w:color w:val="auto"/>
        </w:rPr>
        <w:t>MENDMENT TO</w:t>
      </w:r>
      <w:r>
        <w:rPr>
          <w:rFonts w:ascii="Arial" w:cs="Arial" w:eastAsia="Arial" w:hAnsi="Arial"/>
          <w:sz w:val="20"/>
          <w:szCs w:val="20"/>
          <w:b w:val="1"/>
          <w:bCs w:val="1"/>
          <w:color w:val="auto"/>
        </w:rPr>
        <w:t xml:space="preserve"> S</w:t>
      </w:r>
      <w:r>
        <w:rPr>
          <w:rFonts w:ascii="Arial" w:cs="Arial" w:eastAsia="Arial" w:hAnsi="Arial"/>
          <w:sz w:val="13"/>
          <w:szCs w:val="13"/>
          <w:b w:val="1"/>
          <w:bCs w:val="1"/>
          <w:color w:val="auto"/>
        </w:rPr>
        <w:t>ECTION</w:t>
      </w:r>
      <w:r>
        <w:rPr>
          <w:rFonts w:ascii="Arial" w:cs="Arial" w:eastAsia="Arial" w:hAnsi="Arial"/>
          <w:sz w:val="20"/>
          <w:szCs w:val="20"/>
          <w:b w:val="1"/>
          <w:bCs w:val="1"/>
          <w:color w:val="auto"/>
        </w:rPr>
        <w:t xml:space="preserve"> 1.39</w:t>
      </w:r>
      <w:r>
        <w:rPr>
          <w:rFonts w:ascii="Arial" w:cs="Arial" w:eastAsia="Arial" w:hAnsi="Arial"/>
          <w:sz w:val="20"/>
          <w:szCs w:val="20"/>
          <w:color w:val="auto"/>
        </w:rPr>
        <w:t>. Section 1.39 of the Agreement is hereby amended and restated to read in its entirety as follows:</w:t>
      </w:r>
    </w:p>
    <w:p>
      <w:pPr>
        <w:spacing w:after="0" w:line="256" w:lineRule="exact"/>
        <w:rPr>
          <w:sz w:val="20"/>
          <w:szCs w:val="20"/>
          <w:color w:val="auto"/>
        </w:rPr>
      </w:pPr>
    </w:p>
    <w:p>
      <w:pPr>
        <w:jc w:val="both"/>
        <w:spacing w:after="0" w:line="287" w:lineRule="auto"/>
        <w:rPr>
          <w:sz w:val="20"/>
          <w:szCs w:val="20"/>
          <w:color w:val="auto"/>
        </w:rPr>
      </w:pPr>
      <w:r>
        <w:rPr>
          <w:rFonts w:ascii="Arial" w:cs="Arial" w:eastAsia="Arial" w:hAnsi="Arial"/>
          <w:sz w:val="21"/>
          <w:szCs w:val="21"/>
          <w:color w:val="auto"/>
        </w:rPr>
        <w:t xml:space="preserve">“ </w:t>
      </w:r>
      <w:r>
        <w:rPr>
          <w:rFonts w:ascii="Arial" w:cs="Arial" w:eastAsia="Arial" w:hAnsi="Arial"/>
          <w:sz w:val="21"/>
          <w:szCs w:val="21"/>
          <w:b w:val="1"/>
          <w:bCs w:val="1"/>
          <w:color w:val="auto"/>
        </w:rPr>
        <w:t>Section 1.39</w:t>
      </w:r>
      <w:r>
        <w:rPr>
          <w:rFonts w:ascii="Arial" w:cs="Arial" w:eastAsia="Arial" w:hAnsi="Arial"/>
          <w:sz w:val="21"/>
          <w:szCs w:val="21"/>
          <w:color w:val="auto"/>
        </w:rPr>
        <w:t xml:space="preserve"> “ </w:t>
      </w:r>
      <w:r>
        <w:rPr>
          <w:rFonts w:ascii="Arial" w:cs="Arial" w:eastAsia="Arial" w:hAnsi="Arial"/>
          <w:sz w:val="21"/>
          <w:szCs w:val="21"/>
          <w:b w:val="1"/>
          <w:bCs w:val="1"/>
          <w:u w:val="single" w:color="auto"/>
          <w:color w:val="auto"/>
        </w:rPr>
        <w:t>Jurisdiction</w:t>
      </w:r>
      <w:r>
        <w:rPr>
          <w:rFonts w:ascii="Arial" w:cs="Arial" w:eastAsia="Arial" w:hAnsi="Arial"/>
          <w:sz w:val="21"/>
          <w:szCs w:val="21"/>
          <w:color w:val="auto"/>
        </w:rPr>
        <w:t>” means each of the following: (i) Mainland China, (ii) Taiwan, (iii) Hong Kong, (iv) South Korea, (v) Macau, (vi) Brunei, (vii) Cambodia, (viii) India, (ix) Indonesia, (x) Laos, (xi) Malaysia, (xii) Myanmar, (xiii) the Philippines, (xiv) Singapore, (xv) Thailand, (xvi) Vietnam, (xvii) Australia, and (xviii) New Zealand.”</w:t>
      </w:r>
    </w:p>
    <w:p>
      <w:pPr>
        <w:spacing w:after="0" w:line="16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2.</w:t>
      </w:r>
      <w:r>
        <w:rPr>
          <w:rFonts w:ascii="Arial" w:cs="Arial" w:eastAsia="Arial" w:hAnsi="Arial"/>
          <w:sz w:val="21"/>
          <w:szCs w:val="21"/>
          <w:color w:val="auto"/>
        </w:rPr>
        <w:t>In partial consideration for expansion of the Territory pursuant to this Amendment, Arctic Vision shall pay Clearside:</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243205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3" w:name="page34"/>
    <w:bookmarkEnd w:id="33"/>
    <w:p>
      <w:pPr>
        <w:ind w:right="200"/>
        <w:spacing w:after="0" w:line="297" w:lineRule="auto"/>
        <w:rPr>
          <w:sz w:val="20"/>
          <w:szCs w:val="20"/>
          <w:color w:val="auto"/>
        </w:rPr>
      </w:pPr>
      <w:r>
        <w:rPr>
          <w:rFonts w:ascii="Arial" w:cs="Arial" w:eastAsia="Arial" w:hAnsi="Arial"/>
          <w:sz w:val="18"/>
          <w:szCs w:val="18"/>
          <w:b w:val="1"/>
          <w:bCs w:val="1"/>
          <w:color w:val="auto"/>
        </w:rPr>
        <w:t>CERTAIN CONFIDENTIAL INFORMATION CONTAINED IN THIS DOCUMENT, MARKED BY [***], HAS BEEN OMITTED BECAUSE IT IS BOTH (I) NOT MATERIAL AND (II) IS THE TYPE THAT THE REGISTRANT TREATS AS PRIVATE OR CONFIDENTIAL.</w:t>
      </w:r>
    </w:p>
    <w:p>
      <w:pPr>
        <w:spacing w:after="0" w:line="214" w:lineRule="exact"/>
        <w:rPr>
          <w:sz w:val="20"/>
          <w:szCs w:val="20"/>
          <w:color w:val="auto"/>
        </w:rPr>
      </w:pPr>
    </w:p>
    <w:p>
      <w:pPr>
        <w:ind w:right="140" w:firstLine="872"/>
        <w:spacing w:after="0" w:line="276" w:lineRule="auto"/>
        <w:tabs>
          <w:tab w:leader="none" w:pos="1381" w:val="left"/>
        </w:tabs>
        <w:numPr>
          <w:ilvl w:val="0"/>
          <w:numId w:val="13"/>
        </w:numPr>
        <w:rPr>
          <w:rFonts w:ascii="Arial" w:cs="Arial" w:eastAsia="Arial" w:hAnsi="Arial"/>
          <w:sz w:val="22"/>
          <w:szCs w:val="22"/>
          <w:color w:val="auto"/>
        </w:rPr>
      </w:pPr>
      <w:r>
        <w:rPr>
          <w:rFonts w:ascii="Arial" w:cs="Arial" w:eastAsia="Arial" w:hAnsi="Arial"/>
          <w:sz w:val="22"/>
          <w:szCs w:val="22"/>
          <w:color w:val="auto"/>
        </w:rPr>
        <w:t>within [***] of the Amendment Effective Date, a one-time, non-refundable, non-creditable payment of One Million Five Hundred Thousand Dollars ($ 1,500,000), by wire transfer; and</w:t>
      </w:r>
    </w:p>
    <w:p>
      <w:pPr>
        <w:spacing w:after="0" w:line="174" w:lineRule="exact"/>
        <w:rPr>
          <w:rFonts w:ascii="Arial" w:cs="Arial" w:eastAsia="Arial" w:hAnsi="Arial"/>
          <w:sz w:val="22"/>
          <w:szCs w:val="22"/>
          <w:color w:val="auto"/>
        </w:rPr>
      </w:pPr>
    </w:p>
    <w:p>
      <w:pPr>
        <w:ind w:firstLine="872"/>
        <w:spacing w:after="0" w:line="266" w:lineRule="auto"/>
        <w:tabs>
          <w:tab w:leader="none" w:pos="1296" w:val="left"/>
        </w:tabs>
        <w:numPr>
          <w:ilvl w:val="0"/>
          <w:numId w:val="13"/>
        </w:numPr>
        <w:rPr>
          <w:rFonts w:ascii="Arial" w:cs="Arial" w:eastAsia="Arial" w:hAnsi="Arial"/>
          <w:sz w:val="22"/>
          <w:szCs w:val="22"/>
          <w:color w:val="auto"/>
        </w:rPr>
      </w:pPr>
      <w:r>
        <w:rPr>
          <w:rFonts w:ascii="Arial" w:cs="Arial" w:eastAsia="Arial" w:hAnsi="Arial"/>
          <w:sz w:val="22"/>
          <w:szCs w:val="22"/>
          <w:color w:val="auto"/>
        </w:rPr>
        <w:t>within [***] after the earlier of (1) [***] or (2) [***], in each case in any of (i) [***], a one-time milestone payment of [***]. For clarity, this milestone payment of [***] shall only be payable once, even if [***] occurred or [***] was obtained in [***].</w:t>
      </w:r>
    </w:p>
    <w:p>
      <w:pPr>
        <w:spacing w:after="0" w:line="179" w:lineRule="exact"/>
        <w:rPr>
          <w:sz w:val="20"/>
          <w:szCs w:val="20"/>
          <w:color w:val="auto"/>
        </w:rPr>
      </w:pPr>
    </w:p>
    <w:p>
      <w:pPr>
        <w:jc w:val="both"/>
        <w:ind w:left="180" w:hanging="161"/>
        <w:spacing w:after="0" w:line="269" w:lineRule="auto"/>
        <w:rPr>
          <w:sz w:val="20"/>
          <w:szCs w:val="20"/>
          <w:color w:val="auto"/>
        </w:rPr>
      </w:pPr>
      <w:r>
        <w:rPr>
          <w:rFonts w:ascii="Arial" w:cs="Arial" w:eastAsia="Arial" w:hAnsi="Arial"/>
          <w:sz w:val="22"/>
          <w:szCs w:val="22"/>
          <w:b w:val="1"/>
          <w:bCs w:val="1"/>
          <w:color w:val="auto"/>
        </w:rPr>
        <w:t>3.E</w:t>
      </w:r>
      <w:r>
        <w:rPr>
          <w:rFonts w:ascii="Arial" w:cs="Arial" w:eastAsia="Arial" w:hAnsi="Arial"/>
          <w:sz w:val="14"/>
          <w:szCs w:val="14"/>
          <w:b w:val="1"/>
          <w:bCs w:val="1"/>
          <w:color w:val="auto"/>
        </w:rPr>
        <w:t>FFECT OF</w:t>
      </w:r>
      <w:r>
        <w:rPr>
          <w:rFonts w:ascii="Arial" w:cs="Arial" w:eastAsia="Arial" w:hAnsi="Arial"/>
          <w:sz w:val="22"/>
          <w:szCs w:val="22"/>
          <w:b w:val="1"/>
          <w:bCs w:val="1"/>
          <w:color w:val="auto"/>
        </w:rPr>
        <w:t xml:space="preserve"> A</w:t>
      </w:r>
      <w:r>
        <w:rPr>
          <w:rFonts w:ascii="Arial" w:cs="Arial" w:eastAsia="Arial" w:hAnsi="Arial"/>
          <w:sz w:val="14"/>
          <w:szCs w:val="14"/>
          <w:b w:val="1"/>
          <w:bCs w:val="1"/>
          <w:color w:val="auto"/>
        </w:rPr>
        <w:t>MENDMENT</w:t>
      </w:r>
      <w:r>
        <w:rPr>
          <w:rFonts w:ascii="Arial" w:cs="Arial" w:eastAsia="Arial" w:hAnsi="Arial"/>
          <w:sz w:val="22"/>
          <w:szCs w:val="22"/>
          <w:color w:val="auto"/>
        </w:rPr>
        <w:t>. Except as amended herein, all other provisions of the Agreement shall remain unchanged and in full</w:t>
      </w:r>
      <w:r>
        <w:rPr>
          <w:rFonts w:ascii="Arial" w:cs="Arial" w:eastAsia="Arial" w:hAnsi="Arial"/>
          <w:sz w:val="22"/>
          <w:szCs w:val="22"/>
          <w:b w:val="1"/>
          <w:bCs w:val="1"/>
          <w:color w:val="auto"/>
        </w:rPr>
        <w:t xml:space="preserve"> </w:t>
      </w:r>
      <w:r>
        <w:rPr>
          <w:rFonts w:ascii="Arial" w:cs="Arial" w:eastAsia="Arial" w:hAnsi="Arial"/>
          <w:sz w:val="22"/>
          <w:szCs w:val="22"/>
          <w:color w:val="auto"/>
        </w:rPr>
        <w:t>force and effect. If there is a conflict between the Agreement and this Amendment, the terms of this Amendment shall prevail solely with respect to the matters set forth in this Amendment.</w:t>
      </w:r>
    </w:p>
    <w:p>
      <w:pPr>
        <w:spacing w:after="0" w:line="175" w:lineRule="exact"/>
        <w:rPr>
          <w:sz w:val="20"/>
          <w:szCs w:val="20"/>
          <w:color w:val="auto"/>
        </w:rPr>
      </w:pPr>
    </w:p>
    <w:p>
      <w:pPr>
        <w:jc w:val="both"/>
        <w:ind w:left="180" w:right="20" w:hanging="161"/>
        <w:spacing w:after="0" w:line="276" w:lineRule="auto"/>
        <w:rPr>
          <w:sz w:val="20"/>
          <w:szCs w:val="20"/>
          <w:color w:val="auto"/>
        </w:rPr>
      </w:pPr>
      <w:r>
        <w:rPr>
          <w:rFonts w:ascii="Arial" w:cs="Arial" w:eastAsia="Arial" w:hAnsi="Arial"/>
          <w:sz w:val="22"/>
          <w:szCs w:val="22"/>
          <w:b w:val="1"/>
          <w:bCs w:val="1"/>
          <w:color w:val="auto"/>
        </w:rPr>
        <w:t>4.C</w:t>
      </w:r>
      <w:r>
        <w:rPr>
          <w:rFonts w:ascii="Arial" w:cs="Arial" w:eastAsia="Arial" w:hAnsi="Arial"/>
          <w:sz w:val="14"/>
          <w:szCs w:val="14"/>
          <w:b w:val="1"/>
          <w:bCs w:val="1"/>
          <w:color w:val="auto"/>
        </w:rPr>
        <w:t>OUNTERPARTS</w:t>
      </w:r>
      <w:r>
        <w:rPr>
          <w:rFonts w:ascii="Arial" w:cs="Arial" w:eastAsia="Arial" w:hAnsi="Arial"/>
          <w:sz w:val="22"/>
          <w:szCs w:val="22"/>
          <w:color w:val="auto"/>
        </w:rPr>
        <w:t>.</w:t>
      </w:r>
      <w:r>
        <w:rPr>
          <w:sz w:val="20"/>
          <w:szCs w:val="20"/>
          <w:color w:val="auto"/>
        </w:rPr>
        <w:t xml:space="preserve"> </w:t>
      </w:r>
      <w:r>
        <w:rPr>
          <w:rFonts w:ascii="Arial" w:cs="Arial" w:eastAsia="Arial" w:hAnsi="Arial"/>
          <w:sz w:val="22"/>
          <w:szCs w:val="22"/>
          <w:color w:val="auto"/>
        </w:rPr>
        <w:t>This Amendment may be executed in counterparts, each such counterpart will be deemed an original agreement, but all such counterparts together will constitute one and the same instrument.</w:t>
      </w:r>
    </w:p>
    <w:p>
      <w:pPr>
        <w:spacing w:after="0" w:line="174" w:lineRule="exact"/>
        <w:rPr>
          <w:sz w:val="20"/>
          <w:szCs w:val="20"/>
          <w:color w:val="auto"/>
        </w:rPr>
      </w:pPr>
    </w:p>
    <w:p>
      <w:pPr>
        <w:spacing w:after="0"/>
        <w:tabs>
          <w:tab w:leader="none" w:pos="1340" w:val="left"/>
        </w:tabs>
        <w:rPr>
          <w:sz w:val="20"/>
          <w:szCs w:val="20"/>
          <w:color w:val="auto"/>
        </w:rPr>
      </w:pPr>
      <w:r>
        <w:rPr>
          <w:rFonts w:ascii="Arial" w:cs="Arial" w:eastAsia="Arial" w:hAnsi="Arial"/>
          <w:sz w:val="22"/>
          <w:szCs w:val="22"/>
          <w:b w:val="1"/>
          <w:bCs w:val="1"/>
          <w:color w:val="auto"/>
        </w:rPr>
        <w:t>5.G</w:t>
      </w:r>
      <w:r>
        <w:rPr>
          <w:rFonts w:ascii="Arial" w:cs="Arial" w:eastAsia="Arial" w:hAnsi="Arial"/>
          <w:sz w:val="14"/>
          <w:szCs w:val="14"/>
          <w:b w:val="1"/>
          <w:bCs w:val="1"/>
          <w:color w:val="auto"/>
        </w:rPr>
        <w:t>UARANTY</w:t>
      </w:r>
      <w:r>
        <w:rPr>
          <w:rFonts w:ascii="Arial" w:cs="Arial" w:eastAsia="Arial" w:hAnsi="Arial"/>
          <w:sz w:val="22"/>
          <w:szCs w:val="22"/>
          <w:color w:val="auto"/>
        </w:rPr>
        <w:t>.</w:t>
      </w:r>
      <w:r>
        <w:rPr>
          <w:sz w:val="20"/>
          <w:szCs w:val="20"/>
          <w:color w:val="auto"/>
        </w:rPr>
        <w:tab/>
      </w:r>
      <w:r>
        <w:rPr>
          <w:rFonts w:ascii="Arial" w:cs="Arial" w:eastAsia="Arial" w:hAnsi="Arial"/>
          <w:sz w:val="21"/>
          <w:szCs w:val="21"/>
          <w:color w:val="auto"/>
        </w:rPr>
        <w:t>Arctic Vision Parent irrevocably guarantees the performance of all obligations of Arctic Vision under this</w:t>
      </w:r>
    </w:p>
    <w:p>
      <w:pPr>
        <w:spacing w:after="0" w:line="27" w:lineRule="exact"/>
        <w:rPr>
          <w:sz w:val="20"/>
          <w:szCs w:val="20"/>
          <w:color w:val="auto"/>
        </w:rPr>
      </w:pPr>
    </w:p>
    <w:p>
      <w:pPr>
        <w:ind w:left="180"/>
        <w:spacing w:after="0"/>
        <w:rPr>
          <w:sz w:val="20"/>
          <w:szCs w:val="20"/>
          <w:color w:val="auto"/>
        </w:rPr>
      </w:pPr>
      <w:r>
        <w:rPr>
          <w:rFonts w:ascii="Arial" w:cs="Arial" w:eastAsia="Arial" w:hAnsi="Arial"/>
          <w:sz w:val="19"/>
          <w:szCs w:val="19"/>
          <w:color w:val="auto"/>
        </w:rPr>
        <w:t>Amendment.  Arctic Vision Parent may engage a qualified Third Party to perform any such obligations, provided that Arctic</w:t>
      </w:r>
    </w:p>
    <w:p>
      <w:pPr>
        <w:spacing w:after="0" w:line="52" w:lineRule="exact"/>
        <w:rPr>
          <w:sz w:val="20"/>
          <w:szCs w:val="20"/>
          <w:color w:val="auto"/>
        </w:rPr>
      </w:pPr>
    </w:p>
    <w:p>
      <w:pPr>
        <w:ind w:left="180"/>
        <w:spacing w:after="0"/>
        <w:rPr>
          <w:sz w:val="20"/>
          <w:szCs w:val="20"/>
          <w:color w:val="auto"/>
        </w:rPr>
      </w:pPr>
      <w:r>
        <w:rPr>
          <w:rFonts w:ascii="Arial" w:cs="Arial" w:eastAsia="Arial" w:hAnsi="Arial"/>
          <w:sz w:val="19"/>
          <w:szCs w:val="19"/>
          <w:color w:val="auto"/>
        </w:rPr>
        <w:t>Vision Parent shall in any case remain responsible for such performance. Arctic Vision Parent acknowledges and agrees that</w:t>
      </w:r>
    </w:p>
    <w:p>
      <w:pPr>
        <w:spacing w:after="0" w:line="52" w:lineRule="exact"/>
        <w:rPr>
          <w:sz w:val="20"/>
          <w:szCs w:val="20"/>
          <w:color w:val="auto"/>
        </w:rPr>
      </w:pPr>
    </w:p>
    <w:p>
      <w:pPr>
        <w:ind w:left="180"/>
        <w:spacing w:after="0"/>
        <w:rPr>
          <w:sz w:val="20"/>
          <w:szCs w:val="20"/>
          <w:color w:val="auto"/>
        </w:rPr>
      </w:pPr>
      <w:r>
        <w:rPr>
          <w:rFonts w:ascii="Arial" w:cs="Arial" w:eastAsia="Arial" w:hAnsi="Arial"/>
          <w:sz w:val="19"/>
          <w:szCs w:val="19"/>
          <w:color w:val="auto"/>
        </w:rPr>
        <w:t>this guarantee is full and unconditional, and no release of Arctic Vision’s liabilities (other than in accordance with the terms of</w:t>
      </w:r>
    </w:p>
    <w:p>
      <w:pPr>
        <w:spacing w:after="0" w:line="52" w:lineRule="exact"/>
        <w:rPr>
          <w:sz w:val="20"/>
          <w:szCs w:val="20"/>
          <w:color w:val="auto"/>
        </w:rPr>
      </w:pPr>
    </w:p>
    <w:p>
      <w:pPr>
        <w:ind w:left="180"/>
        <w:spacing w:after="0"/>
        <w:rPr>
          <w:sz w:val="20"/>
          <w:szCs w:val="20"/>
          <w:color w:val="auto"/>
        </w:rPr>
      </w:pPr>
      <w:r>
        <w:rPr>
          <w:rFonts w:ascii="Arial" w:cs="Arial" w:eastAsia="Arial" w:hAnsi="Arial"/>
          <w:sz w:val="21"/>
          <w:szCs w:val="21"/>
          <w:color w:val="auto"/>
        </w:rPr>
        <w:t>this Amendment), whether by decree in any bankruptcy proceeding or otherwise, will affect the continuing validity and</w:t>
      </w:r>
    </w:p>
    <w:p>
      <w:pPr>
        <w:spacing w:after="0" w:line="29" w:lineRule="exact"/>
        <w:rPr>
          <w:sz w:val="20"/>
          <w:szCs w:val="20"/>
          <w:color w:val="auto"/>
        </w:rPr>
      </w:pPr>
    </w:p>
    <w:p>
      <w:pPr>
        <w:ind w:left="180"/>
        <w:spacing w:after="0"/>
        <w:rPr>
          <w:sz w:val="20"/>
          <w:szCs w:val="20"/>
          <w:color w:val="auto"/>
        </w:rPr>
      </w:pPr>
      <w:r>
        <w:rPr>
          <w:rFonts w:ascii="Arial" w:cs="Arial" w:eastAsia="Arial" w:hAnsi="Arial"/>
          <w:sz w:val="19"/>
          <w:szCs w:val="19"/>
          <w:color w:val="auto"/>
        </w:rPr>
        <w:t>enforceability of this guarantee. If and each time that Arctic Vision fails to make any undisputed payment when it is due under</w:t>
      </w:r>
    </w:p>
    <w:p>
      <w:pPr>
        <w:spacing w:after="0" w:line="52" w:lineRule="exact"/>
        <w:rPr>
          <w:sz w:val="20"/>
          <w:szCs w:val="20"/>
          <w:color w:val="auto"/>
        </w:rPr>
      </w:pPr>
    </w:p>
    <w:p>
      <w:pPr>
        <w:ind w:left="180"/>
        <w:spacing w:after="0"/>
        <w:rPr>
          <w:sz w:val="20"/>
          <w:szCs w:val="20"/>
          <w:color w:val="auto"/>
        </w:rPr>
      </w:pPr>
      <w:r>
        <w:rPr>
          <w:rFonts w:ascii="Arial" w:cs="Arial" w:eastAsia="Arial" w:hAnsi="Arial"/>
          <w:sz w:val="19"/>
          <w:szCs w:val="19"/>
          <w:color w:val="auto"/>
        </w:rPr>
        <w:t>or pursuant to this Amendment, Arctic Vision Parent must at Clearside’s request (without requiring Clearside first to take steps</w:t>
      </w:r>
    </w:p>
    <w:p>
      <w:pPr>
        <w:spacing w:after="0" w:line="52" w:lineRule="exact"/>
        <w:rPr>
          <w:sz w:val="20"/>
          <w:szCs w:val="20"/>
          <w:color w:val="auto"/>
        </w:rPr>
      </w:pPr>
    </w:p>
    <w:p>
      <w:pPr>
        <w:ind w:left="180"/>
        <w:spacing w:after="0"/>
        <w:rPr>
          <w:sz w:val="20"/>
          <w:szCs w:val="20"/>
          <w:color w:val="auto"/>
        </w:rPr>
      </w:pPr>
      <w:r>
        <w:rPr>
          <w:rFonts w:ascii="Arial" w:cs="Arial" w:eastAsia="Arial" w:hAnsi="Arial"/>
          <w:sz w:val="19"/>
          <w:szCs w:val="19"/>
          <w:color w:val="auto"/>
        </w:rPr>
        <w:t>against Arctic Vision) pay directly to Clearside the relevant amount as if it were the principal obligor in respect of that amount.</w:t>
      </w:r>
    </w:p>
    <w:p>
      <w:pPr>
        <w:spacing w:after="0" w:line="257" w:lineRule="exact"/>
        <w:rPr>
          <w:sz w:val="20"/>
          <w:szCs w:val="20"/>
          <w:color w:val="auto"/>
        </w:rPr>
      </w:pPr>
    </w:p>
    <w:p>
      <w:pPr>
        <w:jc w:val="both"/>
        <w:ind w:left="180" w:hanging="161"/>
        <w:spacing w:after="0" w:line="262" w:lineRule="auto"/>
        <w:rPr>
          <w:sz w:val="20"/>
          <w:szCs w:val="20"/>
          <w:color w:val="auto"/>
        </w:rPr>
      </w:pPr>
      <w:r>
        <w:rPr>
          <w:rFonts w:ascii="Arial" w:cs="Arial" w:eastAsia="Arial" w:hAnsi="Arial"/>
          <w:sz w:val="22"/>
          <w:szCs w:val="22"/>
          <w:b w:val="1"/>
          <w:bCs w:val="1"/>
          <w:color w:val="auto"/>
        </w:rPr>
        <w:t>6.P</w:t>
      </w:r>
      <w:r>
        <w:rPr>
          <w:rFonts w:ascii="Arial" w:cs="Arial" w:eastAsia="Arial" w:hAnsi="Arial"/>
          <w:sz w:val="14"/>
          <w:szCs w:val="14"/>
          <w:b w:val="1"/>
          <w:bCs w:val="1"/>
          <w:color w:val="auto"/>
        </w:rPr>
        <w:t>ATENT</w:t>
      </w:r>
      <w:r>
        <w:rPr>
          <w:rFonts w:ascii="Arial" w:cs="Arial" w:eastAsia="Arial" w:hAnsi="Arial"/>
          <w:sz w:val="22"/>
          <w:szCs w:val="22"/>
          <w:b w:val="1"/>
          <w:bCs w:val="1"/>
          <w:color w:val="auto"/>
        </w:rPr>
        <w:t xml:space="preserve"> R</w:t>
      </w:r>
      <w:r>
        <w:rPr>
          <w:rFonts w:ascii="Arial" w:cs="Arial" w:eastAsia="Arial" w:hAnsi="Arial"/>
          <w:sz w:val="14"/>
          <w:szCs w:val="14"/>
          <w:b w:val="1"/>
          <w:bCs w:val="1"/>
          <w:color w:val="auto"/>
        </w:rPr>
        <w:t>IGHTS AND</w:t>
      </w:r>
      <w:r>
        <w:rPr>
          <w:rFonts w:ascii="Arial" w:cs="Arial" w:eastAsia="Arial" w:hAnsi="Arial"/>
          <w:sz w:val="22"/>
          <w:szCs w:val="22"/>
          <w:b w:val="1"/>
          <w:bCs w:val="1"/>
          <w:color w:val="auto"/>
        </w:rPr>
        <w:t xml:space="preserve"> T</w:t>
      </w:r>
      <w:r>
        <w:rPr>
          <w:rFonts w:ascii="Arial" w:cs="Arial" w:eastAsia="Arial" w:hAnsi="Arial"/>
          <w:sz w:val="14"/>
          <w:szCs w:val="14"/>
          <w:b w:val="1"/>
          <w:bCs w:val="1"/>
          <w:color w:val="auto"/>
        </w:rPr>
        <w:t>ECHNOLOGY</w:t>
      </w:r>
      <w:r>
        <w:rPr>
          <w:rFonts w:ascii="Arial" w:cs="Arial" w:eastAsia="Arial" w:hAnsi="Arial"/>
          <w:sz w:val="22"/>
          <w:szCs w:val="22"/>
          <w:b w:val="1"/>
          <w:bCs w:val="1"/>
          <w:color w:val="auto"/>
        </w:rPr>
        <w:t xml:space="preserve"> S</w:t>
      </w:r>
      <w:r>
        <w:rPr>
          <w:rFonts w:ascii="Arial" w:cs="Arial" w:eastAsia="Arial" w:hAnsi="Arial"/>
          <w:sz w:val="14"/>
          <w:szCs w:val="14"/>
          <w:b w:val="1"/>
          <w:bCs w:val="1"/>
          <w:color w:val="auto"/>
        </w:rPr>
        <w:t>HARING</w:t>
      </w:r>
      <w:r>
        <w:rPr>
          <w:rFonts w:ascii="Arial" w:cs="Arial" w:eastAsia="Arial" w:hAnsi="Arial"/>
          <w:sz w:val="22"/>
          <w:szCs w:val="22"/>
          <w:color w:val="auto"/>
        </w:rPr>
        <w:t>. The list of Patent Rights that are Controlled by Clearside as of the Amendment</w:t>
      </w:r>
      <w:r>
        <w:rPr>
          <w:rFonts w:ascii="Arial" w:cs="Arial" w:eastAsia="Arial" w:hAnsi="Arial"/>
          <w:sz w:val="22"/>
          <w:szCs w:val="22"/>
          <w:b w:val="1"/>
          <w:bCs w:val="1"/>
          <w:color w:val="auto"/>
        </w:rPr>
        <w:t xml:space="preserve"> </w:t>
      </w:r>
      <w:r>
        <w:rPr>
          <w:rFonts w:ascii="Arial" w:cs="Arial" w:eastAsia="Arial" w:hAnsi="Arial"/>
          <w:sz w:val="22"/>
          <w:szCs w:val="22"/>
          <w:color w:val="auto"/>
        </w:rPr>
        <w:t>Effective Date and that Cover any Licensed Product, or its Development, Manufacture or Commercialization in the Field in any of (i) Australia or (ii) New Zealand, are attached hereto as Schedule A, and shall be appended to Exhibit A of the Agreement. The lists of documents attached hereto as Schedule B(i) and Schedule B(ii) shall be appended to Exhibit B(i) and Exhibit B(ii) of the Agreement, respectively.</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[Signature Page to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701040</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34" w:name="page35"/>
    <w:bookmarkEnd w:id="34"/>
    <w:p>
      <w:pPr>
        <w:spacing w:after="0" w:line="297" w:lineRule="auto"/>
        <w:rPr>
          <w:sz w:val="20"/>
          <w:szCs w:val="20"/>
          <w:color w:val="auto"/>
        </w:rPr>
      </w:pPr>
      <w:r>
        <w:rPr>
          <w:rFonts w:ascii="Arial" w:cs="Arial" w:eastAsia="Arial" w:hAnsi="Arial"/>
          <w:sz w:val="18"/>
          <w:szCs w:val="18"/>
          <w:b w:val="1"/>
          <w:bCs w:val="1"/>
          <w:color w:val="auto"/>
        </w:rPr>
        <w:t>CERTAIN CONFIDENTIAL INFORMATION CONTAINED IN THIS DOCUMENT, MARKED BY [***], HAS BEEN OMITTED BECAUSE IT IS BOTH (I) NOT MATERIAL AND (II) IS THE TYPE THAT THE REGISTRANT TREATS AS PRIVATE OR CONFIDENTIAL.</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w:t>
      </w:r>
      <w:r>
        <w:rPr>
          <w:rFonts w:ascii="Arial" w:cs="Arial" w:eastAsia="Arial" w:hAnsi="Arial"/>
          <w:sz w:val="13"/>
          <w:szCs w:val="13"/>
          <w:b w:val="1"/>
          <w:bCs w:val="1"/>
          <w:color w:val="auto"/>
        </w:rPr>
        <w:t>N</w:t>
      </w:r>
      <w:r>
        <w:rPr>
          <w:rFonts w:ascii="Arial" w:cs="Arial" w:eastAsia="Arial" w:hAnsi="Arial"/>
          <w:sz w:val="20"/>
          <w:szCs w:val="20"/>
          <w:b w:val="1"/>
          <w:bCs w:val="1"/>
          <w:color w:val="auto"/>
        </w:rPr>
        <w:t xml:space="preserve"> W</w:t>
      </w:r>
      <w:r>
        <w:rPr>
          <w:rFonts w:ascii="Arial" w:cs="Arial" w:eastAsia="Arial" w:hAnsi="Arial"/>
          <w:sz w:val="13"/>
          <w:szCs w:val="13"/>
          <w:b w:val="1"/>
          <w:bCs w:val="1"/>
          <w:color w:val="auto"/>
        </w:rPr>
        <w:t>ITNESS</w:t>
      </w:r>
      <w:r>
        <w:rPr>
          <w:rFonts w:ascii="Arial" w:cs="Arial" w:eastAsia="Arial" w:hAnsi="Arial"/>
          <w:sz w:val="20"/>
          <w:szCs w:val="20"/>
          <w:b w:val="1"/>
          <w:bCs w:val="1"/>
          <w:color w:val="auto"/>
        </w:rPr>
        <w:t xml:space="preserve"> W</w:t>
      </w:r>
      <w:r>
        <w:rPr>
          <w:rFonts w:ascii="Arial" w:cs="Arial" w:eastAsia="Arial" w:hAnsi="Arial"/>
          <w:sz w:val="13"/>
          <w:szCs w:val="13"/>
          <w:b w:val="1"/>
          <w:bCs w:val="1"/>
          <w:color w:val="auto"/>
        </w:rPr>
        <w:t>HEREOF</w:t>
      </w:r>
      <w:r>
        <w:rPr>
          <w:rFonts w:ascii="Arial" w:cs="Arial" w:eastAsia="Arial" w:hAnsi="Arial"/>
          <w:sz w:val="20"/>
          <w:szCs w:val="20"/>
          <w:color w:val="auto"/>
        </w:rPr>
        <w:t>, the Parties have caused this Amendment to be executed as of the Amendment Effective Date.</w:t>
      </w:r>
    </w:p>
    <w:p>
      <w:pPr>
        <w:sectPr>
          <w:pgSz w:w="11900" w:h="16838" w:orient="portrait"/>
          <w:cols w:equalWidth="0" w:num="1">
            <w:col w:w="11040"/>
          </w:cols>
          <w:pgMar w:left="320" w:top="135" w:right="5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auto"/>
        </w:rPr>
        <w:t>C</w:t>
      </w:r>
      <w:r>
        <w:rPr>
          <w:rFonts w:ascii="Arial" w:cs="Arial" w:eastAsia="Arial" w:hAnsi="Arial"/>
          <w:sz w:val="14"/>
          <w:szCs w:val="14"/>
          <w:b w:val="1"/>
          <w:bCs w:val="1"/>
          <w:color w:val="auto"/>
        </w:rPr>
        <w:t>LEARSIDE</w:t>
      </w:r>
      <w:r>
        <w:rPr>
          <w:rFonts w:ascii="Arial" w:cs="Arial" w:eastAsia="Arial" w:hAnsi="Arial"/>
          <w:sz w:val="22"/>
          <w:szCs w:val="22"/>
          <w:b w:val="1"/>
          <w:bCs w:val="1"/>
          <w:color w:val="auto"/>
        </w:rPr>
        <w:t xml:space="preserve"> B</w:t>
      </w:r>
      <w:r>
        <w:rPr>
          <w:rFonts w:ascii="Arial" w:cs="Arial" w:eastAsia="Arial" w:hAnsi="Arial"/>
          <w:sz w:val="14"/>
          <w:szCs w:val="14"/>
          <w:b w:val="1"/>
          <w:bCs w:val="1"/>
          <w:color w:val="auto"/>
        </w:rPr>
        <w:t>IOMEDICAL</w:t>
      </w:r>
      <w:r>
        <w:rPr>
          <w:rFonts w:ascii="Arial" w:cs="Arial" w:eastAsia="Arial" w:hAnsi="Arial"/>
          <w:sz w:val="22"/>
          <w:szCs w:val="22"/>
          <w:b w:val="1"/>
          <w:bCs w:val="1"/>
          <w:color w:val="auto"/>
        </w:rPr>
        <w:t>, I</w:t>
      </w:r>
      <w:r>
        <w:rPr>
          <w:rFonts w:ascii="Arial" w:cs="Arial" w:eastAsia="Arial" w:hAnsi="Arial"/>
          <w:sz w:val="14"/>
          <w:szCs w:val="14"/>
          <w:b w:val="1"/>
          <w:bCs w:val="1"/>
          <w:color w:val="auto"/>
        </w:rPr>
        <w:t>NC</w:t>
      </w:r>
      <w:r>
        <w:rPr>
          <w:rFonts w:ascii="Arial" w:cs="Arial" w:eastAsia="Arial" w:hAnsi="Arial"/>
          <w:sz w:val="22"/>
          <w:szCs w:val="22"/>
          <w:b w:val="1"/>
          <w:bCs w:val="1"/>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w:t>
      </w:r>
      <w:r>
        <w:rPr>
          <w:rFonts w:ascii="Arial" w:cs="Arial" w:eastAsia="Arial" w:hAnsi="Arial"/>
          <w:sz w:val="14"/>
          <w:szCs w:val="14"/>
          <w:b w:val="1"/>
          <w:bCs w:val="1"/>
          <w:color w:val="auto"/>
        </w:rPr>
        <w:t>RCTIC</w:t>
      </w:r>
      <w:r>
        <w:rPr>
          <w:rFonts w:ascii="Arial" w:cs="Arial" w:eastAsia="Arial" w:hAnsi="Arial"/>
          <w:sz w:val="22"/>
          <w:szCs w:val="22"/>
          <w:b w:val="1"/>
          <w:bCs w:val="1"/>
          <w:color w:val="auto"/>
        </w:rPr>
        <w:t xml:space="preserve"> V</w:t>
      </w:r>
      <w:r>
        <w:rPr>
          <w:rFonts w:ascii="Arial" w:cs="Arial" w:eastAsia="Arial" w:hAnsi="Arial"/>
          <w:sz w:val="14"/>
          <w:szCs w:val="14"/>
          <w:b w:val="1"/>
          <w:bCs w:val="1"/>
          <w:color w:val="auto"/>
        </w:rPr>
        <w:t>ISION</w:t>
      </w:r>
      <w:r>
        <w:rPr>
          <w:rFonts w:ascii="Arial" w:cs="Arial" w:eastAsia="Arial" w:hAnsi="Arial"/>
          <w:sz w:val="22"/>
          <w:szCs w:val="22"/>
          <w:b w:val="1"/>
          <w:bCs w:val="1"/>
          <w:color w:val="auto"/>
        </w:rPr>
        <w:t xml:space="preserve"> (H</w:t>
      </w:r>
      <w:r>
        <w:rPr>
          <w:rFonts w:ascii="Arial" w:cs="Arial" w:eastAsia="Arial" w:hAnsi="Arial"/>
          <w:sz w:val="14"/>
          <w:szCs w:val="14"/>
          <w:b w:val="1"/>
          <w:bCs w:val="1"/>
          <w:color w:val="auto"/>
        </w:rPr>
        <w:t>ONG</w:t>
      </w:r>
      <w:r>
        <w:rPr>
          <w:rFonts w:ascii="Arial" w:cs="Arial" w:eastAsia="Arial" w:hAnsi="Arial"/>
          <w:sz w:val="22"/>
          <w:szCs w:val="22"/>
          <w:b w:val="1"/>
          <w:bCs w:val="1"/>
          <w:color w:val="auto"/>
        </w:rPr>
        <w:t xml:space="preserve"> K</w:t>
      </w:r>
      <w:r>
        <w:rPr>
          <w:rFonts w:ascii="Arial" w:cs="Arial" w:eastAsia="Arial" w:hAnsi="Arial"/>
          <w:sz w:val="14"/>
          <w:szCs w:val="14"/>
          <w:b w:val="1"/>
          <w:bCs w:val="1"/>
          <w:color w:val="auto"/>
        </w:rPr>
        <w:t>ONG</w:t>
      </w:r>
      <w:r>
        <w:rPr>
          <w:rFonts w:ascii="Arial" w:cs="Arial" w:eastAsia="Arial" w:hAnsi="Arial"/>
          <w:sz w:val="22"/>
          <w:szCs w:val="22"/>
          <w:b w:val="1"/>
          <w:bCs w:val="1"/>
          <w:color w:val="auto"/>
        </w:rPr>
        <w:t>) L</w:t>
      </w:r>
      <w:r>
        <w:rPr>
          <w:rFonts w:ascii="Arial" w:cs="Arial" w:eastAsia="Arial" w:hAnsi="Arial"/>
          <w:sz w:val="14"/>
          <w:szCs w:val="14"/>
          <w:b w:val="1"/>
          <w:bCs w:val="1"/>
          <w:color w:val="auto"/>
        </w:rPr>
        <w:t>IMITED</w:t>
      </w:r>
    </w:p>
    <w:p>
      <w:pPr>
        <w:spacing w:after="0" w:line="200" w:lineRule="exact"/>
        <w:rPr>
          <w:sz w:val="20"/>
          <w:szCs w:val="20"/>
          <w:color w:val="auto"/>
        </w:rPr>
      </w:pPr>
    </w:p>
    <w:p>
      <w:pPr>
        <w:sectPr>
          <w:pgSz w:w="11900" w:h="16838" w:orient="portrait"/>
          <w:cols w:equalWidth="0" w:num="2">
            <w:col w:w="4920" w:space="720"/>
            <w:col w:w="5400"/>
          </w:cols>
          <w:pgMar w:left="320" w:top="135" w:right="539" w:bottom="1440" w:gutter="0" w:footer="0" w:header="0"/>
          <w:type w:val="continuous"/>
        </w:sectPr>
      </w:pPr>
    </w:p>
    <w:p>
      <w:pPr>
        <w:spacing w:after="0" w:line="363" w:lineRule="exact"/>
        <w:rPr>
          <w:sz w:val="20"/>
          <w:szCs w:val="20"/>
          <w:color w:val="auto"/>
        </w:rPr>
      </w:pPr>
    </w:p>
    <w:p>
      <w:pPr>
        <w:ind w:left="40"/>
        <w:spacing w:after="0"/>
        <w:rPr>
          <w:sz w:val="20"/>
          <w:szCs w:val="20"/>
          <w:color w:val="auto"/>
        </w:rPr>
      </w:pPr>
      <w:r>
        <w:rPr>
          <w:rFonts w:ascii="Arial" w:cs="Arial" w:eastAsia="Arial" w:hAnsi="Arial"/>
          <w:sz w:val="19"/>
          <w:szCs w:val="19"/>
          <w:color w:val="auto"/>
        </w:rPr>
        <w:t>By: /s/ George Lasezkay</w:t>
      </w:r>
    </w:p>
    <w:p>
      <w:pPr>
        <w:spacing w:after="0" w:line="20" w:lineRule="exact"/>
        <w:rPr>
          <w:sz w:val="20"/>
          <w:szCs w:val="20"/>
          <w:color w:val="auto"/>
        </w:rPr>
      </w:pPr>
      <w:r>
        <w:rPr>
          <w:sz w:val="20"/>
          <w:szCs w:val="20"/>
          <w:color w:val="auto"/>
        </w:rPr>
        <w:br w:type="column"/>
      </w:r>
    </w:p>
    <w:p>
      <w:pPr>
        <w:spacing w:after="0" w:line="343" w:lineRule="exact"/>
        <w:rPr>
          <w:sz w:val="20"/>
          <w:szCs w:val="20"/>
          <w:color w:val="auto"/>
        </w:rPr>
      </w:pPr>
    </w:p>
    <w:p>
      <w:pPr>
        <w:jc w:val="center"/>
        <w:ind w:right="3840"/>
        <w:spacing w:after="0"/>
        <w:rPr>
          <w:sz w:val="20"/>
          <w:szCs w:val="20"/>
          <w:color w:val="auto"/>
        </w:rPr>
      </w:pPr>
      <w:r>
        <w:rPr>
          <w:rFonts w:ascii="Arial" w:cs="Arial" w:eastAsia="Arial" w:hAnsi="Arial"/>
          <w:sz w:val="19"/>
          <w:szCs w:val="19"/>
          <w:color w:val="auto"/>
        </w:rPr>
        <w:t>By: /s/ Hoi Ti Wu</w:t>
      </w:r>
    </w:p>
    <w:p>
      <w:pPr>
        <w:spacing w:after="0" w:line="200" w:lineRule="exact"/>
        <w:rPr>
          <w:sz w:val="20"/>
          <w:szCs w:val="20"/>
          <w:color w:val="auto"/>
        </w:rPr>
      </w:pPr>
    </w:p>
    <w:p>
      <w:pPr>
        <w:sectPr>
          <w:pgSz w:w="11900" w:h="16838" w:orient="portrait"/>
          <w:cols w:equalWidth="0" w:num="2">
            <w:col w:w="4920" w:space="720"/>
            <w:col w:w="5400"/>
          </w:cols>
          <w:pgMar w:left="320" w:top="135" w:right="539" w:bottom="1440" w:gutter="0" w:footer="0" w:header="0"/>
          <w:type w:val="continuous"/>
        </w:sectPr>
      </w:pPr>
    </w:p>
    <w:p>
      <w:pPr>
        <w:spacing w:after="0" w:line="68" w:lineRule="exact"/>
        <w:rPr>
          <w:sz w:val="20"/>
          <w:szCs w:val="20"/>
          <w:color w:val="auto"/>
        </w:rPr>
      </w:pPr>
    </w:p>
    <w:p>
      <w:pPr>
        <w:ind w:left="40"/>
        <w:spacing w:after="0"/>
        <w:rPr>
          <w:sz w:val="20"/>
          <w:szCs w:val="20"/>
          <w:color w:val="auto"/>
        </w:rPr>
      </w:pPr>
      <w:r>
        <w:rPr>
          <w:rFonts w:ascii="Arial" w:cs="Arial" w:eastAsia="Arial" w:hAnsi="Arial"/>
          <w:sz w:val="19"/>
          <w:szCs w:val="19"/>
          <w:color w:val="auto"/>
        </w:rPr>
        <w:t>Name: George Lasezkay</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jc w:val="center"/>
        <w:ind w:right="3840"/>
        <w:spacing w:after="0"/>
        <w:rPr>
          <w:sz w:val="20"/>
          <w:szCs w:val="20"/>
          <w:color w:val="auto"/>
        </w:rPr>
      </w:pPr>
      <w:r>
        <w:rPr>
          <w:rFonts w:ascii="Arial" w:cs="Arial" w:eastAsia="Arial" w:hAnsi="Arial"/>
          <w:sz w:val="19"/>
          <w:szCs w:val="19"/>
          <w:color w:val="auto"/>
        </w:rPr>
        <w:t>Name: Hoi Ti Wu</w:t>
      </w:r>
    </w:p>
    <w:p>
      <w:pPr>
        <w:spacing w:after="0" w:line="200" w:lineRule="exact"/>
        <w:rPr>
          <w:sz w:val="20"/>
          <w:szCs w:val="20"/>
          <w:color w:val="auto"/>
        </w:rPr>
      </w:pPr>
    </w:p>
    <w:p>
      <w:pPr>
        <w:sectPr>
          <w:pgSz w:w="11900" w:h="16838" w:orient="portrait"/>
          <w:cols w:equalWidth="0" w:num="2">
            <w:col w:w="4920" w:space="720"/>
            <w:col w:w="5400"/>
          </w:cols>
          <w:pgMar w:left="320" w:top="135" w:right="539" w:bottom="1440" w:gutter="0" w:footer="0" w:header="0"/>
          <w:type w:val="continuous"/>
        </w:sectPr>
      </w:pPr>
    </w:p>
    <w:p>
      <w:pPr>
        <w:spacing w:after="0" w:line="68" w:lineRule="exact"/>
        <w:rPr>
          <w:sz w:val="20"/>
          <w:szCs w:val="20"/>
          <w:color w:val="auto"/>
        </w:rPr>
      </w:pPr>
    </w:p>
    <w:p>
      <w:pPr>
        <w:ind w:left="40"/>
        <w:spacing w:after="0"/>
        <w:rPr>
          <w:sz w:val="20"/>
          <w:szCs w:val="20"/>
          <w:color w:val="auto"/>
        </w:rPr>
      </w:pPr>
      <w:r>
        <w:rPr>
          <w:rFonts w:ascii="Arial" w:cs="Arial" w:eastAsia="Arial" w:hAnsi="Arial"/>
          <w:sz w:val="19"/>
          <w:szCs w:val="19"/>
          <w:color w:val="auto"/>
        </w:rPr>
        <w:t>Title: Chief Executive Officer</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jc w:val="center"/>
        <w:ind w:right="2800"/>
        <w:spacing w:after="0"/>
        <w:rPr>
          <w:sz w:val="20"/>
          <w:szCs w:val="20"/>
          <w:color w:val="auto"/>
        </w:rPr>
      </w:pPr>
      <w:r>
        <w:rPr>
          <w:rFonts w:ascii="Arial" w:cs="Arial" w:eastAsia="Arial" w:hAnsi="Arial"/>
          <w:sz w:val="19"/>
          <w:szCs w:val="19"/>
          <w:color w:val="auto"/>
        </w:rPr>
        <w:t>Title: Chief Executive Officer</w:t>
      </w:r>
    </w:p>
    <w:p>
      <w:pPr>
        <w:spacing w:after="0" w:line="200" w:lineRule="exact"/>
        <w:rPr>
          <w:sz w:val="20"/>
          <w:szCs w:val="20"/>
          <w:color w:val="auto"/>
        </w:rPr>
      </w:pPr>
    </w:p>
    <w:p>
      <w:pPr>
        <w:sectPr>
          <w:pgSz w:w="11900" w:h="16838" w:orient="portrait"/>
          <w:cols w:equalWidth="0" w:num="2">
            <w:col w:w="4920" w:space="720"/>
            <w:col w:w="5400"/>
          </w:cols>
          <w:pgMar w:left="320" w:top="135" w:right="539" w:bottom="1440" w:gutter="0" w:footer="0" w:header="0"/>
          <w:type w:val="continuous"/>
        </w:sect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w:t>
      </w:r>
      <w:r>
        <w:rPr>
          <w:rFonts w:ascii="Arial" w:cs="Arial" w:eastAsia="Arial" w:hAnsi="Arial"/>
          <w:sz w:val="13"/>
          <w:szCs w:val="13"/>
          <w:b w:val="1"/>
          <w:bCs w:val="1"/>
          <w:color w:val="auto"/>
        </w:rPr>
        <w:t>RCTIC</w:t>
      </w:r>
      <w:r>
        <w:rPr>
          <w:rFonts w:ascii="Arial" w:cs="Arial" w:eastAsia="Arial" w:hAnsi="Arial"/>
          <w:sz w:val="20"/>
          <w:szCs w:val="20"/>
          <w:b w:val="1"/>
          <w:bCs w:val="1"/>
          <w:color w:val="auto"/>
        </w:rPr>
        <w:t xml:space="preserve"> V</w:t>
      </w:r>
      <w:r>
        <w:rPr>
          <w:rFonts w:ascii="Arial" w:cs="Arial" w:eastAsia="Arial" w:hAnsi="Arial"/>
          <w:sz w:val="13"/>
          <w:szCs w:val="13"/>
          <w:b w:val="1"/>
          <w:bCs w:val="1"/>
          <w:color w:val="auto"/>
        </w:rPr>
        <w:t>ISION</w:t>
      </w:r>
      <w:r>
        <w:rPr>
          <w:rFonts w:ascii="Arial" w:cs="Arial" w:eastAsia="Arial" w:hAnsi="Arial"/>
          <w:sz w:val="20"/>
          <w:szCs w:val="20"/>
          <w:b w:val="1"/>
          <w:bCs w:val="1"/>
          <w:color w:val="auto"/>
        </w:rPr>
        <w:t xml:space="preserve"> C</w:t>
      </w:r>
      <w:r>
        <w:rPr>
          <w:rFonts w:ascii="Arial" w:cs="Arial" w:eastAsia="Arial" w:hAnsi="Arial"/>
          <w:sz w:val="13"/>
          <w:szCs w:val="13"/>
          <w:b w:val="1"/>
          <w:bCs w:val="1"/>
          <w:color w:val="auto"/>
        </w:rPr>
        <w:t>AYMAN</w:t>
      </w:r>
      <w:r>
        <w:rPr>
          <w:rFonts w:ascii="Arial" w:cs="Arial" w:eastAsia="Arial" w:hAnsi="Arial"/>
          <w:sz w:val="20"/>
          <w:szCs w:val="20"/>
          <w:b w:val="1"/>
          <w:bCs w:val="1"/>
          <w:color w:val="auto"/>
        </w:rPr>
        <w:t xml:space="preserve"> L</w:t>
      </w:r>
      <w:r>
        <w:rPr>
          <w:rFonts w:ascii="Arial" w:cs="Arial" w:eastAsia="Arial" w:hAnsi="Arial"/>
          <w:sz w:val="13"/>
          <w:szCs w:val="13"/>
          <w:b w:val="1"/>
          <w:bCs w:val="1"/>
          <w:color w:val="auto"/>
        </w:rPr>
        <w:t>IMITED</w:t>
      </w:r>
      <w:r>
        <w:rPr>
          <w:rFonts w:ascii="Arial" w:cs="Arial" w:eastAsia="Arial" w:hAnsi="Arial"/>
          <w:sz w:val="20"/>
          <w:szCs w:val="20"/>
          <w:b w:val="1"/>
          <w:bCs w:val="1"/>
          <w:color w:val="auto"/>
        </w:rPr>
        <w:t xml:space="preserve">  (solely for purposes of Section 5 (Guaranty))</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22"/>
          <w:szCs w:val="22"/>
          <w:color w:val="auto"/>
        </w:rPr>
        <w:t>By: /s/ Hoi Ti Wu</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Name: Hoi Ti Wu</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Title: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525780</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35" w:right="539" w:bottom="1440" w:gutter="0" w:footer="0" w:header="0"/>
          <w:type w:val="continuous"/>
        </w:sectPr>
      </w:pPr>
    </w:p>
    <w:bookmarkStart w:id="35" w:name="page36"/>
    <w:bookmarkEnd w:id="35"/>
    <w:p>
      <w:pPr>
        <w:spacing w:after="0" w:line="297" w:lineRule="auto"/>
        <w:rPr>
          <w:sz w:val="20"/>
          <w:szCs w:val="20"/>
          <w:color w:val="auto"/>
        </w:rPr>
      </w:pPr>
      <w:r>
        <w:rPr>
          <w:rFonts w:ascii="Arial" w:cs="Arial" w:eastAsia="Arial" w:hAnsi="Arial"/>
          <w:sz w:val="18"/>
          <w:szCs w:val="18"/>
          <w:b w:val="1"/>
          <w:bCs w:val="1"/>
          <w:color w:val="auto"/>
        </w:rPr>
        <w:t>CERTAIN CONFIDENTIAL INFORMATION CONTAINED IN THIS DOCUMENT, MARKED BY [***], HAS BEEN OMITTED BECAUSE IT IS BOTH (I) NOT MATERIAL AND (II) IS THE TYPE THAT THE REGISTRANT TREATS AS PRIVATE OR CONFIDENTIAL.</w:t>
      </w:r>
    </w:p>
    <w:p>
      <w:pPr>
        <w:spacing w:after="0" w:line="235" w:lineRule="exact"/>
        <w:rPr>
          <w:sz w:val="20"/>
          <w:szCs w:val="20"/>
          <w:color w:val="auto"/>
        </w:rPr>
      </w:pPr>
    </w:p>
    <w:p>
      <w:pPr>
        <w:jc w:val="center"/>
        <w:ind w:right="-219"/>
        <w:spacing w:after="0"/>
        <w:rPr>
          <w:sz w:val="20"/>
          <w:szCs w:val="20"/>
          <w:color w:val="auto"/>
        </w:rPr>
      </w:pPr>
      <w:r>
        <w:rPr>
          <w:rFonts w:ascii="Arial" w:cs="Arial" w:eastAsia="Arial" w:hAnsi="Arial"/>
          <w:sz w:val="22"/>
          <w:szCs w:val="22"/>
          <w:b w:val="1"/>
          <w:bCs w:val="1"/>
          <w:color w:val="auto"/>
        </w:rPr>
        <w:t>Schedule A</w:t>
      </w:r>
    </w:p>
    <w:p>
      <w:pPr>
        <w:spacing w:after="0" w:line="212"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706120</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35" w:right="539" w:bottom="1440" w:gutter="0" w:footer="0" w:header="0"/>
        </w:sectPr>
      </w:pPr>
    </w:p>
    <w:bookmarkStart w:id="36" w:name="page37"/>
    <w:bookmarkEnd w:id="36"/>
    <w:p>
      <w:pPr>
        <w:spacing w:after="0" w:line="297" w:lineRule="auto"/>
        <w:rPr>
          <w:sz w:val="20"/>
          <w:szCs w:val="20"/>
          <w:color w:val="auto"/>
        </w:rPr>
      </w:pPr>
      <w:r>
        <w:rPr>
          <w:rFonts w:ascii="Arial" w:cs="Arial" w:eastAsia="Arial" w:hAnsi="Arial"/>
          <w:sz w:val="18"/>
          <w:szCs w:val="18"/>
          <w:b w:val="1"/>
          <w:bCs w:val="1"/>
          <w:color w:val="auto"/>
        </w:rPr>
        <w:t>CERTAIN CONFIDENTIAL INFORMATION CONTAINED IN THIS DOCUMENT, MARKED BY [***], HAS BEEN OMITTED BECAUSE IT IS BOTH (I) NOT MATERIAL AND (II) IS THE TYPE THAT THE REGISTRANT TREATS AS PRIVATE OR CONFIDENTIAL.</w:t>
      </w:r>
    </w:p>
    <w:p>
      <w:pPr>
        <w:spacing w:after="0" w:line="235" w:lineRule="exact"/>
        <w:rPr>
          <w:sz w:val="20"/>
          <w:szCs w:val="20"/>
          <w:color w:val="auto"/>
        </w:rPr>
      </w:pPr>
    </w:p>
    <w:p>
      <w:pPr>
        <w:jc w:val="center"/>
        <w:ind w:right="-219"/>
        <w:spacing w:after="0"/>
        <w:rPr>
          <w:sz w:val="20"/>
          <w:szCs w:val="20"/>
          <w:color w:val="auto"/>
        </w:rPr>
      </w:pPr>
      <w:r>
        <w:rPr>
          <w:rFonts w:ascii="Arial" w:cs="Arial" w:eastAsia="Arial" w:hAnsi="Arial"/>
          <w:sz w:val="22"/>
          <w:szCs w:val="22"/>
          <w:b w:val="1"/>
          <w:bCs w:val="1"/>
          <w:color w:val="auto"/>
        </w:rPr>
        <w:t>Schedule B</w:t>
      </w:r>
    </w:p>
    <w:p>
      <w:pPr>
        <w:spacing w:after="0" w:line="239"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645795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35" w:right="539" w:bottom="1440" w:gutter="0" w:footer="0" w:header="0"/>
        </w:sectPr>
      </w:pPr>
    </w:p>
    <w:bookmarkStart w:id="37" w:name="page38"/>
    <w:bookmarkEnd w:id="37"/>
    <w:p>
      <w:pPr>
        <w:jc w:val="right"/>
        <w:spacing w:after="0"/>
        <w:rPr>
          <w:sz w:val="20"/>
          <w:szCs w:val="20"/>
          <w:color w:val="auto"/>
        </w:rPr>
      </w:pPr>
      <w:r>
        <w:rPr>
          <w:rFonts w:ascii="Arial" w:cs="Arial" w:eastAsia="Arial" w:hAnsi="Arial"/>
          <w:sz w:val="22"/>
          <w:szCs w:val="22"/>
          <w:b w:val="1"/>
          <w:bCs w:val="1"/>
          <w:color w:val="auto"/>
        </w:rPr>
        <w:t>Exhibit 10.3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SECOND AMENDMENT TO LICENSE AGREEMENT</w:t>
      </w:r>
    </w:p>
    <w:p>
      <w:pPr>
        <w:spacing w:after="0" w:line="229"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22"/>
          <w:szCs w:val="22"/>
          <w:color w:val="auto"/>
        </w:rPr>
        <w:t>This Second Amendment to License Agreement (the “</w:t>
      </w:r>
      <w:r>
        <w:rPr>
          <w:rFonts w:ascii="Arial" w:cs="Arial" w:eastAsia="Arial" w:hAnsi="Arial"/>
          <w:sz w:val="22"/>
          <w:szCs w:val="22"/>
          <w:b w:val="1"/>
          <w:bCs w:val="1"/>
          <w:i w:val="1"/>
          <w:iCs w:val="1"/>
          <w:color w:val="auto"/>
        </w:rPr>
        <w:t>Second Amendment</w:t>
      </w:r>
      <w:r>
        <w:rPr>
          <w:rFonts w:ascii="Arial" w:cs="Arial" w:eastAsia="Arial" w:hAnsi="Arial"/>
          <w:sz w:val="22"/>
          <w:szCs w:val="22"/>
          <w:color w:val="auto"/>
        </w:rPr>
        <w:t>”), effective as of September 27, 2021 (the “</w:t>
      </w:r>
      <w:r>
        <w:rPr>
          <w:rFonts w:ascii="Arial" w:cs="Arial" w:eastAsia="Arial" w:hAnsi="Arial"/>
          <w:sz w:val="22"/>
          <w:szCs w:val="22"/>
          <w:b w:val="1"/>
          <w:bCs w:val="1"/>
          <w:i w:val="1"/>
          <w:iCs w:val="1"/>
          <w:color w:val="auto"/>
        </w:rPr>
        <w:t>Second Amendment Effective Date</w:t>
      </w:r>
      <w:r>
        <w:rPr>
          <w:rFonts w:ascii="Arial" w:cs="Arial" w:eastAsia="Arial" w:hAnsi="Arial"/>
          <w:sz w:val="22"/>
          <w:szCs w:val="22"/>
          <w:color w:val="auto"/>
        </w:rPr>
        <w:t>”) by and between Bausch + Lomb Ireland Limited (as assignee of Bausch Health Ireland Limited) (“</w:t>
      </w:r>
      <w:r>
        <w:rPr>
          <w:rFonts w:ascii="Arial" w:cs="Arial" w:eastAsia="Arial" w:hAnsi="Arial"/>
          <w:sz w:val="22"/>
          <w:szCs w:val="22"/>
          <w:b w:val="1"/>
          <w:bCs w:val="1"/>
          <w:i w:val="1"/>
          <w:iCs w:val="1"/>
          <w:color w:val="auto"/>
        </w:rPr>
        <w:t>Bausch</w:t>
      </w:r>
      <w:r>
        <w:rPr>
          <w:rFonts w:ascii="Arial" w:cs="Arial" w:eastAsia="Arial" w:hAnsi="Arial"/>
          <w:sz w:val="22"/>
          <w:szCs w:val="22"/>
          <w:color w:val="auto"/>
        </w:rPr>
        <w:t>”) and Clearside Biomedical, Inc. (“</w:t>
      </w:r>
      <w:r>
        <w:rPr>
          <w:rFonts w:ascii="Arial" w:cs="Arial" w:eastAsia="Arial" w:hAnsi="Arial"/>
          <w:sz w:val="22"/>
          <w:szCs w:val="22"/>
          <w:b w:val="1"/>
          <w:bCs w:val="1"/>
          <w:i w:val="1"/>
          <w:iCs w:val="1"/>
          <w:color w:val="auto"/>
        </w:rPr>
        <w:t>Clearside</w:t>
      </w:r>
      <w:r>
        <w:rPr>
          <w:rFonts w:ascii="Arial" w:cs="Arial" w:eastAsia="Arial" w:hAnsi="Arial"/>
          <w:sz w:val="22"/>
          <w:szCs w:val="22"/>
          <w:color w:val="auto"/>
        </w:rPr>
        <w:t>”), amends that certain License Agreement, dated October 22, 2019, by and between Bausch Health and Clearside, as amended by the First Amendment to License Agreement dated as of April 27, 2020 (Collectively, the “</w:t>
      </w:r>
      <w:r>
        <w:rPr>
          <w:rFonts w:ascii="Arial" w:cs="Arial" w:eastAsia="Arial" w:hAnsi="Arial"/>
          <w:sz w:val="22"/>
          <w:szCs w:val="22"/>
          <w:b w:val="1"/>
          <w:bCs w:val="1"/>
          <w:i w:val="1"/>
          <w:iCs w:val="1"/>
          <w:color w:val="auto"/>
        </w:rPr>
        <w:t>Agreement</w:t>
      </w:r>
      <w:r>
        <w:rPr>
          <w:rFonts w:ascii="Arial" w:cs="Arial" w:eastAsia="Arial" w:hAnsi="Arial"/>
          <w:sz w:val="22"/>
          <w:szCs w:val="22"/>
          <w:color w:val="auto"/>
        </w:rPr>
        <w:t>”). Each of Bausch and Clearside shall be referred to herein individually as a “</w:t>
      </w:r>
      <w:r>
        <w:rPr>
          <w:rFonts w:ascii="Arial" w:cs="Arial" w:eastAsia="Arial" w:hAnsi="Arial"/>
          <w:sz w:val="22"/>
          <w:szCs w:val="22"/>
          <w:b w:val="1"/>
          <w:bCs w:val="1"/>
          <w:i w:val="1"/>
          <w:iCs w:val="1"/>
          <w:color w:val="auto"/>
        </w:rPr>
        <w:t>Party</w:t>
      </w:r>
      <w:r>
        <w:rPr>
          <w:rFonts w:ascii="Arial" w:cs="Arial" w:eastAsia="Arial" w:hAnsi="Arial"/>
          <w:sz w:val="22"/>
          <w:szCs w:val="22"/>
          <w:color w:val="auto"/>
        </w:rPr>
        <w:t>” and collectively as the “</w:t>
      </w:r>
      <w:r>
        <w:rPr>
          <w:rFonts w:ascii="Arial" w:cs="Arial" w:eastAsia="Arial" w:hAnsi="Arial"/>
          <w:sz w:val="22"/>
          <w:szCs w:val="22"/>
          <w:b w:val="1"/>
          <w:bCs w:val="1"/>
          <w:i w:val="1"/>
          <w:iCs w:val="1"/>
          <w:color w:val="auto"/>
        </w:rPr>
        <w:t>Parties</w:t>
      </w:r>
      <w:r>
        <w:rPr>
          <w:rFonts w:ascii="Arial" w:cs="Arial" w:eastAsia="Arial" w:hAnsi="Arial"/>
          <w:sz w:val="22"/>
          <w:szCs w:val="22"/>
          <w:color w:val="auto"/>
        </w:rPr>
        <w:t>.”</w:t>
      </w:r>
    </w:p>
    <w:p>
      <w:pPr>
        <w:spacing w:after="0" w:line="186" w:lineRule="exact"/>
        <w:rPr>
          <w:sz w:val="20"/>
          <w:szCs w:val="20"/>
          <w:color w:val="auto"/>
        </w:rPr>
      </w:pPr>
    </w:p>
    <w:p>
      <w:pPr>
        <w:jc w:val="center"/>
        <w:ind w:right="-319"/>
        <w:spacing w:after="0"/>
        <w:rPr>
          <w:sz w:val="20"/>
          <w:szCs w:val="20"/>
          <w:color w:val="auto"/>
        </w:rPr>
      </w:pPr>
      <w:r>
        <w:rPr>
          <w:rFonts w:ascii="Arial" w:cs="Arial" w:eastAsia="Arial" w:hAnsi="Arial"/>
          <w:sz w:val="21"/>
          <w:szCs w:val="21"/>
          <w:b w:val="1"/>
          <w:bCs w:val="1"/>
          <w:color w:val="auto"/>
        </w:rPr>
        <w:t>NOW, THEREFORE</w:t>
      </w:r>
      <w:r>
        <w:rPr>
          <w:rFonts w:ascii="Arial" w:cs="Arial" w:eastAsia="Arial" w:hAnsi="Arial"/>
          <w:sz w:val="21"/>
          <w:szCs w:val="21"/>
          <w:color w:val="auto"/>
        </w:rPr>
        <w:t>, in consideration of the mutual promises set forth herein, the Parties hereby agree as follows:</w:t>
      </w:r>
    </w:p>
    <w:p>
      <w:pPr>
        <w:spacing w:after="0" w:line="245" w:lineRule="exact"/>
        <w:rPr>
          <w:sz w:val="20"/>
          <w:szCs w:val="20"/>
          <w:color w:val="auto"/>
        </w:rPr>
      </w:pPr>
    </w:p>
    <w:p>
      <w:pPr>
        <w:ind w:left="4560"/>
        <w:spacing w:after="0"/>
        <w:rPr>
          <w:sz w:val="20"/>
          <w:szCs w:val="20"/>
          <w:color w:val="auto"/>
        </w:rPr>
      </w:pPr>
      <w:r>
        <w:rPr>
          <w:rFonts w:ascii="Arial" w:cs="Arial" w:eastAsia="Arial" w:hAnsi="Arial"/>
          <w:sz w:val="22"/>
          <w:szCs w:val="22"/>
          <w:b w:val="1"/>
          <w:bCs w:val="1"/>
          <w:color w:val="auto"/>
        </w:rPr>
        <w:t>ARTICLE I. AMENDMENTS</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1.Article 1 of the Agreement is hereby amended to add the following new definition:</w:t>
      </w:r>
    </w:p>
    <w:p>
      <w:pPr>
        <w:spacing w:after="0" w:line="227" w:lineRule="exact"/>
        <w:rPr>
          <w:sz w:val="20"/>
          <w:szCs w:val="20"/>
          <w:color w:val="auto"/>
        </w:rPr>
      </w:pPr>
    </w:p>
    <w:p>
      <w:pPr>
        <w:ind w:left="12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Licensed Domain Names</w:t>
      </w:r>
      <w:r>
        <w:rPr>
          <w:rFonts w:ascii="Arial" w:cs="Arial" w:eastAsia="Arial" w:hAnsi="Arial"/>
          <w:sz w:val="22"/>
          <w:szCs w:val="22"/>
          <w:color w:val="auto"/>
        </w:rPr>
        <w:t>” means xipere.com and xipere.ca.”</w:t>
      </w:r>
    </w:p>
    <w:p>
      <w:pPr>
        <w:spacing w:after="0" w:line="239" w:lineRule="exact"/>
        <w:rPr>
          <w:sz w:val="20"/>
          <w:szCs w:val="20"/>
          <w:color w:val="auto"/>
        </w:rPr>
      </w:pPr>
    </w:p>
    <w:p>
      <w:pPr>
        <w:jc w:val="both"/>
        <w:ind w:left="180" w:hanging="161"/>
        <w:spacing w:after="0" w:line="276" w:lineRule="auto"/>
        <w:rPr>
          <w:sz w:val="20"/>
          <w:szCs w:val="20"/>
          <w:color w:val="auto"/>
        </w:rPr>
      </w:pPr>
      <w:r>
        <w:rPr>
          <w:rFonts w:ascii="Arial" w:cs="Arial" w:eastAsia="Arial" w:hAnsi="Arial"/>
          <w:sz w:val="22"/>
          <w:szCs w:val="22"/>
          <w:color w:val="auto"/>
        </w:rPr>
        <w:t>2.The definition of “Licensed IP” is hereby amended to add “Licensed Domain Names” and, as a result, Section 1.61 is hereby deleted in its entirety and replaced with the following:</w:t>
      </w:r>
    </w:p>
    <w:p>
      <w:pPr>
        <w:spacing w:after="0" w:line="168" w:lineRule="exact"/>
        <w:rPr>
          <w:sz w:val="20"/>
          <w:szCs w:val="20"/>
          <w:color w:val="auto"/>
        </w:rPr>
      </w:pPr>
    </w:p>
    <w:p>
      <w:pPr>
        <w:ind w:left="1200" w:right="760"/>
        <w:spacing w:after="0" w:line="28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Licensed IP</w:t>
      </w:r>
      <w:r>
        <w:rPr>
          <w:rFonts w:ascii="Arial" w:cs="Arial" w:eastAsia="Arial" w:hAnsi="Arial"/>
          <w:sz w:val="22"/>
          <w:szCs w:val="22"/>
          <w:color w:val="auto"/>
        </w:rPr>
        <w:t>” means the Licensed Know-How, Licensed Marks, Licensed Patents and Licensed Domain Names.”</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3.The following shall be added to the Agreement as new </w:t>
      </w:r>
      <w:r>
        <w:rPr>
          <w:rFonts w:ascii="Arial" w:cs="Arial" w:eastAsia="Arial" w:hAnsi="Arial"/>
          <w:sz w:val="22"/>
          <w:szCs w:val="22"/>
          <w:u w:val="single" w:color="auto"/>
          <w:color w:val="auto"/>
        </w:rPr>
        <w:t>Section 7.8</w:t>
      </w:r>
      <w:r>
        <w:rPr>
          <w:rFonts w:ascii="Arial" w:cs="Arial" w:eastAsia="Arial" w:hAnsi="Arial"/>
          <w:sz w:val="22"/>
          <w:szCs w:val="22"/>
          <w:color w:val="auto"/>
        </w:rPr>
        <w:t>:</w:t>
      </w:r>
    </w:p>
    <w:p>
      <w:pPr>
        <w:spacing w:after="0" w:line="254" w:lineRule="exact"/>
        <w:rPr>
          <w:sz w:val="20"/>
          <w:szCs w:val="20"/>
          <w:color w:val="auto"/>
        </w:rPr>
      </w:pPr>
    </w:p>
    <w:p>
      <w:pPr>
        <w:jc w:val="both"/>
        <w:ind w:left="1220" w:right="740" w:firstLine="67"/>
        <w:spacing w:after="0" w:line="346" w:lineRule="auto"/>
        <w:rPr>
          <w:sz w:val="20"/>
          <w:szCs w:val="20"/>
          <w:color w:val="auto"/>
        </w:rPr>
      </w:pPr>
      <w:r>
        <w:rPr>
          <w:rFonts w:ascii="Arial" w:cs="Arial" w:eastAsia="Arial" w:hAnsi="Arial"/>
          <w:sz w:val="19"/>
          <w:szCs w:val="19"/>
          <w:color w:val="auto"/>
        </w:rPr>
        <w:t xml:space="preserve">“7.8 </w:t>
      </w:r>
      <w:r>
        <w:rPr>
          <w:rFonts w:ascii="Arial" w:cs="Arial" w:eastAsia="Arial" w:hAnsi="Arial"/>
          <w:sz w:val="19"/>
          <w:szCs w:val="19"/>
          <w:b w:val="1"/>
          <w:bCs w:val="1"/>
          <w:color w:val="auto"/>
        </w:rPr>
        <w:t>Licensed Domain Names</w:t>
      </w:r>
      <w:r>
        <w:rPr>
          <w:rFonts w:ascii="Arial" w:cs="Arial" w:eastAsia="Arial" w:hAnsi="Arial"/>
          <w:sz w:val="19"/>
          <w:szCs w:val="19"/>
          <w:color w:val="auto"/>
        </w:rPr>
        <w:t>. Bausch shall have the exclusive right, but not the obligation, to use the Licensed Domain Names in connection with the Development and Commercialization of Products in the Field in the Territory; provided that, in its sole discretion, Bausch may also use other domain names in connection with such Development and Commercialization of Products in the Field in the Territory. Clearside shall maintain the registrations for the Licensed Domain Names, at Clearside’s cost and expense, and shall own all rights in and to all Licensed Domain Names; provided that, Bausch shall have the responsibility (but not the obligation) to develop any websites and related content in connection with the Licensed Domain Names and Bausch shall own any and all intellectual property and other rights in and to such websites and contents. Bausch Health shall own all rights in and to all other domain names (other than the Licensed Domain Names) used in the Development and Commercialization of the Products in the Field in the Territory and shall register and maintain such domain names, at Bausch Health’s cost and expense. Notwithstanding Section 2.3, Clearside represents and warrants that it has not granted, and covenants that it shall not grant during the Term, any rights in or to the Licensed Domain Names (or their registrations) to any Third</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8" w:name="page39"/>
    <w:bookmarkEnd w:id="38"/>
    <w:p>
      <w:pPr>
        <w:jc w:val="both"/>
        <w:ind w:left="1212" w:right="740"/>
        <w:spacing w:after="0" w:line="297" w:lineRule="auto"/>
        <w:rPr>
          <w:sz w:val="20"/>
          <w:szCs w:val="20"/>
          <w:color w:val="auto"/>
        </w:rPr>
      </w:pPr>
      <w:r>
        <w:rPr>
          <w:rFonts w:ascii="Arial" w:cs="Arial" w:eastAsia="Arial" w:hAnsi="Arial"/>
          <w:sz w:val="22"/>
          <w:szCs w:val="22"/>
          <w:color w:val="auto"/>
        </w:rPr>
        <w:t>Party, including for use outside the Territory or outside the Field, and Clearside further covenants that, during the Term, Clearside itself shall not use or otherwise exploit the Licensed Domain Names (or their registrations) to Develop or Manufacture the Products for use outside the Territory or otherwise outside the scope of the license granted to Bausch Health under Section 2.1. Upon the termination or expiration of the Agreement in its entirety, Clearside shall retain all rights to the Licensed Domain Names and the registrations thereto and Bausch shall have no rights therein; provided, however, that Bausch shall retain ownership of any websites and their contents (and any rights thereto) associated with the Licensed Domain Names.”</w:t>
      </w:r>
    </w:p>
    <w:p>
      <w:pPr>
        <w:spacing w:after="0" w:line="122" w:lineRule="exact"/>
        <w:rPr>
          <w:sz w:val="20"/>
          <w:szCs w:val="20"/>
          <w:color w:val="auto"/>
        </w:rPr>
      </w:pPr>
    </w:p>
    <w:p>
      <w:pPr>
        <w:jc w:val="center"/>
        <w:ind w:right="-11"/>
        <w:spacing w:after="0"/>
        <w:rPr>
          <w:sz w:val="20"/>
          <w:szCs w:val="20"/>
          <w:color w:val="auto"/>
        </w:rPr>
      </w:pPr>
      <w:r>
        <w:rPr>
          <w:rFonts w:ascii="Arial" w:cs="Arial" w:eastAsia="Arial" w:hAnsi="Arial"/>
          <w:sz w:val="22"/>
          <w:szCs w:val="22"/>
          <w:b w:val="1"/>
          <w:bCs w:val="1"/>
          <w:color w:val="auto"/>
        </w:rPr>
        <w:t>ARTICLE II. MISCELLANEOUS</w:t>
      </w:r>
    </w:p>
    <w:p>
      <w:pPr>
        <w:spacing w:after="0" w:line="239" w:lineRule="exact"/>
        <w:rPr>
          <w:sz w:val="20"/>
          <w:szCs w:val="20"/>
          <w:color w:val="auto"/>
        </w:rPr>
      </w:pPr>
    </w:p>
    <w:p>
      <w:pPr>
        <w:ind w:left="432" w:hanging="432"/>
        <w:spacing w:after="0"/>
        <w:tabs>
          <w:tab w:leader="none" w:pos="432" w:val="left"/>
        </w:tabs>
        <w:numPr>
          <w:ilvl w:val="0"/>
          <w:numId w:val="14"/>
        </w:numPr>
        <w:rPr>
          <w:rFonts w:ascii="Arial" w:cs="Arial" w:eastAsia="Arial" w:hAnsi="Arial"/>
          <w:sz w:val="22"/>
          <w:szCs w:val="22"/>
          <w:color w:val="auto"/>
        </w:rPr>
      </w:pPr>
      <w:r>
        <w:rPr>
          <w:rFonts w:ascii="Arial" w:cs="Arial" w:eastAsia="Arial" w:hAnsi="Arial"/>
          <w:sz w:val="22"/>
          <w:szCs w:val="22"/>
          <w:color w:val="auto"/>
        </w:rPr>
        <w:t>Capitalized terms not defined herein shall have the same meanings as set forth in the Agreement.</w:t>
      </w:r>
    </w:p>
    <w:p>
      <w:pPr>
        <w:spacing w:after="0" w:line="233" w:lineRule="exact"/>
        <w:rPr>
          <w:rFonts w:ascii="Arial" w:cs="Arial" w:eastAsia="Arial" w:hAnsi="Arial"/>
          <w:sz w:val="22"/>
          <w:szCs w:val="22"/>
          <w:color w:val="auto"/>
        </w:rPr>
      </w:pPr>
    </w:p>
    <w:p>
      <w:pPr>
        <w:ind w:left="432" w:hanging="432"/>
        <w:spacing w:after="0"/>
        <w:tabs>
          <w:tab w:leader="none" w:pos="432" w:val="left"/>
        </w:tabs>
        <w:numPr>
          <w:ilvl w:val="0"/>
          <w:numId w:val="14"/>
        </w:numPr>
        <w:rPr>
          <w:rFonts w:ascii="Arial" w:cs="Arial" w:eastAsia="Arial" w:hAnsi="Arial"/>
          <w:sz w:val="22"/>
          <w:szCs w:val="22"/>
          <w:color w:val="auto"/>
        </w:rPr>
      </w:pPr>
      <w:r>
        <w:rPr>
          <w:rFonts w:ascii="Arial" w:cs="Arial" w:eastAsia="Arial" w:hAnsi="Arial"/>
          <w:sz w:val="22"/>
          <w:szCs w:val="22"/>
          <w:color w:val="auto"/>
        </w:rPr>
        <w:t>Except as set forth herein, all other terms and conditions of the Agreement shall remain in full force and effect.</w:t>
      </w:r>
    </w:p>
    <w:p>
      <w:pPr>
        <w:spacing w:after="0" w:line="233" w:lineRule="exact"/>
        <w:rPr>
          <w:rFonts w:ascii="Arial" w:cs="Arial" w:eastAsia="Arial" w:hAnsi="Arial"/>
          <w:sz w:val="22"/>
          <w:szCs w:val="22"/>
          <w:color w:val="auto"/>
        </w:rPr>
      </w:pPr>
    </w:p>
    <w:p>
      <w:pPr>
        <w:jc w:val="both"/>
        <w:ind w:left="-8" w:firstLine="8"/>
        <w:spacing w:after="0" w:line="266" w:lineRule="auto"/>
        <w:tabs>
          <w:tab w:leader="none" w:pos="424" w:val="left"/>
        </w:tabs>
        <w:numPr>
          <w:ilvl w:val="0"/>
          <w:numId w:val="14"/>
        </w:numPr>
        <w:rPr>
          <w:rFonts w:ascii="Arial" w:cs="Arial" w:eastAsia="Arial" w:hAnsi="Arial"/>
          <w:sz w:val="22"/>
          <w:szCs w:val="22"/>
          <w:color w:val="auto"/>
        </w:rPr>
      </w:pPr>
      <w:r>
        <w:rPr>
          <w:rFonts w:ascii="Arial" w:cs="Arial" w:eastAsia="Arial" w:hAnsi="Arial"/>
          <w:sz w:val="22"/>
          <w:szCs w:val="22"/>
          <w:color w:val="auto"/>
        </w:rPr>
        <w:t>This Second Amendment may be signed in counterparts, each of which shall be an original, with the same effect as if the signatures were upon the same instrument. This Second Amendment shall become binding when each Party shall have received a counterpart of such agreement signed by the other Parties.</w:t>
      </w:r>
    </w:p>
    <w:p>
      <w:pPr>
        <w:spacing w:after="0" w:line="233" w:lineRule="exact"/>
        <w:rPr>
          <w:sz w:val="20"/>
          <w:szCs w:val="20"/>
          <w:color w:val="auto"/>
        </w:rPr>
      </w:pPr>
    </w:p>
    <w:p>
      <w:pPr>
        <w:jc w:val="center"/>
        <w:ind w:right="-11"/>
        <w:spacing w:after="0"/>
        <w:rPr>
          <w:sz w:val="20"/>
          <w:szCs w:val="20"/>
          <w:color w:val="auto"/>
        </w:rPr>
      </w:pPr>
      <w:r>
        <w:rPr>
          <w:rFonts w:ascii="Arial" w:cs="Arial" w:eastAsia="Arial" w:hAnsi="Arial"/>
          <w:sz w:val="22"/>
          <w:szCs w:val="22"/>
          <w:b w:val="1"/>
          <w:bCs w:val="1"/>
          <w:color w:val="auto"/>
        </w:rPr>
        <w:t>[</w:t>
      </w:r>
      <w:r>
        <w:rPr>
          <w:rFonts w:ascii="Arial" w:cs="Arial" w:eastAsia="Arial" w:hAnsi="Arial"/>
          <w:sz w:val="22"/>
          <w:szCs w:val="22"/>
          <w:b w:val="1"/>
          <w:bCs w:val="1"/>
          <w:i w:val="1"/>
          <w:iCs w:val="1"/>
          <w:color w:val="auto"/>
        </w:rPr>
        <w:t>signature page follows</w:t>
      </w:r>
      <w:r>
        <w:rPr>
          <w:rFonts w:ascii="Arial" w:cs="Arial" w:eastAsia="Arial" w:hAnsi="Arial"/>
          <w:sz w:val="22"/>
          <w:szCs w:val="22"/>
          <w:b w:val="1"/>
          <w:bCs w:val="1"/>
          <w:color w:val="auto"/>
        </w:rPr>
        <w:t>]</w:t>
      </w:r>
    </w:p>
    <w:p>
      <w:pPr>
        <w:spacing w:after="0" w:line="26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182245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388" w:right="339" w:bottom="1440" w:gutter="0" w:footer="0" w:header="0"/>
        </w:sectPr>
      </w:pPr>
    </w:p>
    <w:bookmarkStart w:id="39" w:name="page40"/>
    <w:bookmarkEnd w:id="39"/>
    <w:p>
      <w:pPr>
        <w:ind w:right="20" w:firstLine="749"/>
        <w:spacing w:after="0" w:line="282" w:lineRule="auto"/>
        <w:rPr>
          <w:sz w:val="20"/>
          <w:szCs w:val="20"/>
          <w:color w:val="auto"/>
        </w:rPr>
      </w:pPr>
      <w:r>
        <w:rPr>
          <w:rFonts w:ascii="Arial" w:cs="Arial" w:eastAsia="Arial" w:hAnsi="Arial"/>
          <w:sz w:val="22"/>
          <w:szCs w:val="22"/>
          <w:b w:val="1"/>
          <w:bCs w:val="1"/>
          <w:color w:val="auto"/>
        </w:rPr>
        <w:t xml:space="preserve">THIS SECOND AMENDMENT TO LICENSE AGREEMENT IS EXECUTED </w:t>
      </w:r>
      <w:r>
        <w:rPr>
          <w:rFonts w:ascii="Arial" w:cs="Arial" w:eastAsia="Arial" w:hAnsi="Arial"/>
          <w:sz w:val="22"/>
          <w:szCs w:val="22"/>
          <w:color w:val="auto"/>
        </w:rPr>
        <w:t>by the authorized representatives of</w:t>
      </w:r>
      <w:r>
        <w:rPr>
          <w:rFonts w:ascii="Arial" w:cs="Arial" w:eastAsia="Arial" w:hAnsi="Arial"/>
          <w:sz w:val="22"/>
          <w:szCs w:val="22"/>
          <w:b w:val="1"/>
          <w:bCs w:val="1"/>
          <w:color w:val="auto"/>
        </w:rPr>
        <w:t xml:space="preserve"> </w:t>
      </w:r>
      <w:r>
        <w:rPr>
          <w:rFonts w:ascii="Arial" w:cs="Arial" w:eastAsia="Arial" w:hAnsi="Arial"/>
          <w:sz w:val="22"/>
          <w:szCs w:val="22"/>
          <w:color w:val="auto"/>
        </w:rPr>
        <w:t>the Parties as of the Second Amendment Effective Date.</w:t>
      </w:r>
    </w:p>
    <w:p>
      <w:pPr>
        <w:spacing w:after="0" w:line="16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CLEARSIDE BIOMEDICAL, INC. BAUSCH + LOMB IRELAND LIMITED</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040" w:type="dxa"/>
            <w:vAlign w:val="bottom"/>
            <w:gridSpan w:val="5"/>
          </w:tcPr>
          <w:p>
            <w:pPr>
              <w:spacing w:after="0"/>
              <w:rPr>
                <w:sz w:val="20"/>
                <w:szCs w:val="20"/>
                <w:color w:val="auto"/>
              </w:rPr>
            </w:pPr>
            <w:r>
              <w:rPr>
                <w:rFonts w:ascii="Arial" w:cs="Arial" w:eastAsia="Arial" w:hAnsi="Arial"/>
                <w:sz w:val="22"/>
                <w:szCs w:val="22"/>
                <w:color w:val="auto"/>
                <w:w w:val="97"/>
              </w:rPr>
              <w:t>Signature: /s/ George Lasezkay</w:t>
            </w:r>
          </w:p>
        </w:tc>
        <w:tc>
          <w:tcPr>
            <w:tcW w:w="8200" w:type="dxa"/>
            <w:vAlign w:val="bottom"/>
            <w:gridSpan w:val="8"/>
          </w:tcPr>
          <w:p>
            <w:pPr>
              <w:ind w:left="860"/>
              <w:spacing w:after="0"/>
              <w:rPr>
                <w:sz w:val="20"/>
                <w:szCs w:val="20"/>
                <w:color w:val="auto"/>
              </w:rPr>
            </w:pPr>
            <w:r>
              <w:rPr>
                <w:rFonts w:ascii="Arial" w:cs="Arial" w:eastAsia="Arial" w:hAnsi="Arial"/>
                <w:sz w:val="22"/>
                <w:szCs w:val="22"/>
                <w:color w:val="auto"/>
              </w:rPr>
              <w:t>Signature: /s/ Roger McCrath</w:t>
            </w: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r>
      <w:tr>
        <w:trPr>
          <w:trHeight w:val="466"/>
        </w:trPr>
        <w:tc>
          <w:tcPr>
            <w:tcW w:w="3040" w:type="dxa"/>
            <w:vAlign w:val="bottom"/>
            <w:gridSpan w:val="5"/>
          </w:tcPr>
          <w:p>
            <w:pPr>
              <w:spacing w:after="0"/>
              <w:rPr>
                <w:sz w:val="20"/>
                <w:szCs w:val="20"/>
                <w:color w:val="auto"/>
              </w:rPr>
            </w:pPr>
            <w:r>
              <w:rPr>
                <w:rFonts w:ascii="Arial" w:cs="Arial" w:eastAsia="Arial" w:hAnsi="Arial"/>
                <w:sz w:val="22"/>
                <w:szCs w:val="22"/>
                <w:color w:val="auto"/>
              </w:rPr>
              <w:t>Name: George Lasezkay</w:t>
            </w:r>
          </w:p>
        </w:tc>
        <w:tc>
          <w:tcPr>
            <w:tcW w:w="8200" w:type="dxa"/>
            <w:vAlign w:val="bottom"/>
            <w:gridSpan w:val="8"/>
          </w:tcPr>
          <w:p>
            <w:pPr>
              <w:ind w:left="420"/>
              <w:spacing w:after="0"/>
              <w:rPr>
                <w:sz w:val="20"/>
                <w:szCs w:val="20"/>
                <w:color w:val="auto"/>
              </w:rPr>
            </w:pPr>
            <w:r>
              <w:rPr>
                <w:rFonts w:ascii="Arial" w:cs="Arial" w:eastAsia="Arial" w:hAnsi="Arial"/>
                <w:sz w:val="22"/>
                <w:szCs w:val="22"/>
                <w:color w:val="auto"/>
              </w:rPr>
              <w:t>Name: Roger McGrath</w:t>
            </w: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60" w:type="dxa"/>
            <w:vAlign w:val="bottom"/>
            <w:gridSpan w:val="2"/>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540" w:type="dxa"/>
            <w:vAlign w:val="bottom"/>
            <w:gridSpan w:val="2"/>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r>
      <w:tr>
        <w:trPr>
          <w:trHeight w:val="466"/>
        </w:trPr>
        <w:tc>
          <w:tcPr>
            <w:tcW w:w="3040" w:type="dxa"/>
            <w:vAlign w:val="bottom"/>
            <w:gridSpan w:val="5"/>
          </w:tcPr>
          <w:p>
            <w:pPr>
              <w:spacing w:after="0"/>
              <w:rPr>
                <w:sz w:val="20"/>
                <w:szCs w:val="20"/>
                <w:color w:val="auto"/>
              </w:rPr>
            </w:pPr>
            <w:r>
              <w:rPr>
                <w:rFonts w:ascii="Arial" w:cs="Arial" w:eastAsia="Arial" w:hAnsi="Arial"/>
                <w:sz w:val="22"/>
                <w:szCs w:val="22"/>
                <w:color w:val="auto"/>
              </w:rPr>
              <w:t>Title: CEO</w:t>
            </w:r>
          </w:p>
        </w:tc>
        <w:tc>
          <w:tcPr>
            <w:tcW w:w="8200" w:type="dxa"/>
            <w:vAlign w:val="bottom"/>
            <w:gridSpan w:val="8"/>
          </w:tcPr>
          <w:p>
            <w:pPr>
              <w:ind w:left="860"/>
              <w:spacing w:after="0"/>
              <w:rPr>
                <w:sz w:val="20"/>
                <w:szCs w:val="20"/>
                <w:color w:val="auto"/>
              </w:rPr>
            </w:pPr>
            <w:r>
              <w:rPr>
                <w:rFonts w:ascii="Arial" w:cs="Arial" w:eastAsia="Arial" w:hAnsi="Arial"/>
                <w:sz w:val="22"/>
                <w:szCs w:val="22"/>
                <w:color w:val="auto"/>
              </w:rPr>
              <w:t>Title:  Director</w:t>
            </w:r>
          </w:p>
        </w:tc>
      </w:tr>
      <w:tr>
        <w:trPr>
          <w:trHeight w:val="20"/>
        </w:trPr>
        <w:tc>
          <w:tcPr>
            <w:tcW w:w="520" w:type="dxa"/>
            <w:vAlign w:val="bottom"/>
            <w:tcBorders>
              <w:right w:val="single" w:sz="8" w:color="auto"/>
            </w:tcBorders>
          </w:tcPr>
          <w:p>
            <w:pPr>
              <w:spacing w:after="0" w:line="20" w:lineRule="exact"/>
              <w:rPr>
                <w:sz w:val="1"/>
                <w:szCs w:val="1"/>
                <w:color w:val="auto"/>
              </w:rPr>
            </w:pPr>
          </w:p>
        </w:tc>
        <w:tc>
          <w:tcPr>
            <w:tcW w:w="2080" w:type="dxa"/>
            <w:vAlign w:val="bottom"/>
            <w:gridSpan w:val="3"/>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60" w:type="dxa"/>
            <w:vAlign w:val="bottom"/>
            <w:gridSpan w:val="3"/>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r>
      <w:tr>
        <w:trPr>
          <w:trHeight w:val="466"/>
        </w:trPr>
        <w:tc>
          <w:tcPr>
            <w:tcW w:w="3040" w:type="dxa"/>
            <w:vAlign w:val="bottom"/>
            <w:gridSpan w:val="5"/>
          </w:tcPr>
          <w:p>
            <w:pPr>
              <w:spacing w:after="0"/>
              <w:rPr>
                <w:sz w:val="20"/>
                <w:szCs w:val="20"/>
                <w:color w:val="auto"/>
              </w:rPr>
            </w:pPr>
            <w:r>
              <w:rPr>
                <w:rFonts w:ascii="Arial" w:cs="Arial" w:eastAsia="Arial" w:hAnsi="Arial"/>
                <w:sz w:val="22"/>
                <w:szCs w:val="22"/>
                <w:color w:val="auto"/>
              </w:rPr>
              <w:t>Date: September 27, 2021</w:t>
            </w:r>
          </w:p>
        </w:tc>
        <w:tc>
          <w:tcPr>
            <w:tcW w:w="8200" w:type="dxa"/>
            <w:vAlign w:val="bottom"/>
            <w:gridSpan w:val="8"/>
          </w:tcPr>
          <w:p>
            <w:pPr>
              <w:ind w:left="860"/>
              <w:spacing w:after="0"/>
              <w:rPr>
                <w:sz w:val="20"/>
                <w:szCs w:val="20"/>
                <w:color w:val="auto"/>
              </w:rPr>
            </w:pPr>
            <w:r>
              <w:rPr>
                <w:rFonts w:ascii="Arial" w:cs="Arial" w:eastAsia="Arial" w:hAnsi="Arial"/>
                <w:sz w:val="22"/>
                <w:szCs w:val="22"/>
                <w:color w:val="auto"/>
              </w:rPr>
              <w:t>Date: September 28, 2021</w:t>
            </w:r>
          </w:p>
        </w:tc>
      </w:tr>
      <w:tr>
        <w:trPr>
          <w:trHeight w:val="479"/>
        </w:trPr>
        <w:tc>
          <w:tcPr>
            <w:tcW w:w="5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66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380" w:type="dxa"/>
            <w:vAlign w:val="bottom"/>
            <w:gridSpan w:val="2"/>
          </w:tcPr>
          <w:p>
            <w:pPr>
              <w:spacing w:after="0"/>
              <w:rPr>
                <w:sz w:val="24"/>
                <w:szCs w:val="24"/>
                <w:color w:val="auto"/>
              </w:rPr>
            </w:pPr>
          </w:p>
        </w:tc>
        <w:tc>
          <w:tcPr>
            <w:tcW w:w="1640" w:type="dxa"/>
            <w:vAlign w:val="bottom"/>
            <w:tcBorders>
              <w:top w:val="single" w:sz="8" w:color="auto"/>
            </w:tcBorders>
            <w:gridSpan w:val="3"/>
          </w:tcPr>
          <w:p>
            <w:pPr>
              <w:jc w:val="right"/>
              <w:ind w:right="400"/>
              <w:spacing w:after="0"/>
              <w:rPr>
                <w:sz w:val="20"/>
                <w:szCs w:val="20"/>
                <w:color w:val="auto"/>
              </w:rPr>
            </w:pPr>
            <w:r>
              <w:rPr>
                <w:rFonts w:ascii="Arial" w:cs="Arial" w:eastAsia="Arial" w:hAnsi="Arial"/>
                <w:sz w:val="18"/>
                <w:szCs w:val="18"/>
                <w:color w:val="auto"/>
              </w:rPr>
              <w:t>3</w:t>
            </w:r>
          </w:p>
        </w:tc>
        <w:tc>
          <w:tcPr>
            <w:tcW w:w="42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4320" w:type="dxa"/>
            <w:vAlign w:val="bottom"/>
          </w:tcPr>
          <w:p>
            <w:pPr>
              <w:spacing w:after="0"/>
              <w:rPr>
                <w:sz w:val="24"/>
                <w:szCs w:val="24"/>
                <w:color w:val="auto"/>
              </w:rPr>
            </w:pPr>
          </w:p>
        </w:tc>
      </w:tr>
      <w:tr>
        <w:trPr>
          <w:trHeight w:val="291"/>
        </w:trPr>
        <w:tc>
          <w:tcPr>
            <w:tcW w:w="5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4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31.1</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George Lasezkay, certify that:</w:t>
      </w:r>
    </w:p>
    <w:p>
      <w:pPr>
        <w:spacing w:after="0" w:line="131" w:lineRule="exact"/>
        <w:rPr>
          <w:sz w:val="20"/>
          <w:szCs w:val="20"/>
          <w:color w:val="auto"/>
        </w:rPr>
      </w:pPr>
    </w:p>
    <w:p>
      <w:pPr>
        <w:ind w:left="440" w:hanging="432"/>
        <w:spacing w:after="0"/>
        <w:tabs>
          <w:tab w:leader="none" w:pos="4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for the period ended September 30, 2021 of Clearside Biomedical, Inc. (the “registrant”);</w:t>
      </w:r>
    </w:p>
    <w:p>
      <w:pPr>
        <w:spacing w:after="0" w:line="142" w:lineRule="exact"/>
        <w:rPr>
          <w:rFonts w:ascii="Arial" w:cs="Arial" w:eastAsia="Arial" w:hAnsi="Arial"/>
          <w:sz w:val="17"/>
          <w:szCs w:val="17"/>
          <w:color w:val="auto"/>
        </w:rPr>
      </w:pPr>
    </w:p>
    <w:p>
      <w:pPr>
        <w:jc w:val="both"/>
        <w:ind w:left="440" w:right="320" w:hanging="432"/>
        <w:spacing w:after="0" w:line="279" w:lineRule="auto"/>
        <w:tabs>
          <w:tab w:leader="none" w:pos="4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4" w:lineRule="exact"/>
        <w:rPr>
          <w:rFonts w:ascii="Arial" w:cs="Arial" w:eastAsia="Arial" w:hAnsi="Arial"/>
          <w:sz w:val="18"/>
          <w:szCs w:val="18"/>
          <w:color w:val="auto"/>
        </w:rPr>
      </w:pPr>
    </w:p>
    <w:p>
      <w:pPr>
        <w:ind w:left="440" w:right="280" w:hanging="432"/>
        <w:spacing w:after="0" w:line="324" w:lineRule="auto"/>
        <w:tabs>
          <w:tab w:leader="none" w:pos="4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9" w:lineRule="exact"/>
        <w:rPr>
          <w:rFonts w:ascii="Arial" w:cs="Arial" w:eastAsia="Arial" w:hAnsi="Arial"/>
          <w:sz w:val="17"/>
          <w:szCs w:val="17"/>
          <w:color w:val="auto"/>
        </w:rPr>
      </w:pPr>
    </w:p>
    <w:p>
      <w:pPr>
        <w:jc w:val="both"/>
        <w:ind w:left="440" w:right="320" w:hanging="432"/>
        <w:spacing w:after="0" w:line="279" w:lineRule="auto"/>
        <w:tabs>
          <w:tab w:leader="none" w:pos="4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4" w:lineRule="exact"/>
        <w:rPr>
          <w:rFonts w:ascii="Arial" w:cs="Arial" w:eastAsia="Arial" w:hAnsi="Arial"/>
          <w:sz w:val="18"/>
          <w:szCs w:val="18"/>
          <w:color w:val="auto"/>
        </w:rPr>
      </w:pPr>
    </w:p>
    <w:p>
      <w:pPr>
        <w:ind w:left="960" w:right="80" w:hanging="441"/>
        <w:spacing w:after="0" w:line="279" w:lineRule="auto"/>
        <w:tabs>
          <w:tab w:leader="none" w:pos="9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4" w:lineRule="exact"/>
        <w:rPr>
          <w:rFonts w:ascii="Arial" w:cs="Arial" w:eastAsia="Arial" w:hAnsi="Arial"/>
          <w:sz w:val="18"/>
          <w:szCs w:val="18"/>
          <w:color w:val="auto"/>
        </w:rPr>
      </w:pPr>
    </w:p>
    <w:p>
      <w:pPr>
        <w:ind w:left="960" w:right="380" w:hanging="441"/>
        <w:spacing w:after="0" w:line="279" w:lineRule="auto"/>
        <w:tabs>
          <w:tab w:leader="none" w:pos="9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4" w:lineRule="exact"/>
        <w:rPr>
          <w:rFonts w:ascii="Arial" w:cs="Arial" w:eastAsia="Arial" w:hAnsi="Arial"/>
          <w:sz w:val="18"/>
          <w:szCs w:val="18"/>
          <w:color w:val="auto"/>
        </w:rPr>
      </w:pPr>
    </w:p>
    <w:p>
      <w:pPr>
        <w:jc w:val="both"/>
        <w:ind w:left="960" w:right="560" w:hanging="441"/>
        <w:spacing w:after="0" w:line="359" w:lineRule="auto"/>
        <w:tabs>
          <w:tab w:leader="none" w:pos="960" w:val="left"/>
        </w:tabs>
        <w:numPr>
          <w:ilvl w:val="1"/>
          <w:numId w:val="1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 w:lineRule="exact"/>
        <w:rPr>
          <w:rFonts w:ascii="Arial" w:cs="Arial" w:eastAsia="Arial" w:hAnsi="Arial"/>
          <w:sz w:val="16"/>
          <w:szCs w:val="16"/>
          <w:color w:val="auto"/>
        </w:rPr>
      </w:pPr>
    </w:p>
    <w:p>
      <w:pPr>
        <w:ind w:left="960" w:right="60" w:hanging="441"/>
        <w:spacing w:after="0" w:line="279" w:lineRule="auto"/>
        <w:tabs>
          <w:tab w:leader="none" w:pos="9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74" w:lineRule="exact"/>
        <w:rPr>
          <w:rFonts w:ascii="Arial" w:cs="Arial" w:eastAsia="Arial" w:hAnsi="Arial"/>
          <w:sz w:val="18"/>
          <w:szCs w:val="18"/>
          <w:color w:val="auto"/>
        </w:rPr>
      </w:pPr>
    </w:p>
    <w:p>
      <w:pPr>
        <w:ind w:left="420" w:right="60" w:hanging="411"/>
        <w:spacing w:after="0" w:line="324" w:lineRule="auto"/>
        <w:tabs>
          <w:tab w:leader="none" w:pos="4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9" w:lineRule="exact"/>
        <w:rPr>
          <w:rFonts w:ascii="Arial" w:cs="Arial" w:eastAsia="Arial" w:hAnsi="Arial"/>
          <w:sz w:val="17"/>
          <w:szCs w:val="17"/>
          <w:color w:val="auto"/>
        </w:rPr>
      </w:pPr>
    </w:p>
    <w:p>
      <w:pPr>
        <w:ind w:left="960" w:right="800" w:hanging="441"/>
        <w:spacing w:after="0" w:line="359" w:lineRule="auto"/>
        <w:tabs>
          <w:tab w:leader="none" w:pos="960" w:val="left"/>
        </w:tabs>
        <w:numPr>
          <w:ilvl w:val="1"/>
          <w:numId w:val="1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 w:lineRule="exact"/>
        <w:rPr>
          <w:rFonts w:ascii="Arial" w:cs="Arial" w:eastAsia="Arial" w:hAnsi="Arial"/>
          <w:sz w:val="16"/>
          <w:szCs w:val="16"/>
          <w:color w:val="auto"/>
        </w:rPr>
      </w:pPr>
    </w:p>
    <w:p>
      <w:pPr>
        <w:ind w:left="960" w:right="480" w:hanging="441"/>
        <w:spacing w:after="0" w:line="293" w:lineRule="auto"/>
        <w:tabs>
          <w:tab w:leader="none" w:pos="9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10, 2021</w:t>
      </w:r>
    </w:p>
    <w:p>
      <w:pPr>
        <w:spacing w:after="0" w:line="266"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 George Lasezkay, Pharm.D., J.D.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23495</wp:posOffset>
            </wp:positionV>
            <wp:extent cx="284607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6">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4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George Lasezkay, Pharm. D., J.D.</w:t>
      </w:r>
    </w:p>
    <w:p>
      <w:pPr>
        <w:spacing w:after="0" w:line="50"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President and Chief Executive Officer</w:t>
      </w:r>
    </w:p>
    <w:p>
      <w:pPr>
        <w:spacing w:after="0" w:line="50"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31.2</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Charles A. Deignan, certify that:</w:t>
      </w:r>
    </w:p>
    <w:p>
      <w:pPr>
        <w:spacing w:after="0" w:line="131" w:lineRule="exact"/>
        <w:rPr>
          <w:sz w:val="20"/>
          <w:szCs w:val="20"/>
          <w:color w:val="auto"/>
        </w:rPr>
      </w:pPr>
    </w:p>
    <w:p>
      <w:pPr>
        <w:ind w:left="440" w:hanging="432"/>
        <w:spacing w:after="0"/>
        <w:tabs>
          <w:tab w:leader="none" w:pos="4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for the period ended September 30, 2021 of Clearside Biomedical, Inc. (the “registrant”);</w:t>
      </w:r>
    </w:p>
    <w:p>
      <w:pPr>
        <w:spacing w:after="0" w:line="142" w:lineRule="exact"/>
        <w:rPr>
          <w:rFonts w:ascii="Arial" w:cs="Arial" w:eastAsia="Arial" w:hAnsi="Arial"/>
          <w:sz w:val="17"/>
          <w:szCs w:val="17"/>
          <w:color w:val="auto"/>
        </w:rPr>
      </w:pPr>
    </w:p>
    <w:p>
      <w:pPr>
        <w:jc w:val="both"/>
        <w:ind w:left="440" w:right="320" w:hanging="432"/>
        <w:spacing w:after="0" w:line="279" w:lineRule="auto"/>
        <w:tabs>
          <w:tab w:leader="none" w:pos="4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4" w:lineRule="exact"/>
        <w:rPr>
          <w:rFonts w:ascii="Arial" w:cs="Arial" w:eastAsia="Arial" w:hAnsi="Arial"/>
          <w:sz w:val="18"/>
          <w:szCs w:val="18"/>
          <w:color w:val="auto"/>
        </w:rPr>
      </w:pPr>
    </w:p>
    <w:p>
      <w:pPr>
        <w:ind w:left="440" w:right="280" w:hanging="432"/>
        <w:spacing w:after="0" w:line="324" w:lineRule="auto"/>
        <w:tabs>
          <w:tab w:leader="none" w:pos="4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9" w:lineRule="exact"/>
        <w:rPr>
          <w:rFonts w:ascii="Arial" w:cs="Arial" w:eastAsia="Arial" w:hAnsi="Arial"/>
          <w:sz w:val="17"/>
          <w:szCs w:val="17"/>
          <w:color w:val="auto"/>
        </w:rPr>
      </w:pPr>
    </w:p>
    <w:p>
      <w:pPr>
        <w:jc w:val="both"/>
        <w:ind w:left="440" w:right="320" w:hanging="432"/>
        <w:spacing w:after="0" w:line="279" w:lineRule="auto"/>
        <w:tabs>
          <w:tab w:leader="none" w:pos="4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4" w:lineRule="exact"/>
        <w:rPr>
          <w:rFonts w:ascii="Arial" w:cs="Arial" w:eastAsia="Arial" w:hAnsi="Arial"/>
          <w:sz w:val="18"/>
          <w:szCs w:val="18"/>
          <w:color w:val="auto"/>
        </w:rPr>
      </w:pPr>
    </w:p>
    <w:p>
      <w:pPr>
        <w:ind w:left="960" w:right="80" w:hanging="441"/>
        <w:spacing w:after="0" w:line="279" w:lineRule="auto"/>
        <w:tabs>
          <w:tab w:leader="none" w:pos="9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4" w:lineRule="exact"/>
        <w:rPr>
          <w:rFonts w:ascii="Arial" w:cs="Arial" w:eastAsia="Arial" w:hAnsi="Arial"/>
          <w:sz w:val="18"/>
          <w:szCs w:val="18"/>
          <w:color w:val="auto"/>
        </w:rPr>
      </w:pPr>
    </w:p>
    <w:p>
      <w:pPr>
        <w:ind w:left="960" w:right="380" w:hanging="441"/>
        <w:spacing w:after="0" w:line="279" w:lineRule="auto"/>
        <w:tabs>
          <w:tab w:leader="none" w:pos="9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4" w:lineRule="exact"/>
        <w:rPr>
          <w:rFonts w:ascii="Arial" w:cs="Arial" w:eastAsia="Arial" w:hAnsi="Arial"/>
          <w:sz w:val="18"/>
          <w:szCs w:val="18"/>
          <w:color w:val="auto"/>
        </w:rPr>
      </w:pPr>
    </w:p>
    <w:p>
      <w:pPr>
        <w:jc w:val="both"/>
        <w:ind w:left="960" w:right="560" w:hanging="441"/>
        <w:spacing w:after="0" w:line="359" w:lineRule="auto"/>
        <w:tabs>
          <w:tab w:leader="none" w:pos="960" w:val="left"/>
        </w:tabs>
        <w:numPr>
          <w:ilvl w:val="1"/>
          <w:numId w:val="1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 w:lineRule="exact"/>
        <w:rPr>
          <w:rFonts w:ascii="Arial" w:cs="Arial" w:eastAsia="Arial" w:hAnsi="Arial"/>
          <w:sz w:val="16"/>
          <w:szCs w:val="16"/>
          <w:color w:val="auto"/>
        </w:rPr>
      </w:pPr>
    </w:p>
    <w:p>
      <w:pPr>
        <w:ind w:left="960" w:right="60" w:hanging="441"/>
        <w:spacing w:after="0" w:line="279" w:lineRule="auto"/>
        <w:tabs>
          <w:tab w:leader="none" w:pos="9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74" w:lineRule="exact"/>
        <w:rPr>
          <w:rFonts w:ascii="Arial" w:cs="Arial" w:eastAsia="Arial" w:hAnsi="Arial"/>
          <w:sz w:val="18"/>
          <w:szCs w:val="18"/>
          <w:color w:val="auto"/>
        </w:rPr>
      </w:pPr>
    </w:p>
    <w:p>
      <w:pPr>
        <w:ind w:left="440" w:right="20" w:hanging="432"/>
        <w:spacing w:after="0" w:line="324" w:lineRule="auto"/>
        <w:tabs>
          <w:tab w:leader="none" w:pos="4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9" w:lineRule="exact"/>
        <w:rPr>
          <w:rFonts w:ascii="Arial" w:cs="Arial" w:eastAsia="Arial" w:hAnsi="Arial"/>
          <w:sz w:val="17"/>
          <w:szCs w:val="17"/>
          <w:color w:val="auto"/>
        </w:rPr>
      </w:pPr>
    </w:p>
    <w:p>
      <w:pPr>
        <w:ind w:left="960" w:right="800" w:hanging="441"/>
        <w:spacing w:after="0" w:line="359" w:lineRule="auto"/>
        <w:tabs>
          <w:tab w:leader="none" w:pos="960" w:val="left"/>
        </w:tabs>
        <w:numPr>
          <w:ilvl w:val="1"/>
          <w:numId w:val="1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 w:lineRule="exact"/>
        <w:rPr>
          <w:rFonts w:ascii="Arial" w:cs="Arial" w:eastAsia="Arial" w:hAnsi="Arial"/>
          <w:sz w:val="16"/>
          <w:szCs w:val="16"/>
          <w:color w:val="auto"/>
        </w:rPr>
      </w:pPr>
    </w:p>
    <w:p>
      <w:pPr>
        <w:ind w:left="960" w:right="480" w:hanging="441"/>
        <w:spacing w:after="0" w:line="293" w:lineRule="auto"/>
        <w:tabs>
          <w:tab w:leader="none" w:pos="9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10, 2021</w:t>
      </w:r>
    </w:p>
    <w:p>
      <w:pPr>
        <w:spacing w:after="0" w:line="36"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 Charles A. Deignan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23495</wp:posOffset>
            </wp:positionV>
            <wp:extent cx="284607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8">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4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Charles A. Deignan</w:t>
      </w:r>
    </w:p>
    <w:p>
      <w:pPr>
        <w:spacing w:after="0" w:line="50"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Chief Financial Officer</w:t>
      </w:r>
    </w:p>
    <w:p>
      <w:pPr>
        <w:spacing w:after="0" w:line="50"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32.1</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EXECUTIVE OFFICER AND PRINCIPAL FINANCIAL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8" w:lineRule="exact"/>
        <w:rPr>
          <w:sz w:val="20"/>
          <w:szCs w:val="20"/>
          <w:color w:val="auto"/>
        </w:rPr>
      </w:pPr>
    </w:p>
    <w:p>
      <w:pPr>
        <w:ind w:right="20" w:firstLine="509"/>
        <w:spacing w:after="0" w:line="329" w:lineRule="auto"/>
        <w:rPr>
          <w:sz w:val="20"/>
          <w:szCs w:val="20"/>
          <w:color w:val="auto"/>
        </w:rPr>
      </w:pPr>
      <w:r>
        <w:rPr>
          <w:rFonts w:ascii="Arial" w:cs="Arial" w:eastAsia="Arial" w:hAnsi="Arial"/>
          <w:sz w:val="16"/>
          <w:szCs w:val="16"/>
          <w:color w:val="auto"/>
        </w:rPr>
        <w:t>Pursuant to the requirement set forth in Rule 13a-14(b) of the Securities Exchange Act of 1934, as amended, (the “Exchange Act”) and Section 1350 of Chapter 63 of Title 18 of the United States Code (18 U.S.C. §1350), George Lasezkay, President and Chief Executive Officer of Clearside Biomedical, Inc. (the “Company”), and Charles A. Deignan, Chief Financial Officer of the Company, each hereby certifies that, to the best of his knowledge:</w:t>
      </w:r>
    </w:p>
    <w:p>
      <w:pPr>
        <w:spacing w:after="0" w:line="40" w:lineRule="exact"/>
        <w:rPr>
          <w:sz w:val="20"/>
          <w:szCs w:val="20"/>
          <w:color w:val="auto"/>
        </w:rPr>
      </w:pPr>
    </w:p>
    <w:p>
      <w:pPr>
        <w:ind w:left="440" w:right="80" w:hanging="432"/>
        <w:spacing w:after="0" w:line="293" w:lineRule="auto"/>
        <w:tabs>
          <w:tab w:leader="none" w:pos="4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Company’s Quarterly Report on Form 10-Q for the period ended September 30, 2021, to which this Certification is attached as Exhibit 32.1 (the “Periodic Report”), fully complies with the requirements of Section 13(a) or Section 15(d) of the Exchange Act; and</w:t>
      </w:r>
    </w:p>
    <w:p>
      <w:pPr>
        <w:spacing w:after="0" w:line="61" w:lineRule="exact"/>
        <w:rPr>
          <w:rFonts w:ascii="Arial" w:cs="Arial" w:eastAsia="Arial" w:hAnsi="Arial"/>
          <w:sz w:val="18"/>
          <w:szCs w:val="18"/>
          <w:color w:val="auto"/>
        </w:rPr>
      </w:pPr>
    </w:p>
    <w:p>
      <w:pPr>
        <w:ind w:left="440" w:right="480" w:hanging="432"/>
        <w:spacing w:after="0" w:line="293" w:lineRule="auto"/>
        <w:tabs>
          <w:tab w:leader="none" w:pos="4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information contained in the Periodic Report fairly presents, in all material respects, the financial condition and results of operations of the Company.</w:t>
      </w:r>
    </w:p>
    <w:p>
      <w:pPr>
        <w:spacing w:after="0" w:line="166"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undersigned have set their hands hereto as of the 10th day of November, 2021.</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5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George Lasezkay, Pharm. D., J.D.</w:t>
            </w:r>
          </w:p>
        </w:tc>
        <w:tc>
          <w:tcPr>
            <w:tcW w:w="2260" w:type="dxa"/>
            <w:vAlign w:val="bottom"/>
          </w:tcPr>
          <w:p>
            <w:pPr>
              <w:spacing w:after="0"/>
              <w:rPr>
                <w:sz w:val="20"/>
                <w:szCs w:val="20"/>
                <w:color w:val="auto"/>
              </w:rPr>
            </w:pPr>
          </w:p>
        </w:tc>
        <w:tc>
          <w:tcPr>
            <w:tcW w:w="44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Charles. A. Deignan</w:t>
            </w:r>
          </w:p>
        </w:tc>
      </w:tr>
      <w:tr>
        <w:trPr>
          <w:trHeight w:val="243"/>
        </w:trPr>
        <w:tc>
          <w:tcPr>
            <w:tcW w:w="4500" w:type="dxa"/>
            <w:vAlign w:val="bottom"/>
          </w:tcPr>
          <w:p>
            <w:pPr>
              <w:ind w:left="20"/>
              <w:spacing w:after="0"/>
              <w:rPr>
                <w:sz w:val="20"/>
                <w:szCs w:val="20"/>
                <w:color w:val="auto"/>
              </w:rPr>
            </w:pPr>
            <w:r>
              <w:rPr>
                <w:rFonts w:ascii="Arial" w:cs="Arial" w:eastAsia="Arial" w:hAnsi="Arial"/>
                <w:sz w:val="18"/>
                <w:szCs w:val="18"/>
                <w:color w:val="auto"/>
              </w:rPr>
              <w:t>George Lasezkay, Pharm. D., J.D.</w:t>
            </w:r>
          </w:p>
        </w:tc>
        <w:tc>
          <w:tcPr>
            <w:tcW w:w="2260" w:type="dxa"/>
            <w:vAlign w:val="bottom"/>
          </w:tcPr>
          <w:p>
            <w:pPr>
              <w:spacing w:after="0"/>
              <w:rPr>
                <w:sz w:val="21"/>
                <w:szCs w:val="21"/>
                <w:color w:val="auto"/>
              </w:rPr>
            </w:pPr>
          </w:p>
        </w:tc>
        <w:tc>
          <w:tcPr>
            <w:tcW w:w="4480" w:type="dxa"/>
            <w:vAlign w:val="bottom"/>
          </w:tcPr>
          <w:p>
            <w:pPr>
              <w:ind w:left="20"/>
              <w:spacing w:after="0"/>
              <w:rPr>
                <w:sz w:val="20"/>
                <w:szCs w:val="20"/>
                <w:color w:val="auto"/>
              </w:rPr>
            </w:pPr>
            <w:r>
              <w:rPr>
                <w:rFonts w:ascii="Arial" w:cs="Arial" w:eastAsia="Arial" w:hAnsi="Arial"/>
                <w:sz w:val="18"/>
                <w:szCs w:val="18"/>
                <w:color w:val="auto"/>
              </w:rPr>
              <w:t>Charles A. Deignan</w:t>
            </w:r>
          </w:p>
        </w:tc>
      </w:tr>
      <w:tr>
        <w:trPr>
          <w:trHeight w:val="256"/>
        </w:trPr>
        <w:tc>
          <w:tcPr>
            <w:tcW w:w="450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c>
          <w:tcPr>
            <w:tcW w:w="2260" w:type="dxa"/>
            <w:vAlign w:val="bottom"/>
          </w:tcPr>
          <w:p>
            <w:pPr>
              <w:spacing w:after="0"/>
              <w:rPr>
                <w:sz w:val="22"/>
                <w:szCs w:val="22"/>
                <w:color w:val="auto"/>
              </w:rPr>
            </w:pPr>
          </w:p>
        </w:tc>
        <w:tc>
          <w:tcPr>
            <w:tcW w:w="448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30"/>
        </w:trPr>
        <w:tc>
          <w:tcPr>
            <w:tcW w:w="450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c>
          <w:tcPr>
            <w:tcW w:w="2260" w:type="dxa"/>
            <w:vAlign w:val="bottom"/>
          </w:tcPr>
          <w:p>
            <w:pPr>
              <w:spacing w:after="0"/>
              <w:rPr>
                <w:sz w:val="20"/>
                <w:szCs w:val="20"/>
                <w:color w:val="auto"/>
              </w:rPr>
            </w:pPr>
          </w:p>
        </w:tc>
        <w:tc>
          <w:tcPr>
            <w:tcW w:w="4480" w:type="dxa"/>
            <w:vAlign w:val="bottom"/>
          </w:tcPr>
          <w:p>
            <w:pPr>
              <w:ind w:left="20"/>
              <w:spacing w:after="0"/>
              <w:rPr>
                <w:sz w:val="20"/>
                <w:szCs w:val="20"/>
                <w:color w:val="auto"/>
              </w:rPr>
            </w:pPr>
            <w:r>
              <w:rPr>
                <w:rFonts w:ascii="Arial" w:cs="Arial" w:eastAsia="Arial" w:hAnsi="Arial"/>
                <w:sz w:val="18"/>
                <w:szCs w:val="18"/>
                <w:color w:val="auto"/>
              </w:rPr>
              <w:t>(principal financial officer)</w:t>
            </w:r>
          </w:p>
        </w:tc>
      </w:tr>
    </w:tbl>
    <w:p>
      <w:pPr>
        <w:spacing w:after="0" w:line="283" w:lineRule="exact"/>
        <w:rPr>
          <w:sz w:val="20"/>
          <w:szCs w:val="20"/>
          <w:color w:val="auto"/>
        </w:rPr>
      </w:pPr>
    </w:p>
    <w:p>
      <w:pPr>
        <w:ind w:left="520" w:right="100" w:hanging="512"/>
        <w:spacing w:after="0" w:line="303" w:lineRule="auto"/>
        <w:tabs>
          <w:tab w:leader="none" w:pos="371"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This certification accompanies the Form 10-Q to which it relates, is not deemed filed with the Securities and Exchange Commission and is not to be incorporated by reference into any filing of the Company under the Securities Act of 1933, as amended, or the Exchange Act (whether made before or after the date of the Form 10-Q),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168910</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43" w:name="page44"/>
    <w:bookmarkEnd w:id="4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1"/>
      <w:numFmt w:val="upperLetter"/>
      <w:start w:val="68"/>
    </w:lvl>
  </w:abstractNum>
  <w:abstractNum w:abstractNumId="4">
    <w:nsid w:val="1190CDE7"/>
    <w:multiLevelType w:val="hybridMultilevel"/>
    <w:lvl w:ilvl="0">
      <w:lvlJc w:val="left"/>
      <w:lvlText w:val="%1"/>
      <w:numFmt w:val="decimal"/>
      <w:start w:val="104"/>
    </w:lvl>
  </w:abstractNum>
  <w:abstractNum w:abstractNumId="5">
    <w:nsid w:val="66EF438D"/>
    <w:multiLevelType w:val="hybridMultilevel"/>
    <w:lvl w:ilvl="0">
      <w:lvlJc w:val="left"/>
      <w:lvlText w:val="*"/>
      <w:numFmt w:val="bullet"/>
      <w:start w:val="1"/>
    </w:lvl>
  </w:abstractNum>
  <w:abstractNum w:abstractNumId="6">
    <w:nsid w:val="140E0F76"/>
    <w:multiLevelType w:val="hybridMultilevel"/>
    <w:lvl w:ilvl="0">
      <w:lvlJc w:val="left"/>
      <w:lvlText w:val="**"/>
      <w:numFmt w:val="bullet"/>
      <w:start w:val="1"/>
    </w:lvl>
  </w:abstractNum>
  <w:abstractNum w:abstractNumId="7">
    <w:nsid w:val="3352255A"/>
    <w:multiLevelType w:val="hybridMultilevel"/>
    <w:lvl w:ilvl="0">
      <w:lvlJc w:val="left"/>
      <w:lvlText w:val="#"/>
      <w:numFmt w:val="bullet"/>
      <w:start w:val="1"/>
    </w:lvl>
  </w:abstractNum>
  <w:abstractNum w:abstractNumId="8">
    <w:nsid w:val="109CF92E"/>
    <w:multiLevelType w:val="hybridMultilevel"/>
    <w:lvl w:ilvl="0">
      <w:lvlJc w:val="left"/>
      <w:lvlText w:val="\ldblquote"/>
      <w:numFmt w:val="bullet"/>
      <w:start w:val="1"/>
    </w:lvl>
  </w:abstractNum>
  <w:abstractNum w:abstractNumId="9">
    <w:nsid w:val="DED7263"/>
    <w:multiLevelType w:val="hybridMultilevel"/>
    <w:lvl w:ilvl="0">
      <w:lvlJc w:val="left"/>
      <w:lvlText w:val="(%1)"/>
      <w:numFmt w:val="lowerLetter"/>
      <w:start w:val="1"/>
    </w:lvl>
  </w:abstractNum>
  <w:abstractNum w:abstractNumId="10">
    <w:nsid w:val="7FDCC233"/>
    <w:multiLevelType w:val="hybridMultilevel"/>
    <w:lvl w:ilvl="0">
      <w:lvlJc w:val="left"/>
      <w:lvlText w:val="(%1)"/>
      <w:numFmt w:val="lowerLetter"/>
      <w:start w:val="2"/>
    </w:lvl>
  </w:abstractNum>
  <w:abstractNum w:abstractNumId="11">
    <w:nsid w:val="1BEFD79F"/>
    <w:multiLevelType w:val="hybridMultilevel"/>
    <w:lvl w:ilvl="0">
      <w:lvlJc w:val="left"/>
      <w:lvlText w:val="\ldblquote"/>
      <w:numFmt w:val="bullet"/>
      <w:start w:val="1"/>
    </w:lvl>
  </w:abstractNum>
  <w:abstractNum w:abstractNumId="12">
    <w:nsid w:val="41A7C4C9"/>
    <w:multiLevelType w:val="hybridMultilevel"/>
    <w:lvl w:ilvl="0">
      <w:lvlJc w:val="left"/>
      <w:lvlText w:val="(%1)"/>
      <w:numFmt w:val="lowerLetter"/>
      <w:start w:val="1"/>
    </w:lvl>
  </w:abstractNum>
  <w:abstractNum w:abstractNumId="13">
    <w:nsid w:val="6B68079A"/>
    <w:multiLevelType w:val="hybridMultilevel"/>
    <w:lvl w:ilvl="0">
      <w:lvlJc w:val="left"/>
      <w:lvlText w:val="%1."/>
      <w:numFmt w:val="decimal"/>
      <w:start w:val="1"/>
    </w:lvl>
  </w:abstractNum>
  <w:abstractNum w:abstractNumId="14">
    <w:nsid w:val="4E6AFB66"/>
    <w:multiLevelType w:val="hybridMultilevel"/>
    <w:lvl w:ilvl="0">
      <w:lvlJc w:val="left"/>
      <w:lvlText w:val="%1."/>
      <w:numFmt w:val="decimal"/>
      <w:start w:val="1"/>
    </w:lvl>
    <w:lvl w:ilvl="1">
      <w:lvlJc w:val="left"/>
      <w:lvlText w:val="(%2)"/>
      <w:numFmt w:val="lowerLetter"/>
      <w:start w:val="1"/>
    </w:lvl>
  </w:abstractNum>
  <w:abstractNum w:abstractNumId="15">
    <w:nsid w:val="25E45D32"/>
    <w:multiLevelType w:val="hybridMultilevel"/>
    <w:lvl w:ilvl="0">
      <w:lvlJc w:val="left"/>
      <w:lvlText w:val="%1."/>
      <w:numFmt w:val="decimal"/>
      <w:start w:val="1"/>
    </w:lvl>
    <w:lvl w:ilvl="1">
      <w:lvlJc w:val="left"/>
      <w:lvlText w:val="(%2)"/>
      <w:numFmt w:val="lowerLetter"/>
      <w:start w:val="1"/>
    </w:lvl>
  </w:abstractNum>
  <w:abstractNum w:abstractNumId="16">
    <w:nsid w:val="519B500D"/>
    <w:multiLevelType w:val="hybridMultilevel"/>
    <w:lvl w:ilvl="0">
      <w:lvlJc w:val="left"/>
      <w:lvlText w:val="%1."/>
      <w:numFmt w:val="decimal"/>
      <w:start w:val="1"/>
    </w:lvl>
  </w:abstractNum>
  <w:abstractNum w:abstractNumId="17">
    <w:nsid w:val="431BD7B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jpe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8" Type="http://schemas.openxmlformats.org/officeDocument/2006/relationships/image" Target="media/image179.png"/><Relationship Id="rId189" Type="http://schemas.openxmlformats.org/officeDocument/2006/relationships/image" Target="media/image180.png"/><Relationship Id="rId190" Type="http://schemas.openxmlformats.org/officeDocument/2006/relationships/image" Target="media/image181.png"/><Relationship Id="rId191" Type="http://schemas.openxmlformats.org/officeDocument/2006/relationships/image" Target="media/image182.png"/><Relationship Id="rId192" Type="http://schemas.openxmlformats.org/officeDocument/2006/relationships/image" Target="media/image183.png"/><Relationship Id="rId193" Type="http://schemas.openxmlformats.org/officeDocument/2006/relationships/image" Target="media/image184.png"/><Relationship Id="rId194" Type="http://schemas.openxmlformats.org/officeDocument/2006/relationships/image" Target="media/image185.png"/><Relationship Id="rId195" Type="http://schemas.openxmlformats.org/officeDocument/2006/relationships/image" Target="media/image186.png"/><Relationship Id="rId196" Type="http://schemas.openxmlformats.org/officeDocument/2006/relationships/image" Target="media/image187.png"/><Relationship Id="rId197" Type="http://schemas.openxmlformats.org/officeDocument/2006/relationships/image" Target="media/image188.png"/><Relationship Id="rId198" Type="http://schemas.openxmlformats.org/officeDocument/2006/relationships/image" Target="media/image189.png"/><Relationship Id="rId199" Type="http://schemas.openxmlformats.org/officeDocument/2006/relationships/image" Target="media/image190.png"/><Relationship Id="rId200" Type="http://schemas.openxmlformats.org/officeDocument/2006/relationships/image" Target="media/image191.png"/><Relationship Id="rId201" Type="http://schemas.openxmlformats.org/officeDocument/2006/relationships/image" Target="media/image192.png"/><Relationship Id="rId202" Type="http://schemas.openxmlformats.org/officeDocument/2006/relationships/image" Target="media/image193.png"/><Relationship Id="rId203" Type="http://schemas.openxmlformats.org/officeDocument/2006/relationships/image" Target="media/image194.png"/><Relationship Id="rId204" Type="http://schemas.openxmlformats.org/officeDocument/2006/relationships/image" Target="media/image195.png"/><Relationship Id="rId205" Type="http://schemas.openxmlformats.org/officeDocument/2006/relationships/image" Target="media/image196.png"/><Relationship Id="rId206" Type="http://schemas.openxmlformats.org/officeDocument/2006/relationships/image" Target="media/image197.png"/><Relationship Id="rId207" Type="http://schemas.openxmlformats.org/officeDocument/2006/relationships/image" Target="media/image198.png"/><Relationship Id="rId208" Type="http://schemas.openxmlformats.org/officeDocument/2006/relationships/image" Target="media/image199.png"/><Relationship Id="rId209" Type="http://schemas.openxmlformats.org/officeDocument/2006/relationships/image" Target="media/image200.png"/><Relationship Id="rId210" Type="http://schemas.openxmlformats.org/officeDocument/2006/relationships/image" Target="media/image201.png"/><Relationship Id="rId186" Type="http://schemas.openxmlformats.org/officeDocument/2006/relationships/hyperlink" Target="https://www.sec.gov/Archives/edgar/data/1539029/000119312516615374/d208521dex31.htm" TargetMode="External"/><Relationship Id="rId187" Type="http://schemas.openxmlformats.org/officeDocument/2006/relationships/hyperlink" Target="https://www.sec.gov/Archives/edgar/data/1539029/000119312516615374/d208521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2021-11-10T15:53:16Z</dcterms:created>
  <dcterms:modified xsi:type="dcterms:W3CDTF">2021-11-10T15:53:16Z</dcterms:modified>
</cp:coreProperties>
</file>