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60325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92075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3860" w:right="1580" w:hanging="3852"/>
        <w:spacing w:after="0" w:line="344" w:lineRule="auto"/>
        <w:tabs>
          <w:tab w:leader="none" w:pos="505"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-358140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37" w:lineRule="exact"/>
        <w:rPr>
          <w:sz w:val="24"/>
          <w:szCs w:val="24"/>
          <w:color w:val="auto"/>
        </w:rPr>
      </w:pPr>
    </w:p>
    <w:p>
      <w:pPr>
        <w:ind w:left="4200" w:right="1580" w:hanging="4192"/>
        <w:spacing w:after="0" w:line="360" w:lineRule="auto"/>
        <w:tabs>
          <w:tab w:leader="none" w:pos="51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001-37783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-5080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-367030</wp:posOffset>
            </wp:positionV>
            <wp:extent cx="86995" cy="882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Clearside Biomedical, Inc.</w:t>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2" w:lineRule="exact"/>
        <w:rPr>
          <w:sz w:val="24"/>
          <w:szCs w:val="24"/>
          <w:color w:val="auto"/>
        </w:rPr>
      </w:pPr>
    </w:p>
    <w:tbl>
      <w:tblPr>
        <w:tblLayout w:type="fixed"/>
        <w:tblInd w:w="1440" w:type="dxa"/>
        <w:tblCellMar>
          <w:top w:w="0" w:type="dxa"/>
          <w:left w:w="0" w:type="dxa"/>
          <w:bottom w:w="0" w:type="dxa"/>
          <w:right w:w="0" w:type="dxa"/>
        </w:tblCellMar>
      </w:tblPr>
      <w:tr>
        <w:trPr>
          <w:trHeight w:val="212"/>
        </w:trPr>
        <w:tc>
          <w:tcPr>
            <w:tcW w:w="4580" w:type="dxa"/>
            <w:vAlign w:val="bottom"/>
          </w:tcPr>
          <w:p>
            <w:pPr>
              <w:jc w:val="center"/>
              <w:ind w:right="1739"/>
              <w:spacing w:after="0"/>
              <w:rPr>
                <w:sz w:val="20"/>
                <w:szCs w:val="20"/>
                <w:color w:val="auto"/>
              </w:rPr>
            </w:pPr>
            <w:r>
              <w:rPr>
                <w:rFonts w:ascii="Arial" w:cs="Arial" w:eastAsia="Arial" w:hAnsi="Arial"/>
                <w:sz w:val="18"/>
                <w:szCs w:val="18"/>
                <w:b w:val="1"/>
                <w:bCs w:val="1"/>
                <w:color w:val="auto"/>
                <w:w w:val="91"/>
              </w:rPr>
              <w:t>Delaware</w:t>
            </w:r>
          </w:p>
        </w:tc>
        <w:tc>
          <w:tcPr>
            <w:tcW w:w="2980" w:type="dxa"/>
            <w:vAlign w:val="bottom"/>
          </w:tcPr>
          <w:p>
            <w:pPr>
              <w:jc w:val="right"/>
              <w:ind w:right="61"/>
              <w:spacing w:after="0"/>
              <w:rPr>
                <w:sz w:val="20"/>
                <w:szCs w:val="20"/>
                <w:color w:val="auto"/>
              </w:rPr>
            </w:pPr>
            <w:r>
              <w:rPr>
                <w:rFonts w:ascii="Arial" w:cs="Arial" w:eastAsia="Arial" w:hAnsi="Arial"/>
                <w:sz w:val="18"/>
                <w:szCs w:val="18"/>
                <w:b w:val="1"/>
                <w:bCs w:val="1"/>
                <w:color w:val="auto"/>
              </w:rPr>
              <w:t>45-2437375</w:t>
            </w:r>
          </w:p>
        </w:tc>
      </w:tr>
      <w:tr>
        <w:trPr>
          <w:trHeight w:val="148"/>
        </w:trPr>
        <w:tc>
          <w:tcPr>
            <w:tcW w:w="4580" w:type="dxa"/>
            <w:vAlign w:val="bottom"/>
          </w:tcPr>
          <w:p>
            <w:pPr>
              <w:jc w:val="center"/>
              <w:ind w:right="173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980" w:type="dxa"/>
            <w:vAlign w:val="bottom"/>
          </w:tcPr>
          <w:p>
            <w:pPr>
              <w:jc w:val="center"/>
              <w:ind w:left="17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53"/>
        </w:trPr>
        <w:tc>
          <w:tcPr>
            <w:tcW w:w="4580" w:type="dxa"/>
            <w:vAlign w:val="bottom"/>
          </w:tcPr>
          <w:p>
            <w:pPr>
              <w:jc w:val="center"/>
              <w:ind w:right="1739"/>
              <w:spacing w:after="0" w:line="153" w:lineRule="exact"/>
              <w:rPr>
                <w:sz w:val="20"/>
                <w:szCs w:val="20"/>
                <w:color w:val="auto"/>
              </w:rPr>
            </w:pPr>
            <w:r>
              <w:rPr>
                <w:rFonts w:ascii="Arial" w:cs="Arial" w:eastAsia="Arial" w:hAnsi="Arial"/>
                <w:sz w:val="14"/>
                <w:szCs w:val="14"/>
                <w:b w:val="1"/>
                <w:bCs w:val="1"/>
                <w:color w:val="auto"/>
                <w:w w:val="94"/>
              </w:rPr>
              <w:t>incorporation or organization)</w:t>
            </w:r>
          </w:p>
        </w:tc>
        <w:tc>
          <w:tcPr>
            <w:tcW w:w="2980" w:type="dxa"/>
            <w:vAlign w:val="bottom"/>
          </w:tcPr>
          <w:p>
            <w:pPr>
              <w:jc w:val="center"/>
              <w:ind w:left="1761"/>
              <w:spacing w:after="0" w:line="153" w:lineRule="exact"/>
              <w:rPr>
                <w:sz w:val="20"/>
                <w:szCs w:val="20"/>
                <w:color w:val="auto"/>
              </w:rPr>
            </w:pPr>
            <w:r>
              <w:rPr>
                <w:rFonts w:ascii="Arial" w:cs="Arial" w:eastAsia="Arial" w:hAnsi="Arial"/>
                <w:sz w:val="14"/>
                <w:szCs w:val="14"/>
                <w:b w:val="1"/>
                <w:bCs w:val="1"/>
                <w:color w:val="auto"/>
                <w:w w:val="96"/>
              </w:rPr>
              <w:t>Identification No.)</w:t>
            </w:r>
          </w:p>
        </w:tc>
      </w:tr>
      <w:tr>
        <w:trPr>
          <w:trHeight w:val="216"/>
        </w:trPr>
        <w:tc>
          <w:tcPr>
            <w:tcW w:w="4580" w:type="dxa"/>
            <w:vAlign w:val="bottom"/>
          </w:tcPr>
          <w:p>
            <w:pPr>
              <w:jc w:val="center"/>
              <w:ind w:right="1739"/>
              <w:spacing w:after="0"/>
              <w:rPr>
                <w:sz w:val="20"/>
                <w:szCs w:val="20"/>
                <w:color w:val="auto"/>
              </w:rPr>
            </w:pPr>
            <w:r>
              <w:rPr>
                <w:rFonts w:ascii="Arial" w:cs="Arial" w:eastAsia="Arial" w:hAnsi="Arial"/>
                <w:sz w:val="18"/>
                <w:szCs w:val="18"/>
                <w:b w:val="1"/>
                <w:bCs w:val="1"/>
                <w:color w:val="auto"/>
                <w:w w:val="91"/>
              </w:rPr>
              <w:t>900 North Point Parkway, Suite 200</w:t>
            </w:r>
          </w:p>
        </w:tc>
        <w:tc>
          <w:tcPr>
            <w:tcW w:w="2980" w:type="dxa"/>
            <w:vAlign w:val="bottom"/>
          </w:tcPr>
          <w:p>
            <w:pPr>
              <w:spacing w:after="0"/>
              <w:rPr>
                <w:sz w:val="18"/>
                <w:szCs w:val="18"/>
                <w:color w:val="auto"/>
              </w:rPr>
            </w:pPr>
          </w:p>
        </w:tc>
      </w:tr>
      <w:tr>
        <w:trPr>
          <w:trHeight w:val="212"/>
        </w:trPr>
        <w:tc>
          <w:tcPr>
            <w:tcW w:w="4580" w:type="dxa"/>
            <w:vAlign w:val="bottom"/>
          </w:tcPr>
          <w:p>
            <w:pPr>
              <w:jc w:val="center"/>
              <w:ind w:right="1739"/>
              <w:spacing w:after="0"/>
              <w:rPr>
                <w:sz w:val="20"/>
                <w:szCs w:val="20"/>
                <w:color w:val="auto"/>
              </w:rPr>
            </w:pPr>
            <w:r>
              <w:rPr>
                <w:rFonts w:ascii="Arial" w:cs="Arial" w:eastAsia="Arial" w:hAnsi="Arial"/>
                <w:sz w:val="18"/>
                <w:szCs w:val="18"/>
                <w:b w:val="1"/>
                <w:bCs w:val="1"/>
                <w:color w:val="auto"/>
                <w:w w:val="95"/>
              </w:rPr>
              <w:t>Alpharetta, GA</w:t>
            </w:r>
          </w:p>
        </w:tc>
        <w:tc>
          <w:tcPr>
            <w:tcW w:w="2980" w:type="dxa"/>
            <w:vAlign w:val="bottom"/>
          </w:tcPr>
          <w:p>
            <w:pPr>
              <w:jc w:val="right"/>
              <w:ind w:right="261"/>
              <w:spacing w:after="0"/>
              <w:rPr>
                <w:sz w:val="20"/>
                <w:szCs w:val="20"/>
                <w:color w:val="auto"/>
              </w:rPr>
            </w:pPr>
            <w:r>
              <w:rPr>
                <w:rFonts w:ascii="Arial" w:cs="Arial" w:eastAsia="Arial" w:hAnsi="Arial"/>
                <w:sz w:val="18"/>
                <w:szCs w:val="18"/>
                <w:b w:val="1"/>
                <w:bCs w:val="1"/>
                <w:color w:val="auto"/>
              </w:rPr>
              <w:t>30005</w:t>
            </w:r>
          </w:p>
        </w:tc>
      </w:tr>
      <w:tr>
        <w:trPr>
          <w:trHeight w:val="186"/>
        </w:trPr>
        <w:tc>
          <w:tcPr>
            <w:tcW w:w="4580" w:type="dxa"/>
            <w:vAlign w:val="bottom"/>
          </w:tcPr>
          <w:p>
            <w:pPr>
              <w:jc w:val="center"/>
              <w:ind w:right="17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980" w:type="dxa"/>
            <w:vAlign w:val="bottom"/>
          </w:tcPr>
          <w:p>
            <w:pPr>
              <w:jc w:val="center"/>
              <w:ind w:left="1761"/>
              <w:spacing w:after="0"/>
              <w:rPr>
                <w:sz w:val="20"/>
                <w:szCs w:val="20"/>
                <w:color w:val="auto"/>
              </w:rPr>
            </w:pPr>
            <w:r>
              <w:rPr>
                <w:rFonts w:ascii="Arial" w:cs="Arial" w:eastAsia="Arial" w:hAnsi="Arial"/>
                <w:sz w:val="14"/>
                <w:szCs w:val="14"/>
                <w:b w:val="1"/>
                <w:bCs w:val="1"/>
                <w:color w:val="auto"/>
                <w:w w:val="95"/>
              </w:rPr>
              <w:t>(Zip Code)</w:t>
            </w:r>
          </w:p>
        </w:tc>
      </w:tr>
    </w:tbl>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(678) 270-3631</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6" w:lineRule="exact"/>
        <w:rPr>
          <w:sz w:val="24"/>
          <w:szCs w:val="24"/>
          <w:color w:val="auto"/>
        </w:rPr>
      </w:pPr>
    </w:p>
    <w:p>
      <w:pPr>
        <w:ind w:left="520"/>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616" w:right="339" w:bottom="1440" w:gutter="0" w:footer="0" w:header="0"/>
        </w:sectPr>
      </w:pPr>
    </w:p>
    <w:p>
      <w:pPr>
        <w:spacing w:after="0" w:line="90" w:lineRule="exact"/>
        <w:rPr>
          <w:sz w:val="24"/>
          <w:szCs w:val="24"/>
          <w:color w:val="auto"/>
        </w:rPr>
      </w:pPr>
    </w:p>
    <w:p>
      <w:pPr>
        <w:jc w:val="center"/>
        <w:ind w:left="260"/>
        <w:spacing w:after="0"/>
        <w:rPr>
          <w:sz w:val="20"/>
          <w:szCs w:val="20"/>
          <w:color w:val="auto"/>
        </w:rPr>
      </w:pPr>
      <w:r>
        <w:rPr>
          <w:rFonts w:ascii="Arial" w:cs="Arial" w:eastAsia="Arial" w:hAnsi="Arial"/>
          <w:sz w:val="18"/>
          <w:szCs w:val="18"/>
          <w:color w:val="auto"/>
        </w:rPr>
        <w:t>Title of each class</w:t>
      </w:r>
    </w:p>
    <w:p>
      <w:pPr>
        <w:spacing w:after="0" w:line="23" w:lineRule="exact"/>
        <w:rPr>
          <w:sz w:val="24"/>
          <w:szCs w:val="24"/>
          <w:color w:val="auto"/>
        </w:rPr>
      </w:pPr>
    </w:p>
    <w:p>
      <w:pPr>
        <w:jc w:val="center"/>
        <w:ind w:left="26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jc w:val="center"/>
        <w:ind w:right="600"/>
        <w:spacing w:after="0"/>
        <w:rPr>
          <w:sz w:val="20"/>
          <w:szCs w:val="20"/>
          <w:color w:val="auto"/>
        </w:rPr>
      </w:pPr>
      <w:r>
        <w:rPr>
          <w:rFonts w:ascii="Arial" w:cs="Arial" w:eastAsia="Arial" w:hAnsi="Arial"/>
          <w:sz w:val="16"/>
          <w:szCs w:val="16"/>
          <w:color w:val="auto"/>
        </w:rPr>
        <w:t>Trading Symbol(s)</w:t>
      </w:r>
    </w:p>
    <w:p>
      <w:pPr>
        <w:spacing w:after="0" w:line="46" w:lineRule="exact"/>
        <w:rPr>
          <w:sz w:val="24"/>
          <w:szCs w:val="24"/>
          <w:color w:val="auto"/>
        </w:rPr>
      </w:pPr>
    </w:p>
    <w:p>
      <w:pPr>
        <w:jc w:val="center"/>
        <w:ind w:right="600"/>
        <w:spacing w:after="0"/>
        <w:rPr>
          <w:sz w:val="20"/>
          <w:szCs w:val="20"/>
          <w:color w:val="auto"/>
        </w:rPr>
      </w:pPr>
      <w:r>
        <w:rPr>
          <w:rFonts w:ascii="Arial" w:cs="Arial" w:eastAsia="Arial" w:hAnsi="Arial"/>
          <w:sz w:val="18"/>
          <w:szCs w:val="18"/>
          <w:color w:val="auto"/>
        </w:rPr>
        <w:t>CLSD</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jc w:val="center"/>
        <w:ind w:right="620"/>
        <w:spacing w:after="0"/>
        <w:rPr>
          <w:sz w:val="20"/>
          <w:szCs w:val="20"/>
          <w:color w:val="auto"/>
        </w:rPr>
      </w:pPr>
      <w:r>
        <w:rPr>
          <w:rFonts w:ascii="Arial" w:cs="Arial" w:eastAsia="Arial" w:hAnsi="Arial"/>
          <w:sz w:val="16"/>
          <w:szCs w:val="16"/>
          <w:color w:val="auto"/>
        </w:rPr>
        <w:t>Name of each exchange on which registered</w:t>
      </w:r>
    </w:p>
    <w:p>
      <w:pPr>
        <w:spacing w:after="0" w:line="46" w:lineRule="exact"/>
        <w:rPr>
          <w:sz w:val="24"/>
          <w:szCs w:val="24"/>
          <w:color w:val="auto"/>
        </w:rPr>
      </w:pPr>
    </w:p>
    <w:p>
      <w:pPr>
        <w:jc w:val="center"/>
        <w:ind w:right="620"/>
        <w:spacing w:after="0"/>
        <w:rPr>
          <w:sz w:val="20"/>
          <w:szCs w:val="20"/>
          <w:color w:val="auto"/>
        </w:rPr>
      </w:pPr>
      <w:r>
        <w:rPr>
          <w:rFonts w:ascii="Arial" w:cs="Arial" w:eastAsia="Arial" w:hAnsi="Arial"/>
          <w:sz w:val="18"/>
          <w:szCs w:val="18"/>
          <w:color w:val="auto"/>
        </w:rPr>
        <w:t>The Nasdaq Stock Market LLC</w:t>
      </w:r>
    </w:p>
    <w:p>
      <w:pPr>
        <w:spacing w:after="0" w:line="62" w:lineRule="exact"/>
        <w:rPr>
          <w:sz w:val="24"/>
          <w:szCs w:val="24"/>
          <w:color w:val="auto"/>
        </w:rPr>
      </w:pPr>
    </w:p>
    <w:p>
      <w:pPr>
        <w:sectPr>
          <w:pgSz w:w="11900" w:h="16838" w:orient="portrait"/>
          <w:cols w:equalWidth="0" w:num="3">
            <w:col w:w="4020" w:space="720"/>
            <w:col w:w="1960" w:space="720"/>
            <w:col w:w="3820"/>
          </w:cols>
          <w:pgMar w:left="320" w:top="616" w:right="339" w:bottom="1440" w:gutter="0" w:footer="0" w:header="0"/>
          <w:type w:val="continuous"/>
        </w:sectPr>
      </w:pPr>
    </w:p>
    <w:p>
      <w:pPr>
        <w:ind w:right="6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4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20" w:firstLine="51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1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ind w:left="260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120" w:type="dxa"/>
            <w:vAlign w:val="bottom"/>
          </w:tcPr>
          <w:p>
            <w:pPr>
              <w:spacing w:after="0"/>
              <w:rPr>
                <w:sz w:val="20"/>
                <w:szCs w:val="20"/>
                <w:color w:val="auto"/>
              </w:rPr>
            </w:pPr>
            <w:r>
              <w:rPr>
                <w:rFonts w:ascii="Arial" w:cs="Arial" w:eastAsia="Arial" w:hAnsi="Arial"/>
                <w:sz w:val="18"/>
                <w:szCs w:val="18"/>
                <w:color w:val="auto"/>
              </w:rPr>
              <w:t>Non-accelerated filer</w:t>
            </w:r>
          </w:p>
        </w:tc>
        <w:tc>
          <w:tcPr>
            <w:tcW w:w="32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ind w:left="260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1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020" w:type="dxa"/>
            <w:vAlign w:val="bottom"/>
          </w:tcPr>
          <w:p>
            <w:pPr>
              <w:ind w:left="2600"/>
              <w:spacing w:after="0"/>
              <w:rPr>
                <w:sz w:val="20"/>
                <w:szCs w:val="20"/>
                <w:color w:val="auto"/>
              </w:rPr>
            </w:pPr>
            <w:r>
              <w:rPr>
                <w:rFonts w:ascii="Arial" w:cs="Arial" w:eastAsia="Arial" w:hAnsi="Arial"/>
                <w:sz w:val="18"/>
                <w:szCs w:val="18"/>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4"/>
          <w:szCs w:val="24"/>
          <w:color w:val="auto"/>
        </w:rPr>
      </w:pPr>
    </w:p>
    <w:p>
      <w:pPr>
        <w:ind w:firstLine="51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ind w:left="520" w:right="1220"/>
        <w:spacing w:after="0" w:line="273"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August 7, 2020, the registrant had 46,342,219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1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EE"/>
        </w:rPr>
        <w:t>Table of Contents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0" w:type="dxa"/>
            <w:vAlign w:val="bottom"/>
          </w:tcPr>
          <w:p>
            <w:pPr>
              <w:spacing w:after="0"/>
              <w:rPr>
                <w:sz w:val="14"/>
                <w:szCs w:val="14"/>
                <w:color w:val="auto"/>
              </w:rPr>
            </w:pPr>
          </w:p>
        </w:tc>
        <w:tc>
          <w:tcPr>
            <w:tcW w:w="9960" w:type="dxa"/>
            <w:vAlign w:val="bottom"/>
            <w:gridSpan w:val="3"/>
            <w:vMerge w:val="restart"/>
          </w:tcPr>
          <w:p>
            <w:pPr>
              <w:ind w:left="346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 FINANCIAL INFORMATION</w:t>
              </w:r>
            </w:hyperlink>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2"/>
        </w:trPr>
        <w:tc>
          <w:tcPr>
            <w:tcW w:w="840" w:type="dxa"/>
            <w:vAlign w:val="bottom"/>
          </w:tcPr>
          <w:p>
            <w:pPr>
              <w:spacing w:after="0"/>
              <w:rPr>
                <w:sz w:val="19"/>
                <w:szCs w:val="19"/>
                <w:color w:val="auto"/>
              </w:rPr>
            </w:pPr>
          </w:p>
        </w:tc>
        <w:tc>
          <w:tcPr>
            <w:tcW w:w="9960" w:type="dxa"/>
            <w:vAlign w:val="bottom"/>
            <w:gridSpan w:val="3"/>
            <w:vMerge w:val="continue"/>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Item 1.</w:t>
            </w:r>
          </w:p>
        </w:tc>
        <w:tc>
          <w:tcPr>
            <w:tcW w:w="9960" w:type="dxa"/>
            <w:vAlign w:val="bottom"/>
            <w:gridSpan w:val="3"/>
          </w:tcPr>
          <w:p>
            <w:pPr>
              <w:ind w:left="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0"/>
        </w:trPr>
        <w:tc>
          <w:tcPr>
            <w:tcW w:w="840" w:type="dxa"/>
            <w:vAlign w:val="bottom"/>
          </w:tcPr>
          <w:p>
            <w:pPr>
              <w:spacing w:after="0"/>
              <w:rPr>
                <w:sz w:val="16"/>
                <w:szCs w:val="16"/>
                <w:color w:val="auto"/>
              </w:rPr>
            </w:pPr>
          </w:p>
        </w:tc>
        <w:tc>
          <w:tcPr>
            <w:tcW w:w="9960" w:type="dxa"/>
            <w:vAlign w:val="bottom"/>
            <w:gridSpan w:val="3"/>
          </w:tcPr>
          <w:p>
            <w:pPr>
              <w:ind w:left="80"/>
              <w:spacing w:after="0" w:line="190" w:lineRule="exact"/>
              <w:rPr>
                <w:rFonts w:ascii="Arial" w:cs="Arial" w:eastAsia="Arial" w:hAnsi="Arial"/>
                <w:sz w:val="18"/>
                <w:szCs w:val="18"/>
                <w:color w:val="0000EE"/>
              </w:rPr>
            </w:pPr>
            <w:hyperlink w:anchor="page3">
              <w:r>
                <w:rPr>
                  <w:rFonts w:ascii="Arial" w:cs="Arial" w:eastAsia="Arial" w:hAnsi="Arial"/>
                  <w:sz w:val="18"/>
                  <w:szCs w:val="18"/>
                  <w:u w:val="single" w:color="auto"/>
                  <w:color w:val="0000EE"/>
                </w:rPr>
                <w:t>Balance Sheets as of June 30, 2020 (unaudited) and December 31, 201</w:t>
              </w:r>
            </w:hyperlink>
            <w:r>
              <w:rPr>
                <w:rFonts w:ascii="Arial" w:cs="Arial" w:eastAsia="Arial" w:hAnsi="Arial"/>
                <w:sz w:val="18"/>
                <w:szCs w:val="18"/>
                <w:color w:val="000000"/>
              </w:rPr>
              <w:t>9</w:t>
            </w:r>
          </w:p>
        </w:tc>
        <w:tc>
          <w:tcPr>
            <w:tcW w:w="440" w:type="dxa"/>
            <w:vAlign w:val="bottom"/>
          </w:tcPr>
          <w:p>
            <w:pPr>
              <w:jc w:val="right"/>
              <w:spacing w:after="0" w:line="190"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0" w:type="dxa"/>
            <w:vAlign w:val="bottom"/>
          </w:tcPr>
          <w:p>
            <w:pPr>
              <w:spacing w:after="0"/>
              <w:rPr>
                <w:sz w:val="19"/>
                <w:szCs w:val="19"/>
                <w:color w:val="auto"/>
              </w:rPr>
            </w:pPr>
          </w:p>
        </w:tc>
        <w:tc>
          <w:tcPr>
            <w:tcW w:w="9960" w:type="dxa"/>
            <w:vAlign w:val="bottom"/>
            <w:gridSpan w:val="3"/>
          </w:tcPr>
          <w:p>
            <w:pPr>
              <w:ind w:left="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Statements of Operations for the three and six months ended June 30, 2020 and 2019 (unaudited)</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9960" w:type="dxa"/>
            <w:vAlign w:val="bottom"/>
            <w:gridSpan w:val="3"/>
          </w:tcPr>
          <w:p>
            <w:pPr>
              <w:ind w:left="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Statements of Stockholders’ Equity for the three and six months ended June 30, 2020 and 2019 (unaudited)</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9960" w:type="dxa"/>
            <w:vAlign w:val="bottom"/>
            <w:gridSpan w:val="3"/>
          </w:tcPr>
          <w:p>
            <w:pPr>
              <w:ind w:left="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Statements of Cash Flows for the six months ended June 30, 2020 and 2019 (unaudited)</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9960" w:type="dxa"/>
            <w:vAlign w:val="bottom"/>
            <w:gridSpan w:val="3"/>
          </w:tcPr>
          <w:p>
            <w:pPr>
              <w:ind w:left="8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the Financial Statements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Item 2.</w:t>
            </w:r>
          </w:p>
        </w:tc>
        <w:tc>
          <w:tcPr>
            <w:tcW w:w="9960" w:type="dxa"/>
            <w:vAlign w:val="bottom"/>
            <w:gridSpan w:val="3"/>
          </w:tcPr>
          <w:p>
            <w:pPr>
              <w:ind w:left="8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Management’s Discussion and Analysis of Financial Condition and Results of Operations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Item 3.</w:t>
            </w:r>
          </w:p>
        </w:tc>
        <w:tc>
          <w:tcPr>
            <w:tcW w:w="9960" w:type="dxa"/>
            <w:vAlign w:val="bottom"/>
            <w:gridSpan w:val="3"/>
          </w:tcPr>
          <w:p>
            <w:pPr>
              <w:ind w:left="8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Quantitative and Qualitative Disclosures About Market Risk</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5"/>
        </w:trPr>
        <w:tc>
          <w:tcPr>
            <w:tcW w:w="840" w:type="dxa"/>
            <w:vAlign w:val="bottom"/>
          </w:tcPr>
          <w:p>
            <w:pPr>
              <w:spacing w:after="0"/>
              <w:rPr>
                <w:sz w:val="20"/>
                <w:szCs w:val="20"/>
                <w:color w:val="auto"/>
              </w:rPr>
            </w:pPr>
            <w:r>
              <w:rPr>
                <w:rFonts w:ascii="Arial" w:cs="Arial" w:eastAsia="Arial" w:hAnsi="Arial"/>
                <w:sz w:val="18"/>
                <w:szCs w:val="18"/>
                <w:color w:val="auto"/>
              </w:rPr>
              <w:t>Item 4.</w:t>
            </w:r>
          </w:p>
        </w:tc>
        <w:tc>
          <w:tcPr>
            <w:tcW w:w="9960" w:type="dxa"/>
            <w:vAlign w:val="bottom"/>
            <w:gridSpan w:val="3"/>
          </w:tcPr>
          <w:p>
            <w:pPr>
              <w:ind w:left="8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Controls and Procedures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9960" w:type="dxa"/>
            <w:vAlign w:val="bottom"/>
            <w:gridSpan w:val="3"/>
          </w:tcPr>
          <w:p>
            <w:pPr>
              <w:ind w:left="3600"/>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PART II - OTHER INFORMATION</w:t>
              </w:r>
            </w:hyperlink>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Item 1.</w:t>
            </w:r>
          </w:p>
        </w:tc>
        <w:tc>
          <w:tcPr>
            <w:tcW w:w="9960" w:type="dxa"/>
            <w:vAlign w:val="bottom"/>
            <w:gridSpan w:val="3"/>
          </w:tcPr>
          <w:p>
            <w:pPr>
              <w:ind w:left="8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Legal Proceedings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Item 1A.</w:t>
            </w:r>
          </w:p>
        </w:tc>
        <w:tc>
          <w:tcPr>
            <w:tcW w:w="9960" w:type="dxa"/>
            <w:vAlign w:val="bottom"/>
            <w:gridSpan w:val="3"/>
          </w:tcPr>
          <w:p>
            <w:pPr>
              <w:ind w:left="8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Risk Factors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Item 2.</w:t>
            </w:r>
          </w:p>
        </w:tc>
        <w:tc>
          <w:tcPr>
            <w:tcW w:w="9960" w:type="dxa"/>
            <w:vAlign w:val="bottom"/>
            <w:gridSpan w:val="3"/>
          </w:tcPr>
          <w:p>
            <w:pPr>
              <w:ind w:left="8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Unregistered Sales of Equity Securities and Use of Proceeds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Item 6.</w:t>
            </w:r>
          </w:p>
        </w:tc>
        <w:tc>
          <w:tcPr>
            <w:tcW w:w="9960" w:type="dxa"/>
            <w:vAlign w:val="bottom"/>
            <w:gridSpan w:val="3"/>
          </w:tcPr>
          <w:p>
            <w:pPr>
              <w:ind w:left="8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Exhibits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840" w:type="dxa"/>
            <w:vAlign w:val="bottom"/>
          </w:tcPr>
          <w:p>
            <w:pPr>
              <w:spacing w:after="0"/>
              <w:rPr>
                <w:rFonts w:ascii="Arial" w:cs="Arial" w:eastAsia="Arial" w:hAnsi="Arial"/>
                <w:sz w:val="18"/>
                <w:szCs w:val="18"/>
                <w:u w:val="single" w:color="auto"/>
                <w:color w:val="0000EE"/>
                <w:w w:val="95"/>
              </w:rPr>
            </w:pPr>
            <w:hyperlink w:anchor="page33">
              <w:r>
                <w:rPr>
                  <w:rFonts w:ascii="Arial" w:cs="Arial" w:eastAsia="Arial" w:hAnsi="Arial"/>
                  <w:sz w:val="18"/>
                  <w:szCs w:val="18"/>
                  <w:u w:val="single" w:color="auto"/>
                  <w:color w:val="0000EE"/>
                  <w:w w:val="95"/>
                </w:rPr>
                <w:t>Signatures</w:t>
              </w:r>
            </w:hyperlink>
          </w:p>
        </w:tc>
        <w:tc>
          <w:tcPr>
            <w:tcW w:w="5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28"/>
        </w:trPr>
        <w:tc>
          <w:tcPr>
            <w:tcW w:w="7720" w:type="dxa"/>
            <w:vAlign w:val="bottom"/>
          </w:tcPr>
          <w:p>
            <w:pPr>
              <w:jc w:val="center"/>
              <w:ind w:left="3430"/>
              <w:spacing w:after="0"/>
              <w:rPr>
                <w:sz w:val="20"/>
                <w:szCs w:val="20"/>
                <w:color w:val="auto"/>
              </w:rPr>
            </w:pPr>
            <w:r>
              <w:rPr>
                <w:rFonts w:ascii="Arial" w:cs="Arial" w:eastAsia="Arial" w:hAnsi="Arial"/>
                <w:sz w:val="18"/>
                <w:szCs w:val="18"/>
                <w:b w:val="1"/>
                <w:bCs w:val="1"/>
                <w:color w:val="auto"/>
              </w:rPr>
              <w:t>CLEARSIDE BIOMEDICAL, INC.</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0"/>
        </w:trPr>
        <w:tc>
          <w:tcPr>
            <w:tcW w:w="7720" w:type="dxa"/>
            <w:vAlign w:val="bottom"/>
          </w:tcPr>
          <w:p>
            <w:pPr>
              <w:jc w:val="center"/>
              <w:ind w:left="3450"/>
              <w:spacing w:after="0"/>
              <w:rPr>
                <w:sz w:val="20"/>
                <w:szCs w:val="20"/>
                <w:color w:val="auto"/>
              </w:rPr>
            </w:pPr>
            <w:r>
              <w:rPr>
                <w:rFonts w:ascii="Arial" w:cs="Arial" w:eastAsia="Arial" w:hAnsi="Arial"/>
                <w:sz w:val="18"/>
                <w:szCs w:val="18"/>
                <w:b w:val="1"/>
                <w:bCs w:val="1"/>
                <w:color w:val="auto"/>
                <w:w w:val="85"/>
              </w:rPr>
              <w:t>Balance Sheets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720" w:type="dxa"/>
            <w:vAlign w:val="bottom"/>
          </w:tcPr>
          <w:p>
            <w:pPr>
              <w:jc w:val="center"/>
              <w:ind w:left="3430"/>
              <w:spacing w:after="0"/>
              <w:rPr>
                <w:sz w:val="20"/>
                <w:szCs w:val="20"/>
                <w:color w:val="auto"/>
              </w:rPr>
            </w:pPr>
            <w:r>
              <w:rPr>
                <w:rFonts w:ascii="Arial" w:cs="Arial" w:eastAsia="Arial" w:hAnsi="Arial"/>
                <w:sz w:val="18"/>
                <w:szCs w:val="18"/>
                <w:color w:val="auto"/>
                <w:w w:val="87"/>
              </w:rPr>
              <w:t>(in thousands, except share and per share data)</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20" w:type="dxa"/>
            <w:vAlign w:val="bottom"/>
          </w:tcPr>
          <w:p>
            <w:pPr>
              <w:jc w:val="center"/>
              <w:ind w:left="3430"/>
              <w:spacing w:after="0"/>
              <w:rPr>
                <w:sz w:val="20"/>
                <w:szCs w:val="20"/>
                <w:color w:val="auto"/>
              </w:rPr>
            </w:pPr>
            <w:r>
              <w:rPr>
                <w:rFonts w:ascii="Arial" w:cs="Arial" w:eastAsia="Arial" w:hAnsi="Arial"/>
                <w:sz w:val="18"/>
                <w:szCs w:val="18"/>
                <w:color w:val="auto"/>
                <w:w w:val="92"/>
              </w:rPr>
              <w:t>(unaudited)</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27"/>
        </w:trPr>
        <w:tc>
          <w:tcPr>
            <w:tcW w:w="7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24"/>
                <w:szCs w:val="24"/>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772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20"/>
                <w:szCs w:val="20"/>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15,071</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22,595</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Prepaid expenses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595</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1,139</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1,485</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16,277</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25,219</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Operating lease right-of-use asset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595</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17,738</w:t>
            </w:r>
          </w:p>
        </w:tc>
        <w:tc>
          <w:tcPr>
            <w:tcW w:w="28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26,776</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1,698</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1,280</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Accrued liabilities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1,634</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2,930</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Current portion of operating lease liabilities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366</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9,193</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10,903</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3,819</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lease liabilities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880"/>
              <w:spacing w:after="0"/>
              <w:rPr>
                <w:sz w:val="20"/>
                <w:szCs w:val="20"/>
                <w:color w:val="auto"/>
              </w:rPr>
            </w:pPr>
            <w:r>
              <w:rPr>
                <w:rFonts w:ascii="Arial" w:cs="Arial" w:eastAsia="Arial" w:hAnsi="Arial"/>
                <w:sz w:val="18"/>
                <w:szCs w:val="18"/>
                <w:color w:val="auto"/>
              </w:rPr>
              <w:t>Total liabilities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10,451</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15,619</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rPr>
              <w:t>Preferred stock, $0.001 par value; 10,000,000 shares authorized and no shares issued</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at June 30, 2020 and December 31, 2019</w:t>
            </w:r>
          </w:p>
        </w:tc>
        <w:tc>
          <w:tcPr>
            <w:tcW w:w="280" w:type="dxa"/>
            <w:vAlign w:val="bottom"/>
          </w:tcPr>
          <w:p>
            <w:pPr>
              <w:spacing w:after="0"/>
              <w:rPr>
                <w:sz w:val="20"/>
                <w:szCs w:val="20"/>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$0.001 par value; 100,000,000 shares authorized at June 30, 2020</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December 31, 2019; 46,274,970 and 44,413,372 shares issued and</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outstanding at June 30, 2020 and December 31, 2019, respectively</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FF0FC"/>
          </w:tcPr>
          <w:p>
            <w:pPr>
              <w:spacing w:after="0"/>
              <w:rPr>
                <w:sz w:val="20"/>
                <w:szCs w:val="20"/>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253,563</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248,770</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2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(246,322)</w:t>
            </w:r>
          </w:p>
        </w:tc>
        <w:tc>
          <w:tcPr>
            <w:tcW w:w="1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(237,657)</w:t>
            </w:r>
          </w:p>
        </w:tc>
      </w:tr>
      <w:tr>
        <w:trPr>
          <w:trHeight w:val="223"/>
        </w:trPr>
        <w:tc>
          <w:tcPr>
            <w:tcW w:w="7720" w:type="dxa"/>
            <w:vAlign w:val="bottom"/>
            <w:tcBorders>
              <w:bottom w:val="single" w:sz="8" w:color="CFF0FC"/>
            </w:tcBorders>
          </w:tcPr>
          <w:p>
            <w:pPr>
              <w:ind w:left="88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7,287</w:t>
            </w:r>
          </w:p>
        </w:tc>
        <w:tc>
          <w:tcPr>
            <w:tcW w:w="2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11,157</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ind w:left="88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17,738</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26,776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CLEARSIDE BIOMEDICAL,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42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4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960" w:type="dxa"/>
            <w:vAlign w:val="bottom"/>
            <w:tcBorders>
              <w:bottom w:val="single" w:sz="8" w:color="CFF0FC"/>
            </w:tcBorders>
          </w:tcPr>
          <w:p>
            <w:pPr>
              <w:spacing w:after="0"/>
              <w:rPr>
                <w:sz w:val="13"/>
                <w:szCs w:val="13"/>
                <w:color w:val="auto"/>
              </w:rPr>
            </w:pPr>
          </w:p>
        </w:tc>
        <w:tc>
          <w:tcPr>
            <w:tcW w:w="7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License and other revenue</w:t>
            </w: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Operating expenses:</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7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5,004</w:t>
            </w:r>
          </w:p>
        </w:tc>
        <w:tc>
          <w:tcPr>
            <w:tcW w:w="4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7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5,662</w:t>
            </w:r>
          </w:p>
        </w:tc>
        <w:tc>
          <w:tcPr>
            <w:tcW w:w="4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12,844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Arial" w:cs="Arial" w:eastAsia="Arial" w:hAnsi="Arial"/>
                <w:sz w:val="18"/>
                <w:szCs w:val="18"/>
                <w:color w:val="auto"/>
              </w:rPr>
              <w:t>Loss from operations</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(5,557)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(5,617)</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(8,393)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(20,923)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Other expense</w:t>
            </w: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(197)</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(117)</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(272)</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63"/>
        </w:trPr>
        <w:tc>
          <w:tcPr>
            <w:tcW w:w="4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78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(5,754)</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(5,734)</w:t>
            </w:r>
          </w:p>
        </w:tc>
        <w:tc>
          <w:tcPr>
            <w:tcW w:w="40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(8,665)</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(21,138)</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of common stock — basic and diluted</w:t>
            </w:r>
          </w:p>
        </w:tc>
        <w:tc>
          <w:tcPr>
            <w:tcW w:w="7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(0.13)</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(0.15)</w:t>
            </w:r>
          </w:p>
        </w:tc>
        <w:tc>
          <w:tcPr>
            <w:tcW w:w="4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(0.59)</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45,214,500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37,636,053</w:t>
            </w:r>
          </w:p>
        </w:tc>
        <w:tc>
          <w:tcPr>
            <w:tcW w:w="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44,984,005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35,899,777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CLEARSIDE BIOMEDICAL,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gridSpan w:val="8"/>
          </w:tcPr>
          <w:p>
            <w:pPr>
              <w:jc w:val="right"/>
              <w:ind w:right="560"/>
              <w:spacing w:after="0"/>
              <w:rPr>
                <w:sz w:val="20"/>
                <w:szCs w:val="20"/>
                <w:color w:val="auto"/>
              </w:rPr>
            </w:pPr>
            <w:r>
              <w:rPr>
                <w:rFonts w:ascii="Arial" w:cs="Arial" w:eastAsia="Arial" w:hAnsi="Arial"/>
                <w:sz w:val="14"/>
                <w:szCs w:val="14"/>
                <w:b w:val="1"/>
                <w:bCs w:val="1"/>
                <w:color w:val="auto"/>
              </w:rPr>
              <w:t>Three and Six Months Ended June 30, 2020</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6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right="97"/>
              <w:spacing w:after="0" w:line="147"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2480" w:type="dxa"/>
            <w:vAlign w:val="bottom"/>
            <w:gridSpan w:val="5"/>
          </w:tcPr>
          <w:p>
            <w:pPr>
              <w:ind w:left="64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1140" w:type="dxa"/>
            <w:vAlign w:val="bottom"/>
          </w:tcPr>
          <w:p>
            <w:pPr>
              <w:jc w:val="center"/>
              <w:ind w:right="37"/>
              <w:spacing w:after="0"/>
              <w:rPr>
                <w:sz w:val="20"/>
                <w:szCs w:val="20"/>
                <w:color w:val="auto"/>
              </w:rPr>
            </w:pPr>
            <w:r>
              <w:rPr>
                <w:rFonts w:ascii="Arial" w:cs="Arial" w:eastAsia="Arial" w:hAnsi="Arial"/>
                <w:sz w:val="14"/>
                <w:szCs w:val="14"/>
                <w:b w:val="1"/>
                <w:bCs w:val="1"/>
                <w:color w:val="auto"/>
                <w:w w:val="96"/>
              </w:rPr>
              <w:t>Additional</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55"/>
        </w:trPr>
        <w:tc>
          <w:tcPr>
            <w:tcW w:w="4620" w:type="dxa"/>
            <w:vAlign w:val="bottom"/>
          </w:tcPr>
          <w:p>
            <w:pPr>
              <w:spacing w:after="0"/>
              <w:rPr>
                <w:sz w:val="13"/>
                <w:szCs w:val="13"/>
                <w:color w:val="auto"/>
              </w:rPr>
            </w:pPr>
          </w:p>
        </w:tc>
        <w:tc>
          <w:tcPr>
            <w:tcW w:w="1240" w:type="dxa"/>
            <w:vAlign w:val="bottom"/>
            <w:tcBorders>
              <w:top w:val="single" w:sz="8" w:color="auto"/>
            </w:tcBorders>
            <w:gridSpan w:val="2"/>
          </w:tcPr>
          <w:p>
            <w:pPr>
              <w:ind w:left="300"/>
              <w:spacing w:after="0" w:line="155" w:lineRule="exact"/>
              <w:rPr>
                <w:sz w:val="20"/>
                <w:szCs w:val="20"/>
                <w:color w:val="auto"/>
              </w:rPr>
            </w:pPr>
            <w:r>
              <w:rPr>
                <w:rFonts w:ascii="Arial" w:cs="Arial" w:eastAsia="Arial" w:hAnsi="Arial"/>
                <w:sz w:val="14"/>
                <w:szCs w:val="14"/>
                <w:b w:val="1"/>
                <w:bCs w:val="1"/>
                <w:color w:val="auto"/>
              </w:rPr>
              <w:t>Shares</w:t>
            </w:r>
          </w:p>
        </w:tc>
        <w:tc>
          <w:tcPr>
            <w:tcW w:w="1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157"/>
              <w:spacing w:after="0" w:line="155" w:lineRule="exact"/>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right="37"/>
              <w:spacing w:after="0" w:line="155" w:lineRule="exact"/>
              <w:rPr>
                <w:sz w:val="20"/>
                <w:szCs w:val="20"/>
                <w:color w:val="auto"/>
              </w:rPr>
            </w:pPr>
            <w:r>
              <w:rPr>
                <w:rFonts w:ascii="Arial" w:cs="Arial" w:eastAsia="Arial" w:hAnsi="Arial"/>
                <w:sz w:val="14"/>
                <w:szCs w:val="14"/>
                <w:b w:val="1"/>
                <w:bCs w:val="1"/>
                <w:color w:val="auto"/>
                <w:w w:val="99"/>
              </w:rPr>
              <w:t>Paid-In-Capital</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3"/>
              </w:rPr>
              <w:t>Deficit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Balance at December 31, 2019</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44,413,372</w:t>
            </w: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44</w:t>
            </w: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248,770</w:t>
            </w: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(237,657)</w:t>
            </w:r>
          </w:p>
        </w:tc>
        <w:tc>
          <w:tcPr>
            <w:tcW w:w="2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11,157</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620" w:type="dxa"/>
            <w:vAlign w:val="bottom"/>
          </w:tcPr>
          <w:p>
            <w:pPr>
              <w:spacing w:after="0"/>
              <w:rPr>
                <w:sz w:val="20"/>
                <w:szCs w:val="20"/>
                <w:color w:val="auto"/>
              </w:rPr>
            </w:pPr>
            <w:r>
              <w:rPr>
                <w:rFonts w:ascii="Arial" w:cs="Arial" w:eastAsia="Arial" w:hAnsi="Arial"/>
                <w:sz w:val="17"/>
                <w:szCs w:val="17"/>
                <w:color w:val="auto"/>
              </w:rPr>
              <w:t>Issuance of common shares under at-the-market</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620" w:type="dxa"/>
            <w:vAlign w:val="bottom"/>
          </w:tcPr>
          <w:p>
            <w:pPr>
              <w:ind w:left="140"/>
              <w:spacing w:after="0"/>
              <w:rPr>
                <w:sz w:val="20"/>
                <w:szCs w:val="20"/>
                <w:color w:val="auto"/>
              </w:rPr>
            </w:pPr>
            <w:r>
              <w:rPr>
                <w:rFonts w:ascii="Arial" w:cs="Arial" w:eastAsia="Arial" w:hAnsi="Arial"/>
                <w:sz w:val="17"/>
                <w:szCs w:val="17"/>
                <w:color w:val="auto"/>
              </w:rPr>
              <w:t>sales agreement</w:t>
            </w:r>
          </w:p>
        </w:tc>
        <w:tc>
          <w:tcPr>
            <w:tcW w:w="1000" w:type="dxa"/>
            <w:vAlign w:val="bottom"/>
          </w:tcPr>
          <w:p>
            <w:pPr>
              <w:jc w:val="right"/>
              <w:spacing w:after="0"/>
              <w:rPr>
                <w:sz w:val="20"/>
                <w:szCs w:val="20"/>
                <w:color w:val="auto"/>
              </w:rPr>
            </w:pPr>
            <w:r>
              <w:rPr>
                <w:rFonts w:ascii="Arial" w:cs="Arial" w:eastAsia="Arial" w:hAnsi="Arial"/>
                <w:sz w:val="17"/>
                <w:szCs w:val="17"/>
                <w:color w:val="auto"/>
              </w:rPr>
              <w:t>455,186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1,192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620" w:type="dxa"/>
            <w:vAlign w:val="bottom"/>
            <w:shd w:val="clear" w:color="auto" w:fill="CFF0FC"/>
          </w:tcPr>
          <w:p>
            <w:pPr>
              <w:spacing w:after="0"/>
              <w:rPr>
                <w:sz w:val="20"/>
                <w:szCs w:val="20"/>
                <w:color w:val="auto"/>
              </w:rPr>
            </w:pPr>
            <w:r>
              <w:rPr>
                <w:rFonts w:ascii="Arial" w:cs="Arial" w:eastAsia="Arial" w:hAnsi="Arial"/>
                <w:sz w:val="17"/>
                <w:szCs w:val="17"/>
                <w:color w:val="auto"/>
              </w:rPr>
              <w:t>Share-based compensation expense</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1,001</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7"/>
                <w:szCs w:val="17"/>
                <w:color w:val="auto"/>
              </w:rPr>
              <w:t>Net loss</w:t>
            </w: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(2,911)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7"/>
                <w:szCs w:val="17"/>
                <w:color w:val="auto"/>
              </w:rPr>
              <w:t>(2,911)</w:t>
            </w:r>
          </w:p>
        </w:tc>
        <w:tc>
          <w:tcPr>
            <w:tcW w:w="0" w:type="dxa"/>
            <w:vAlign w:val="bottom"/>
          </w:tcPr>
          <w:p>
            <w:pPr>
              <w:spacing w:after="0"/>
              <w:rPr>
                <w:sz w:val="1"/>
                <w:szCs w:val="1"/>
                <w:color w:val="auto"/>
              </w:rPr>
            </w:pPr>
          </w:p>
        </w:tc>
      </w:tr>
      <w:tr>
        <w:trPr>
          <w:trHeight w:val="209"/>
        </w:trPr>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Balance at March 31, 2020</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44,868,558</w:t>
            </w: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45</w:t>
            </w: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250,963</w:t>
            </w: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(240,568)</w:t>
            </w:r>
          </w:p>
        </w:tc>
        <w:tc>
          <w:tcPr>
            <w:tcW w:w="2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10,440</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620" w:type="dxa"/>
            <w:vAlign w:val="bottom"/>
          </w:tcPr>
          <w:p>
            <w:pPr>
              <w:spacing w:after="0" w:line="192" w:lineRule="exact"/>
              <w:rPr>
                <w:sz w:val="20"/>
                <w:szCs w:val="20"/>
                <w:color w:val="auto"/>
              </w:rPr>
            </w:pPr>
            <w:r>
              <w:rPr>
                <w:rFonts w:ascii="Arial" w:cs="Arial" w:eastAsia="Arial" w:hAnsi="Arial"/>
                <w:sz w:val="17"/>
                <w:szCs w:val="17"/>
                <w:color w:val="auto"/>
              </w:rPr>
              <w:t>Issuance of common shares under at-the-market</w:t>
            </w: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620" w:type="dxa"/>
            <w:vAlign w:val="bottom"/>
          </w:tcPr>
          <w:p>
            <w:pPr>
              <w:ind w:left="140"/>
              <w:spacing w:after="0"/>
              <w:rPr>
                <w:sz w:val="20"/>
                <w:szCs w:val="20"/>
                <w:color w:val="auto"/>
              </w:rPr>
            </w:pPr>
            <w:r>
              <w:rPr>
                <w:rFonts w:ascii="Arial" w:cs="Arial" w:eastAsia="Arial" w:hAnsi="Arial"/>
                <w:sz w:val="17"/>
                <w:szCs w:val="17"/>
                <w:color w:val="auto"/>
              </w:rPr>
              <w:t>sales agreement</w:t>
            </w:r>
          </w:p>
        </w:tc>
        <w:tc>
          <w:tcPr>
            <w:tcW w:w="1000" w:type="dxa"/>
            <w:vAlign w:val="bottom"/>
          </w:tcPr>
          <w:p>
            <w:pPr>
              <w:jc w:val="right"/>
              <w:spacing w:after="0"/>
              <w:rPr>
                <w:sz w:val="20"/>
                <w:szCs w:val="20"/>
                <w:color w:val="auto"/>
              </w:rPr>
            </w:pPr>
            <w:r>
              <w:rPr>
                <w:rFonts w:ascii="Arial" w:cs="Arial" w:eastAsia="Arial" w:hAnsi="Arial"/>
                <w:sz w:val="17"/>
                <w:szCs w:val="17"/>
                <w:color w:val="auto"/>
              </w:rPr>
              <w:t>800,170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1,606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1,607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620" w:type="dxa"/>
            <w:vAlign w:val="bottom"/>
            <w:shd w:val="clear" w:color="auto" w:fill="CFF0FC"/>
          </w:tcPr>
          <w:p>
            <w:pPr>
              <w:spacing w:after="0"/>
              <w:rPr>
                <w:sz w:val="20"/>
                <w:szCs w:val="20"/>
                <w:color w:val="auto"/>
              </w:rPr>
            </w:pPr>
            <w:r>
              <w:rPr>
                <w:rFonts w:ascii="Arial" w:cs="Arial" w:eastAsia="Arial" w:hAnsi="Arial"/>
                <w:sz w:val="17"/>
                <w:szCs w:val="17"/>
                <w:color w:val="auto"/>
              </w:rPr>
              <w:t>Vesting of restricted stock units</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512,550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7"/>
                <w:szCs w:val="17"/>
                <w:color w:val="auto"/>
              </w:rPr>
              <w:t>Exercise of stock options</w:t>
            </w:r>
          </w:p>
        </w:tc>
        <w:tc>
          <w:tcPr>
            <w:tcW w:w="1000" w:type="dxa"/>
            <w:vAlign w:val="bottom"/>
          </w:tcPr>
          <w:p>
            <w:pPr>
              <w:jc w:val="right"/>
              <w:spacing w:after="0"/>
              <w:rPr>
                <w:sz w:val="20"/>
                <w:szCs w:val="20"/>
                <w:color w:val="auto"/>
              </w:rPr>
            </w:pPr>
            <w:r>
              <w:rPr>
                <w:rFonts w:ascii="Arial" w:cs="Arial" w:eastAsia="Arial" w:hAnsi="Arial"/>
                <w:sz w:val="17"/>
                <w:szCs w:val="17"/>
                <w:color w:val="auto"/>
              </w:rPr>
              <w:t>58,333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620" w:type="dxa"/>
            <w:vAlign w:val="bottom"/>
            <w:shd w:val="clear" w:color="auto" w:fill="CFF0FC"/>
          </w:tcPr>
          <w:p>
            <w:pPr>
              <w:spacing w:after="0"/>
              <w:rPr>
                <w:sz w:val="20"/>
                <w:szCs w:val="20"/>
                <w:color w:val="auto"/>
              </w:rPr>
            </w:pPr>
            <w:r>
              <w:rPr>
                <w:rFonts w:ascii="Arial" w:cs="Arial" w:eastAsia="Arial" w:hAnsi="Arial"/>
                <w:sz w:val="17"/>
                <w:szCs w:val="17"/>
                <w:color w:val="auto"/>
              </w:rPr>
              <w:t>Issuance of common shares under</w:t>
            </w: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620" w:type="dxa"/>
            <w:vAlign w:val="bottom"/>
            <w:shd w:val="clear" w:color="auto" w:fill="CFF0FC"/>
          </w:tcPr>
          <w:p>
            <w:pPr>
              <w:ind w:left="140"/>
              <w:spacing w:after="0"/>
              <w:rPr>
                <w:sz w:val="20"/>
                <w:szCs w:val="20"/>
                <w:color w:val="auto"/>
              </w:rPr>
            </w:pPr>
            <w:r>
              <w:rPr>
                <w:rFonts w:ascii="Arial" w:cs="Arial" w:eastAsia="Arial" w:hAnsi="Arial"/>
                <w:sz w:val="17"/>
                <w:szCs w:val="17"/>
                <w:color w:val="auto"/>
              </w:rPr>
              <w:t>employee stock purchase plan</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35,359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7"/>
                <w:szCs w:val="17"/>
                <w:color w:val="auto"/>
              </w:rPr>
              <w:t>Share-based compensation expense</w:t>
            </w: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891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spacing w:after="0"/>
              <w:rPr>
                <w:sz w:val="20"/>
                <w:szCs w:val="20"/>
                <w:color w:val="auto"/>
              </w:rPr>
            </w:pPr>
            <w:r>
              <w:rPr>
                <w:rFonts w:ascii="Arial" w:cs="Arial" w:eastAsia="Arial" w:hAnsi="Arial"/>
                <w:sz w:val="17"/>
                <w:szCs w:val="17"/>
                <w:color w:val="auto"/>
              </w:rPr>
              <w:t>Net loss</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(5,754)</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(5,754)</w:t>
            </w:r>
          </w:p>
        </w:tc>
        <w:tc>
          <w:tcPr>
            <w:tcW w:w="0" w:type="dxa"/>
            <w:vAlign w:val="bottom"/>
          </w:tcPr>
          <w:p>
            <w:pPr>
              <w:spacing w:after="0"/>
              <w:rPr>
                <w:sz w:val="1"/>
                <w:szCs w:val="1"/>
                <w:color w:val="auto"/>
              </w:rPr>
            </w:pPr>
          </w:p>
        </w:tc>
      </w:tr>
      <w:tr>
        <w:trPr>
          <w:trHeight w:val="209"/>
        </w:trPr>
        <w:tc>
          <w:tcPr>
            <w:tcW w:w="4620" w:type="dxa"/>
            <w:vAlign w:val="bottom"/>
          </w:tcPr>
          <w:p>
            <w:pPr>
              <w:spacing w:after="0"/>
              <w:rPr>
                <w:sz w:val="20"/>
                <w:szCs w:val="20"/>
                <w:color w:val="auto"/>
              </w:rPr>
            </w:pPr>
            <w:r>
              <w:rPr>
                <w:rFonts w:ascii="Arial" w:cs="Arial" w:eastAsia="Arial" w:hAnsi="Arial"/>
                <w:sz w:val="17"/>
                <w:szCs w:val="17"/>
                <w:color w:val="auto"/>
              </w:rPr>
              <w:t>Balance at June 30, 2020</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46,274,970</w:t>
            </w: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253,563</w:t>
            </w: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(246,322</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7,287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6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8"/>
          </w:tcPr>
          <w:p>
            <w:pPr>
              <w:jc w:val="right"/>
              <w:ind w:right="560"/>
              <w:spacing w:after="0"/>
              <w:rPr>
                <w:sz w:val="20"/>
                <w:szCs w:val="20"/>
                <w:color w:val="auto"/>
              </w:rPr>
            </w:pPr>
            <w:r>
              <w:rPr>
                <w:rFonts w:ascii="Arial" w:cs="Arial" w:eastAsia="Arial" w:hAnsi="Arial"/>
                <w:sz w:val="14"/>
                <w:szCs w:val="14"/>
                <w:b w:val="1"/>
                <w:bCs w:val="1"/>
                <w:color w:val="auto"/>
              </w:rPr>
              <w:t>Three and Six Months Ended June 30, 2019</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6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right="97"/>
              <w:spacing w:after="0" w:line="147"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2480" w:type="dxa"/>
            <w:vAlign w:val="bottom"/>
            <w:gridSpan w:val="5"/>
          </w:tcPr>
          <w:p>
            <w:pPr>
              <w:ind w:left="64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1140" w:type="dxa"/>
            <w:vAlign w:val="bottom"/>
          </w:tcPr>
          <w:p>
            <w:pPr>
              <w:jc w:val="center"/>
              <w:ind w:right="37"/>
              <w:spacing w:after="0"/>
              <w:rPr>
                <w:sz w:val="20"/>
                <w:szCs w:val="20"/>
                <w:color w:val="auto"/>
              </w:rPr>
            </w:pPr>
            <w:r>
              <w:rPr>
                <w:rFonts w:ascii="Arial" w:cs="Arial" w:eastAsia="Arial" w:hAnsi="Arial"/>
                <w:sz w:val="14"/>
                <w:szCs w:val="14"/>
                <w:b w:val="1"/>
                <w:bCs w:val="1"/>
                <w:color w:val="auto"/>
                <w:w w:val="96"/>
              </w:rPr>
              <w:t>Additional</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55"/>
        </w:trPr>
        <w:tc>
          <w:tcPr>
            <w:tcW w:w="4620" w:type="dxa"/>
            <w:vAlign w:val="bottom"/>
            <w:vMerge w:val="restart"/>
          </w:tcPr>
          <w:p>
            <w:pPr>
              <w:spacing w:after="0"/>
              <w:rPr>
                <w:sz w:val="20"/>
                <w:szCs w:val="20"/>
                <w:color w:val="auto"/>
              </w:rPr>
            </w:pPr>
            <w:r>
              <w:rPr>
                <w:rFonts w:ascii="Arial" w:cs="Arial" w:eastAsia="Arial" w:hAnsi="Arial"/>
                <w:sz w:val="17"/>
                <w:szCs w:val="17"/>
                <w:color w:val="auto"/>
              </w:rPr>
              <w:t>Balance at December 31, 2018</w:t>
            </w:r>
          </w:p>
        </w:tc>
        <w:tc>
          <w:tcPr>
            <w:tcW w:w="1240" w:type="dxa"/>
            <w:vAlign w:val="bottom"/>
            <w:tcBorders>
              <w:top w:val="single" w:sz="8" w:color="auto"/>
            </w:tcBorders>
            <w:gridSpan w:val="2"/>
          </w:tcPr>
          <w:p>
            <w:pPr>
              <w:ind w:left="300"/>
              <w:spacing w:after="0" w:line="155" w:lineRule="exact"/>
              <w:rPr>
                <w:sz w:val="20"/>
                <w:szCs w:val="20"/>
                <w:color w:val="auto"/>
              </w:rPr>
            </w:pPr>
            <w:r>
              <w:rPr>
                <w:rFonts w:ascii="Arial" w:cs="Arial" w:eastAsia="Arial" w:hAnsi="Arial"/>
                <w:sz w:val="14"/>
                <w:szCs w:val="14"/>
                <w:b w:val="1"/>
                <w:bCs w:val="1"/>
                <w:color w:val="auto"/>
              </w:rPr>
              <w:t>Shares</w:t>
            </w:r>
          </w:p>
        </w:tc>
        <w:tc>
          <w:tcPr>
            <w:tcW w:w="1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157"/>
              <w:spacing w:after="0" w:line="155" w:lineRule="exact"/>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right="37"/>
              <w:spacing w:after="0" w:line="155" w:lineRule="exact"/>
              <w:rPr>
                <w:sz w:val="20"/>
                <w:szCs w:val="20"/>
                <w:color w:val="auto"/>
              </w:rPr>
            </w:pPr>
            <w:r>
              <w:rPr>
                <w:rFonts w:ascii="Arial" w:cs="Arial" w:eastAsia="Arial" w:hAnsi="Arial"/>
                <w:sz w:val="14"/>
                <w:szCs w:val="14"/>
                <w:b w:val="1"/>
                <w:bCs w:val="1"/>
                <w:color w:val="auto"/>
                <w:w w:val="99"/>
              </w:rPr>
              <w:t>Paid-In-Capital</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3"/>
              </w:rPr>
              <w:t>Deficit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4620" w:type="dxa"/>
            <w:vAlign w:val="bottom"/>
            <w:vMerge w:val="continue"/>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32,119,227</w:t>
            </w:r>
          </w:p>
        </w:tc>
        <w:tc>
          <w:tcPr>
            <w:tcW w:w="24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2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230,475</w:t>
            </w:r>
          </w:p>
        </w:tc>
        <w:tc>
          <w:tcPr>
            <w:tcW w:w="2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(206,887)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23,620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620" w:type="dxa"/>
            <w:vAlign w:val="bottom"/>
            <w:shd w:val="clear" w:color="auto" w:fill="CFF0FC"/>
          </w:tcPr>
          <w:p>
            <w:pPr>
              <w:spacing w:after="0"/>
              <w:rPr>
                <w:sz w:val="20"/>
                <w:szCs w:val="20"/>
                <w:color w:val="auto"/>
              </w:rPr>
            </w:pPr>
            <w:r>
              <w:rPr>
                <w:rFonts w:ascii="Arial" w:cs="Arial" w:eastAsia="Arial" w:hAnsi="Arial"/>
                <w:sz w:val="17"/>
                <w:szCs w:val="17"/>
                <w:color w:val="auto"/>
              </w:rPr>
              <w:t>Issuance of common shares under at-the-market</w:t>
            </w: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620" w:type="dxa"/>
            <w:vAlign w:val="bottom"/>
            <w:shd w:val="clear" w:color="auto" w:fill="CFF0FC"/>
          </w:tcPr>
          <w:p>
            <w:pPr>
              <w:ind w:left="140"/>
              <w:spacing w:after="0"/>
              <w:rPr>
                <w:sz w:val="20"/>
                <w:szCs w:val="20"/>
                <w:color w:val="auto"/>
              </w:rPr>
            </w:pPr>
            <w:r>
              <w:rPr>
                <w:rFonts w:ascii="Arial" w:cs="Arial" w:eastAsia="Arial" w:hAnsi="Arial"/>
                <w:sz w:val="17"/>
                <w:szCs w:val="17"/>
                <w:color w:val="auto"/>
              </w:rPr>
              <w:t>sales agreement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4,660,966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6,622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7"/>
                <w:szCs w:val="17"/>
                <w:color w:val="auto"/>
              </w:rPr>
              <w:t>Exercise of stock options</w:t>
            </w:r>
          </w:p>
        </w:tc>
        <w:tc>
          <w:tcPr>
            <w:tcW w:w="1000" w:type="dxa"/>
            <w:vAlign w:val="bottom"/>
          </w:tcPr>
          <w:p>
            <w:pPr>
              <w:jc w:val="right"/>
              <w:spacing w:after="0"/>
              <w:rPr>
                <w:sz w:val="20"/>
                <w:szCs w:val="20"/>
                <w:color w:val="auto"/>
              </w:rPr>
            </w:pPr>
            <w:r>
              <w:rPr>
                <w:rFonts w:ascii="Arial" w:cs="Arial" w:eastAsia="Arial" w:hAnsi="Arial"/>
                <w:sz w:val="17"/>
                <w:szCs w:val="17"/>
                <w:color w:val="auto"/>
              </w:rPr>
              <w:t>2,727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spacing w:after="0"/>
              <w:rPr>
                <w:sz w:val="20"/>
                <w:szCs w:val="20"/>
                <w:color w:val="auto"/>
              </w:rPr>
            </w:pPr>
            <w:r>
              <w:rPr>
                <w:rFonts w:ascii="Arial" w:cs="Arial" w:eastAsia="Arial" w:hAnsi="Arial"/>
                <w:sz w:val="17"/>
                <w:szCs w:val="17"/>
                <w:color w:val="auto"/>
              </w:rPr>
              <w:t>Share-based compensation expense</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1,247</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7"/>
                <w:szCs w:val="17"/>
                <w:color w:val="auto"/>
              </w:rPr>
              <w:t>Net loss</w:t>
            </w: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(15,404)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7"/>
                <w:szCs w:val="17"/>
                <w:color w:val="auto"/>
              </w:rPr>
              <w:t>(15,404)</w:t>
            </w:r>
          </w:p>
        </w:tc>
        <w:tc>
          <w:tcPr>
            <w:tcW w:w="0" w:type="dxa"/>
            <w:vAlign w:val="bottom"/>
          </w:tcPr>
          <w:p>
            <w:pPr>
              <w:spacing w:after="0"/>
              <w:rPr>
                <w:sz w:val="1"/>
                <w:szCs w:val="1"/>
                <w:color w:val="auto"/>
              </w:rPr>
            </w:pPr>
          </w:p>
        </w:tc>
      </w:tr>
      <w:tr>
        <w:trPr>
          <w:trHeight w:val="210"/>
        </w:trPr>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Balance at March 31, 2019</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36,782,920</w:t>
            </w: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37</w:t>
            </w: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238,345</w:t>
            </w: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(222,291)</w:t>
            </w:r>
          </w:p>
        </w:tc>
        <w:tc>
          <w:tcPr>
            <w:tcW w:w="2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16,091</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620" w:type="dxa"/>
            <w:vAlign w:val="bottom"/>
          </w:tcPr>
          <w:p>
            <w:pPr>
              <w:spacing w:after="0" w:line="192" w:lineRule="exact"/>
              <w:rPr>
                <w:sz w:val="20"/>
                <w:szCs w:val="20"/>
                <w:color w:val="auto"/>
              </w:rPr>
            </w:pPr>
            <w:r>
              <w:rPr>
                <w:rFonts w:ascii="Arial" w:cs="Arial" w:eastAsia="Arial" w:hAnsi="Arial"/>
                <w:sz w:val="17"/>
                <w:szCs w:val="17"/>
                <w:color w:val="auto"/>
              </w:rPr>
              <w:t>Issuance of common shares under at-the-market</w:t>
            </w: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620" w:type="dxa"/>
            <w:vAlign w:val="bottom"/>
          </w:tcPr>
          <w:p>
            <w:pPr>
              <w:ind w:left="140"/>
              <w:spacing w:after="0"/>
              <w:rPr>
                <w:sz w:val="20"/>
                <w:szCs w:val="20"/>
                <w:color w:val="auto"/>
              </w:rPr>
            </w:pPr>
            <w:r>
              <w:rPr>
                <w:rFonts w:ascii="Arial" w:cs="Arial" w:eastAsia="Arial" w:hAnsi="Arial"/>
                <w:sz w:val="17"/>
                <w:szCs w:val="17"/>
                <w:color w:val="auto"/>
              </w:rPr>
              <w:t>sales agreement</w:t>
            </w:r>
          </w:p>
        </w:tc>
        <w:tc>
          <w:tcPr>
            <w:tcW w:w="1000" w:type="dxa"/>
            <w:vAlign w:val="bottom"/>
          </w:tcPr>
          <w:p>
            <w:pPr>
              <w:jc w:val="right"/>
              <w:spacing w:after="0"/>
              <w:rPr>
                <w:sz w:val="20"/>
                <w:szCs w:val="20"/>
                <w:color w:val="auto"/>
              </w:rPr>
            </w:pPr>
            <w:r>
              <w:rPr>
                <w:rFonts w:ascii="Arial" w:cs="Arial" w:eastAsia="Arial" w:hAnsi="Arial"/>
                <w:sz w:val="17"/>
                <w:szCs w:val="17"/>
                <w:color w:val="auto"/>
              </w:rPr>
              <w:t>945,974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1,272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620" w:type="dxa"/>
            <w:vAlign w:val="bottom"/>
            <w:shd w:val="clear" w:color="auto" w:fill="CFF0FC"/>
          </w:tcPr>
          <w:p>
            <w:pPr>
              <w:spacing w:after="0"/>
              <w:rPr>
                <w:sz w:val="20"/>
                <w:szCs w:val="20"/>
                <w:color w:val="auto"/>
              </w:rPr>
            </w:pPr>
            <w:r>
              <w:rPr>
                <w:rFonts w:ascii="Arial" w:cs="Arial" w:eastAsia="Arial" w:hAnsi="Arial"/>
                <w:sz w:val="17"/>
                <w:szCs w:val="17"/>
                <w:color w:val="auto"/>
              </w:rPr>
              <w:t>Exercise of stock options</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17,252</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7"/>
                <w:szCs w:val="17"/>
                <w:color w:val="auto"/>
              </w:rPr>
              <w:t>Share-based compensation expense</w:t>
            </w: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1,256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spacing w:after="0"/>
              <w:rPr>
                <w:sz w:val="20"/>
                <w:szCs w:val="20"/>
                <w:color w:val="auto"/>
              </w:rPr>
            </w:pPr>
            <w:r>
              <w:rPr>
                <w:rFonts w:ascii="Arial" w:cs="Arial" w:eastAsia="Arial" w:hAnsi="Arial"/>
                <w:sz w:val="17"/>
                <w:szCs w:val="17"/>
                <w:color w:val="auto"/>
              </w:rPr>
              <w:t>Net loss</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(5,734)</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(5,734)</w:t>
            </w:r>
          </w:p>
        </w:tc>
        <w:tc>
          <w:tcPr>
            <w:tcW w:w="0" w:type="dxa"/>
            <w:vAlign w:val="bottom"/>
          </w:tcPr>
          <w:p>
            <w:pPr>
              <w:spacing w:after="0"/>
              <w:rPr>
                <w:sz w:val="1"/>
                <w:szCs w:val="1"/>
                <w:color w:val="auto"/>
              </w:rPr>
            </w:pPr>
          </w:p>
        </w:tc>
      </w:tr>
      <w:tr>
        <w:trPr>
          <w:trHeight w:val="210"/>
        </w:trPr>
        <w:tc>
          <w:tcPr>
            <w:tcW w:w="4620" w:type="dxa"/>
            <w:vAlign w:val="bottom"/>
          </w:tcPr>
          <w:p>
            <w:pPr>
              <w:spacing w:after="0"/>
              <w:rPr>
                <w:sz w:val="20"/>
                <w:szCs w:val="20"/>
                <w:color w:val="auto"/>
              </w:rPr>
            </w:pPr>
            <w:r>
              <w:rPr>
                <w:rFonts w:ascii="Arial" w:cs="Arial" w:eastAsia="Arial" w:hAnsi="Arial"/>
                <w:sz w:val="17"/>
                <w:szCs w:val="17"/>
                <w:color w:val="auto"/>
              </w:rPr>
              <w:t>Balance at June 30, 2019</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37,746,146</w:t>
            </w: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240,888</w:t>
            </w: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(228,025</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12,901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CLEARSIDE BIOMEDICAL,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Six Months Ended</w:t>
      </w:r>
    </w:p>
    <w:p>
      <w:pPr>
        <w:jc w:val="center"/>
        <w:ind w:left="758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56"/>
        </w:trPr>
        <w:tc>
          <w:tcPr>
            <w:tcW w:w="7720" w:type="dxa"/>
            <w:vAlign w:val="bottom"/>
            <w:tcBorders>
              <w:bottom w:val="single" w:sz="8" w:color="CFF0FC"/>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Net loss</w:t>
            </w:r>
          </w:p>
        </w:tc>
        <w:tc>
          <w:tcPr>
            <w:tcW w:w="980" w:type="dxa"/>
            <w:vAlign w:val="bottom"/>
          </w:tcPr>
          <w:p>
            <w:pPr>
              <w:jc w:val="right"/>
              <w:ind w:right="796"/>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(8,665)</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(21,138)</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Depreciation</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Share-based compensation expense</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1,892</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Non-cash interest expense</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Accretion of debt discount</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Amortization and accretion on available-for-sale investments, net</w:t>
            </w:r>
          </w:p>
        </w:tc>
        <w:tc>
          <w:tcPr>
            <w:tcW w:w="98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1,418</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assets and liabilities</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(68)</w:t>
            </w:r>
          </w:p>
        </w:tc>
        <w:tc>
          <w:tcPr>
            <w:tcW w:w="3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Accounts payable and accrued liabilities</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(878)</w:t>
            </w:r>
          </w:p>
        </w:tc>
        <w:tc>
          <w:tcPr>
            <w:tcW w:w="38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(4,702)</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9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(6,023)</w:t>
            </w:r>
          </w:p>
        </w:tc>
        <w:tc>
          <w:tcPr>
            <w:tcW w:w="2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(22,710)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Maturities of available-for-sale investments</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Acquisition of property and equipment</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38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provided by investing activities</w:t>
            </w:r>
          </w:p>
        </w:tc>
        <w:tc>
          <w:tcPr>
            <w:tcW w:w="9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32,925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long-term debt</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Payments made on long-term debt</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(5,340)</w:t>
            </w:r>
          </w:p>
        </w:tc>
        <w:tc>
          <w:tcPr>
            <w:tcW w:w="38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at-the-market sales agreement, net of issuance costs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2,800</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shares issued under employee stock purchase plan</w:t>
            </w: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provided by financing activities</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(1,446)</w:t>
            </w:r>
          </w:p>
        </w:tc>
        <w:tc>
          <w:tcPr>
            <w:tcW w:w="2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(7,524)</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22,955</w:t>
            </w:r>
          </w:p>
        </w:tc>
        <w:tc>
          <w:tcPr>
            <w:tcW w:w="2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980" w:type="dxa"/>
            <w:vAlign w:val="bottom"/>
            <w:tcBorders>
              <w:bottom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15,431</w:t>
            </w:r>
          </w:p>
        </w:tc>
        <w:tc>
          <w:tcPr>
            <w:tcW w:w="2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26,534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Reconciliation of cash, cash equivalents and restricted cash:</w:t>
            </w: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2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7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6"/>
                <w:szCs w:val="16"/>
                <w:b w:val="1"/>
                <w:bCs w:val="1"/>
                <w:color w:val="auto"/>
              </w:rPr>
              <w:t>June 30,</w:t>
            </w:r>
          </w:p>
        </w:tc>
        <w:tc>
          <w:tcPr>
            <w:tcW w:w="11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772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1"/>
              <w:spacing w:after="0" w:line="159"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15,071</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2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980" w:type="dxa"/>
            <w:vAlign w:val="bottom"/>
            <w:tcBorders>
              <w:bottom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15,431</w:t>
            </w:r>
          </w:p>
        </w:tc>
        <w:tc>
          <w:tcPr>
            <w:tcW w:w="2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26,534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CLEARSIDE BIOMEDICAL, INC.</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121"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Clearside Biomedical, Inc. (the “Company”) is a biopharmaceutical company dedicated to developing and delivering treatments that restore and preserve vision for people with serious back of the eye diseases. The Company’s proprietary SCS Microinjector targets the suprachoroidal space and offers unique access to the macula, retina and choroid where sight-threatening disease often occurs. This suprachoroidal space injection is an inherently flexible, in-office, non-surgical procedure, intended to provide targeted delivery to the site of disease and to work with both established and new formulations of medications, as well as future therapeutic innovations, such as gene therapy. Incorporated in the State of Delaware on May 26, 2011, the Company has its corporate headquarters in Alpharetta, Georgia.</w:t>
      </w:r>
    </w:p>
    <w:p>
      <w:pPr>
        <w:spacing w:after="0" w:line="84"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The Company’s activities primarily consist of developing product and technology rights and performing research and development activities. The Company has no current source of revenue to sustain present activities, and does not expect to generate meaningful revenue until and unless the Company receives regulatory approval of and successfully commercializes its product candidates, either on its own or with a third party. The Company is subject to a number of risks and uncertainties similar to those of other life science companies at a similar stage of development, including, among others, the need to obtain adequate additional financing, successful development efforts including regulatory approval of products, compliance with government regulations, successful commercialization of potential products, protection of proprietary technology and dependence on key individuals.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firstLine="562"/>
        <w:spacing w:after="0" w:line="254" w:lineRule="auto"/>
        <w:rPr>
          <w:sz w:val="20"/>
          <w:szCs w:val="20"/>
          <w:color w:val="auto"/>
        </w:rPr>
      </w:pPr>
      <w:r>
        <w:rPr>
          <w:rFonts w:ascii="Arial" w:cs="Arial" w:eastAsia="Arial" w:hAnsi="Arial"/>
          <w:sz w:val="18"/>
          <w:szCs w:val="18"/>
          <w:color w:val="auto"/>
        </w:rPr>
        <w:t>The Company had cash and cash equivalents of $15.1 million as of June 30, 2020. The Company has funded its operations primarily through the sale of convertible preferred stock and common stock and the issuance of long-term debt. The Company will continue to need to obtain additional financing to fund future operations, including completing the development, partnering and potential commercialization of its primary product candidates. The Company will need to obtain financing to conduct additional trials for the regulatory approval of its product candidates if requested by regulatory bodies, and completing the development of any product candidates that might be acquired. If such products were to receive regulatory approval, the Company would need to obtain financing to prepare for the potential commercialization of its product candidates, if the Company decides to commercialize the products on its own.</w:t>
      </w:r>
    </w:p>
    <w:p>
      <w:pPr>
        <w:spacing w:after="0" w:line="87" w:lineRule="exact"/>
        <w:rPr>
          <w:sz w:val="20"/>
          <w:szCs w:val="20"/>
          <w:color w:val="auto"/>
        </w:rPr>
      </w:pPr>
    </w:p>
    <w:p>
      <w:pPr>
        <w:ind w:right="40" w:firstLine="510"/>
        <w:spacing w:after="0" w:line="301" w:lineRule="auto"/>
        <w:rPr>
          <w:sz w:val="20"/>
          <w:szCs w:val="20"/>
          <w:color w:val="auto"/>
        </w:rPr>
      </w:pPr>
      <w:r>
        <w:rPr>
          <w:rFonts w:ascii="Arial" w:cs="Arial" w:eastAsia="Arial" w:hAnsi="Arial"/>
          <w:sz w:val="16"/>
          <w:szCs w:val="16"/>
          <w:color w:val="auto"/>
        </w:rPr>
        <w:t>The Company has suffered recurring losses and negative cash flows from operations since inception and anticipates incurring additional losses until such time, if ever, that it can obtain regulatory approval to sell, and then generate significant revenue from commercializing its lead product candidate, XIPERE (triamcinolone acetonide suprachoroidal injectable suspension) with its licensees. In the absence of product or other revenues, the amount, timing, nature or source of which cannot be predicted, the Company’s losses will continue as it conducts its research and development activities.</w:t>
      </w:r>
    </w:p>
    <w:p>
      <w:pPr>
        <w:spacing w:after="0" w:line="49" w:lineRule="exact"/>
        <w:rPr>
          <w:sz w:val="20"/>
          <w:szCs w:val="20"/>
          <w:color w:val="auto"/>
        </w:rPr>
      </w:pPr>
    </w:p>
    <w:p>
      <w:pPr>
        <w:ind w:right="300" w:firstLine="510"/>
        <w:spacing w:after="0" w:line="311" w:lineRule="auto"/>
        <w:rPr>
          <w:sz w:val="20"/>
          <w:szCs w:val="20"/>
          <w:color w:val="auto"/>
        </w:rPr>
      </w:pPr>
      <w:r>
        <w:rPr>
          <w:rFonts w:ascii="Arial" w:cs="Arial" w:eastAsia="Arial" w:hAnsi="Arial"/>
          <w:sz w:val="16"/>
          <w:szCs w:val="16"/>
          <w:color w:val="auto"/>
        </w:rPr>
        <w:t>These conditions raise substantial doubt about the Company’s ability to continue as a going concern within one year after the date the financial statements are issued. Until the Company can generate sufficient revenue, the Company will need to finance future cash needs through public or private equity offerings, license agreements, debt financings or restructurings, collaborations, strategic alliances and marketing or distribution arrangements.</w:t>
      </w:r>
    </w:p>
    <w:p>
      <w:pPr>
        <w:spacing w:after="0" w:line="41"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Company’s financial statements have been prepared on a going concern basis, which contemplates the realization of assets and satisfaction of liabilities in the normal course of business. The financial statements do not include any adjustments to reflect the possible future effects on the recoverability and classification of recorded asset amounts or the amounts and classification of liabilities that might result should the Company be unable to continue as a going concern.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620" w:firstLine="510"/>
        <w:spacing w:after="0" w:line="277" w:lineRule="auto"/>
        <w:rPr>
          <w:sz w:val="20"/>
          <w:szCs w:val="20"/>
          <w:color w:val="auto"/>
        </w:rPr>
      </w:pPr>
      <w:r>
        <w:rPr>
          <w:rFonts w:ascii="Arial" w:cs="Arial" w:eastAsia="Arial" w:hAnsi="Arial"/>
          <w:sz w:val="18"/>
          <w:szCs w:val="18"/>
          <w:color w:val="auto"/>
        </w:rPr>
        <w:t>The Company’s financial statements have been prepared in conformity with accounting principles generally accepted in the United States of America (“U.S. GAAP”).</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ind w:right="80" w:firstLine="510"/>
        <w:spacing w:after="0" w:line="288" w:lineRule="auto"/>
        <w:rPr>
          <w:sz w:val="20"/>
          <w:szCs w:val="20"/>
          <w:color w:val="auto"/>
        </w:rPr>
      </w:pPr>
      <w:r>
        <w:rPr>
          <w:rFonts w:ascii="Arial" w:cs="Arial" w:eastAsia="Arial" w:hAnsi="Arial"/>
          <w:sz w:val="16"/>
          <w:szCs w:val="16"/>
          <w:color w:val="auto"/>
        </w:rPr>
        <w:t>The accompanying balance sheet as of June 30, 2020, statements of operations for the three and six months ended June 30, 2020 and 2019, statements of stockholders’ equity for the three and six months ended June 30, 2020 and 2019 and statements of cash flows for the six months ended June 30, 2020 and 2019 are unaudited. The unaudited interim financial statements have been prepared on the same basis as the annual financial statements and, in the opinion of management, reflect all adjustments, which include normal recurring adjustments, necessary for the fair presentation of the Company’s financial position as of June 30, 2020, its results of its operations for the three and six months ended June 30, 2020 and 2019, its changes in stockholders’ equity for the three and six months ended June 30, 2020 and 2019 and its cash flows for the six months ended June 30, 2020 and 2019. The financial data and other information disclosed in these notes related to the three and six months ended June 30, 2020 and 2019 are unaudited. The results for the six months ended June 30, 2020 are not indicative of results to be expected for the year ending December 31, 2020, any other interim periods or any future year or period. These unaudited financial statements should be read in conjunction with the audited financial statements and related footnotes, which are included in the Company’s Annual Report on Form 10-K for the year ended December 31, 2019.</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reported amounts of income and expenses during the reporting periods. Significant items subject to such estimates and assumptions include the accounting for useful lives to calculate depreciation and amortization, clinical expense accruals, share-based compensation expense and income tax valuation allowance. Actual results could differ from these estimates.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COVID-19</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COVID-19 pandemic is expected to continue to result in a global slowdown of economic activity. Estimates and assumptions about future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events and their effects cannot be determined with certainty and therefore require the exercise of judgment. As of the date of issuance of these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financial statements, we are not aware of any specific event or circumstance that would require us to update our estimates, assumptions and judgments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revise the carrying value of our assets or liabilities. These estimates may change as new events occur and additional information is obtained and are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recognized in the consolidated financial statements as soon as they become known. Actual results could differ from those estimates and any such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differences may be material to our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212529"/>
        </w:rPr>
        <w:t xml:space="preserve">The Company recognizes revenue from its contracts with customers under Financial Accounting Standards Board (“FASB”) Accounting Standards Codification (“ASC”) Topic 606, </w:t>
      </w:r>
      <w:r>
        <w:rPr>
          <w:rFonts w:ascii="Arial" w:cs="Arial" w:eastAsia="Arial" w:hAnsi="Arial"/>
          <w:sz w:val="16"/>
          <w:szCs w:val="16"/>
          <w:i w:val="1"/>
          <w:iCs w:val="1"/>
          <w:color w:val="212529"/>
        </w:rPr>
        <w:t>Revenue from Contracts with Customers</w:t>
      </w:r>
      <w:r>
        <w:rPr>
          <w:rFonts w:ascii="Arial" w:cs="Arial" w:eastAsia="Arial" w:hAnsi="Arial"/>
          <w:sz w:val="16"/>
          <w:szCs w:val="16"/>
          <w:color w:val="212529"/>
        </w:rPr>
        <w:t xml:space="preserve"> (“ASC Topic 606”). The Company’s primary revenue arrangements are license agreements which typically include upfront payments, regulatory and commercial milestone payments and royalties based on future product sales. The arrangements may also include payments for the Company’s SCS Microinjector devices as well as payments for assistance and oversight of the customer’s use of the Company’s technology. In determining the amount of revenue to be recognized under these agreements, the Company performs the following steps: (i) identifies the promised goods and services to be transferred in the contract, (ii) identifies the performance obligations, (iii) determines the transaction price, (iv) allocates the transaction price to the performance obligations and (v) recognizes revenue as the performance obligations are satisfied.</w:t>
      </w:r>
    </w:p>
    <w:p>
      <w:pPr>
        <w:spacing w:after="0" w:line="58" w:lineRule="exact"/>
        <w:rPr>
          <w:sz w:val="20"/>
          <w:szCs w:val="20"/>
          <w:color w:val="auto"/>
        </w:rPr>
      </w:pPr>
    </w:p>
    <w:p>
      <w:pPr>
        <w:ind w:right="380" w:firstLine="578"/>
        <w:spacing w:after="0" w:line="257" w:lineRule="auto"/>
        <w:rPr>
          <w:sz w:val="20"/>
          <w:szCs w:val="20"/>
          <w:color w:val="auto"/>
        </w:rPr>
      </w:pPr>
      <w:r>
        <w:rPr>
          <w:rFonts w:ascii="Arial" w:cs="Arial" w:eastAsia="Arial" w:hAnsi="Arial"/>
          <w:sz w:val="18"/>
          <w:szCs w:val="18"/>
          <w:color w:val="auto"/>
        </w:rPr>
        <w:t>The Company receives payments from its customers based on billing schedules established in each contract. Upfront and other payments may require deferral of revenue recognition to a future period until the Company performs its obligations under the arrangement. Amounts are recorded as accounts receivable when the Company’s right to consideration is unconditional.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Research and development costs are charged to expense as incurred and include:</w:t>
      </w:r>
    </w:p>
    <w:p>
      <w:pPr>
        <w:spacing w:after="0" w:line="117" w:lineRule="exact"/>
        <w:rPr>
          <w:sz w:val="20"/>
          <w:szCs w:val="20"/>
          <w:color w:val="auto"/>
        </w:rPr>
      </w:pPr>
    </w:p>
    <w:p>
      <w:pPr>
        <w:ind w:left="1000" w:right="68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travel and share-based compensation expense for research and development personnel;</w:t>
      </w:r>
    </w:p>
    <w:p>
      <w:pPr>
        <w:spacing w:after="0" w:line="62"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expenses incurred under agreements with contract research organizations, contract manufacturing organizations and consultants that conduct clinical trials and preclinical studies;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associated with preclinical and clinical development activities;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117" w:lineRule="exact"/>
        <w:rPr>
          <w:sz w:val="20"/>
          <w:szCs w:val="20"/>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associated with submitting regulatory approval applications for the Company’s product candidates;</w:t>
      </w:r>
    </w:p>
    <w:p>
      <w:pPr>
        <w:spacing w:after="0" w:line="117" w:lineRule="exact"/>
        <w:rPr>
          <w:rFonts w:ascii="Arial" w:cs="Arial" w:eastAsia="Arial" w:hAnsi="Arial"/>
          <w:sz w:val="18"/>
          <w:szCs w:val="18"/>
          <w:color w:val="auto"/>
        </w:rPr>
      </w:pPr>
    </w:p>
    <w:p>
      <w:pPr>
        <w:ind w:left="1000" w:right="520" w:hanging="493"/>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associated with training physicians on the suprachoroidal injection procedure and educating and providing them with appropriate product candidate information;</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associated with technology and intellectual property licenses;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for the Company’s research and development facility;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depreciation expense for assets used in research and development activities.</w:t>
      </w:r>
    </w:p>
    <w:p>
      <w:pPr>
        <w:spacing w:after="0" w:line="117"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Costs for certain development activities, such as clinical trials, are recognized based on an evaluation of the progress to completion of specific tasks using data such as patient enrollment, clinical site activations, or information provided to the Company by its vendors on their actual costs incurred. Payments for these activities are based on the terms of the individual arrangements, which may differ from the patterns of costs incurred, and are reflected in the financial statements as prepaid or accrued expense.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20" w:firstLine="562"/>
        <w:spacing w:after="0" w:line="275" w:lineRule="auto"/>
        <w:rPr>
          <w:sz w:val="20"/>
          <w:szCs w:val="20"/>
          <w:color w:val="auto"/>
        </w:rPr>
      </w:pPr>
      <w:r>
        <w:rPr>
          <w:rFonts w:ascii="Arial" w:cs="Arial" w:eastAsia="Arial" w:hAnsi="Arial"/>
          <w:sz w:val="17"/>
          <w:szCs w:val="17"/>
          <w:color w:val="auto"/>
        </w:rPr>
        <w:t>Compensation cost related to share-based awards granted to employees is measured based on the estimated fair value of the award at the grant date. The Company estimates the fair value of stock options using a Black-Scholes option pricing model. Compensation expense for options granted to non-employees is determined as the fair value of consideration received or the fair value of the equity instruments issued, whichever is more reliably measured. The fair value of restricted stock units granted is measured based on the market value of the Company’s common stock on the date of grant. Share-based compensation costs are expensed on a straight-line basis over the relevant vesting period.</w:t>
      </w:r>
    </w:p>
    <w:p>
      <w:pPr>
        <w:spacing w:after="0" w:line="68"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Compensation cost related to shares purchased through the Company’s employee stock purchase plan, which is considered compensatory, is based on the estimated fair value of the shares on the offering date, including consideration of the discount and the look back period. The Company estimates the fair value of the shares using a Black-Scholes option pricing model. Compensation expense is recognized over the six-month withholding period prior to the purchase date.</w:t>
      </w:r>
    </w:p>
    <w:p>
      <w:pPr>
        <w:spacing w:after="0" w:line="79"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All share-based compensation costs are recorded in general and administrative or research and development costs in the statements of operations based upon the underlying employees’ roles within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Cash equivalents consist of short-term, highly liquid investments with an original term of three months or less at the date of purchase.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Arising From Cash Deposits in Excess of Insured Limits</w:t>
      </w:r>
    </w:p>
    <w:p>
      <w:pPr>
        <w:spacing w:after="0" w:line="117"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The Company maintains its cash in bank deposits that at times may exceed federally insured limits. The Company has not experienced any loss in such accounts. The Company believes it is not exposed to any significant risks with respect to its cash balances.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Accounting Pronouncements Recently Adopted</w:t>
      </w:r>
    </w:p>
    <w:p>
      <w:pPr>
        <w:spacing w:after="0" w:line="117" w:lineRule="exact"/>
        <w:rPr>
          <w:sz w:val="20"/>
          <w:szCs w:val="20"/>
          <w:color w:val="auto"/>
        </w:rPr>
      </w:pPr>
    </w:p>
    <w:p>
      <w:pPr>
        <w:ind w:right="40" w:firstLine="562"/>
        <w:spacing w:after="0" w:line="255"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820-10): Disclosure Framework-Changes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Requirements for Fair Value Measurement </w:t>
      </w:r>
      <w:r>
        <w:rPr>
          <w:rFonts w:ascii="Arial" w:cs="Arial" w:eastAsia="Arial" w:hAnsi="Arial"/>
          <w:sz w:val="18"/>
          <w:szCs w:val="18"/>
          <w:color w:val="auto"/>
        </w:rPr>
        <w:t>(“ASU 2018-13”), which changes the fair value measurement disclosure requirements of ASC Topic 820,</w:t>
      </w:r>
      <w:r>
        <w:rPr>
          <w:rFonts w:ascii="Arial" w:cs="Arial" w:eastAsia="Arial" w:hAnsi="Arial"/>
          <w:sz w:val="18"/>
          <w:szCs w:val="18"/>
          <w:i w:val="1"/>
          <w:iCs w:val="1"/>
          <w:color w:val="auto"/>
        </w:rPr>
        <w:t xml:space="preserve"> Fair Value Measurements and Disclosures</w:t>
      </w:r>
      <w:r>
        <w:rPr>
          <w:rFonts w:ascii="Arial" w:cs="Arial" w:eastAsia="Arial" w:hAnsi="Arial"/>
          <w:sz w:val="18"/>
          <w:szCs w:val="18"/>
          <w:color w:val="auto"/>
        </w:rPr>
        <w:t>. Under this ASU, certain disclosure requirements for fair value measurements are eliminated, amended or added.</w:t>
      </w:r>
      <w:r>
        <w:rPr>
          <w:rFonts w:ascii="Arial" w:cs="Arial" w:eastAsia="Arial" w:hAnsi="Arial"/>
          <w:sz w:val="18"/>
          <w:szCs w:val="18"/>
          <w:i w:val="1"/>
          <w:iCs w:val="1"/>
          <w:color w:val="auto"/>
        </w:rPr>
        <w:t xml:space="preserve"> </w:t>
      </w:r>
      <w:r>
        <w:rPr>
          <w:rFonts w:ascii="Arial" w:cs="Arial" w:eastAsia="Arial" w:hAnsi="Arial"/>
          <w:sz w:val="18"/>
          <w:szCs w:val="18"/>
          <w:color w:val="auto"/>
        </w:rPr>
        <w:t>These changes aim to improve the overall usefulness of disclosures to financial statement users and reduce unnecessary costs to companies when preparing the disclosures. The Company adopted ASU 2018-13 on January 1, 2020, and the adoption did not have a material impact on its financial statements and disclosures.</w:t>
      </w:r>
    </w:p>
    <w:p>
      <w:pPr>
        <w:spacing w:after="0" w:line="84"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which requires the measurement and recognition of expected credit losses for financial assets held at amortized cost, including trade</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receivables. ASU 2016-13 replaces the existing incurred loss impairment model with an expected loss model that requires the use of forward-looking information to calculate credit loss estimates. The Company adopted ASU 2016-13 on January 1, 2020, and the adoption did not have a material impact on its financial statements and related disclosures.</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17" w:lineRule="exact"/>
        <w:rPr>
          <w:sz w:val="20"/>
          <w:szCs w:val="20"/>
          <w:color w:val="auto"/>
        </w:rPr>
      </w:pPr>
    </w:p>
    <w:p>
      <w:pPr>
        <w:ind w:firstLine="562"/>
        <w:spacing w:after="0" w:line="263"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 2019-12”), which simplifies the accounting for income taxes by removing certain exceptions related to the approach for intraperiod tax allocation, the methodology for calculating income taxes in an interim period and the recognition of deferred tax</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liabilities for outside basis differences. The new ASU also simplifies aspects of the accounting for franchise taxes and enacted changes in tax laws or rates. These changes aim to improve the overall usefulness of disclosures to financial statement users and reduce unnecessary costs to companies when preparing the disclosures. The guidance is effective for the Company beginning on January 1, 2021 and prescribes different transition methods for the various provisions. Early adoption is permitted. The Company does not expect the adoption of ASU 2019-12 to have a material impact on its financial statements and related disclosures.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and Equipment, Net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consisted of the following (dollar amounts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1040" w:type="dxa"/>
            <w:vAlign w:val="bottom"/>
            <w:gridSpan w:val="2"/>
          </w:tcPr>
          <w:p>
            <w:pPr>
              <w:jc w:val="center"/>
              <w:ind w:left="93"/>
              <w:spacing w:after="0"/>
              <w:rPr>
                <w:sz w:val="20"/>
                <w:szCs w:val="20"/>
                <w:color w:val="auto"/>
              </w:rPr>
            </w:pPr>
            <w:r>
              <w:rPr>
                <w:rFonts w:ascii="Arial" w:cs="Arial" w:eastAsia="Arial" w:hAnsi="Arial"/>
                <w:sz w:val="16"/>
                <w:szCs w:val="16"/>
                <w:b w:val="1"/>
                <w:bCs w:val="1"/>
                <w:color w:val="auto"/>
                <w:w w:val="91"/>
              </w:rPr>
              <w:t>Estimated</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1040" w:type="dxa"/>
            <w:vAlign w:val="bottom"/>
            <w:gridSpan w:val="2"/>
          </w:tcPr>
          <w:p>
            <w:pPr>
              <w:jc w:val="center"/>
              <w:ind w:left="93"/>
              <w:spacing w:after="0"/>
              <w:rPr>
                <w:sz w:val="20"/>
                <w:szCs w:val="20"/>
                <w:color w:val="auto"/>
              </w:rPr>
            </w:pPr>
            <w:r>
              <w:rPr>
                <w:rFonts w:ascii="Arial" w:cs="Arial" w:eastAsia="Arial" w:hAnsi="Arial"/>
                <w:sz w:val="16"/>
                <w:szCs w:val="16"/>
                <w:b w:val="1"/>
                <w:bCs w:val="1"/>
                <w:color w:val="auto"/>
                <w:w w:val="91"/>
              </w:rPr>
              <w:t>Useful Lives</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3"/>
          </w:tcPr>
          <w:p>
            <w:pPr>
              <w:jc w:val="right"/>
              <w:ind w:right="360"/>
              <w:spacing w:after="0"/>
              <w:rPr>
                <w:sz w:val="20"/>
                <w:szCs w:val="20"/>
                <w:color w:val="auto"/>
              </w:rPr>
            </w:pPr>
            <w:r>
              <w:rPr>
                <w:rFonts w:ascii="Arial" w:cs="Arial" w:eastAsia="Arial" w:hAnsi="Arial"/>
                <w:sz w:val="16"/>
                <w:szCs w:val="16"/>
                <w:b w:val="1"/>
                <w:bCs w:val="1"/>
                <w:color w:val="auto"/>
              </w:rPr>
              <w:t>June 30,</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86"/>
              </w:rPr>
              <w:t>December 31,</w:t>
            </w:r>
          </w:p>
        </w:tc>
        <w:tc>
          <w:tcPr>
            <w:tcW w:w="0" w:type="dxa"/>
            <w:vAlign w:val="bottom"/>
          </w:tcPr>
          <w:p>
            <w:pPr>
              <w:spacing w:after="0"/>
              <w:rPr>
                <w:sz w:val="1"/>
                <w:szCs w:val="1"/>
                <w:color w:val="auto"/>
              </w:rPr>
            </w:pPr>
          </w:p>
        </w:tc>
      </w:tr>
      <w:tr>
        <w:trPr>
          <w:trHeight w:val="213"/>
        </w:trPr>
        <w:tc>
          <w:tcPr>
            <w:tcW w:w="580" w:type="dxa"/>
            <w:vAlign w:val="bottom"/>
          </w:tcPr>
          <w:p>
            <w:pPr>
              <w:spacing w:after="0"/>
              <w:rPr>
                <w:sz w:val="18"/>
                <w:szCs w:val="18"/>
                <w:color w:val="auto"/>
              </w:rPr>
            </w:pPr>
          </w:p>
        </w:tc>
        <w:tc>
          <w:tcPr>
            <w:tcW w:w="1120" w:type="dxa"/>
            <w:vAlign w:val="bottom"/>
            <w:tcBorders>
              <w:bottom w:val="single" w:sz="8" w:color="CFF0FC"/>
            </w:tcBorders>
          </w:tcPr>
          <w:p>
            <w:pPr>
              <w:spacing w:after="0"/>
              <w:rPr>
                <w:sz w:val="18"/>
                <w:szCs w:val="18"/>
                <w:color w:val="auto"/>
              </w:rPr>
            </w:pPr>
          </w:p>
        </w:tc>
        <w:tc>
          <w:tcPr>
            <w:tcW w:w="454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gridSpan w:val="2"/>
          </w:tcPr>
          <w:p>
            <w:pPr>
              <w:jc w:val="center"/>
              <w:ind w:left="93"/>
              <w:spacing w:after="0"/>
              <w:rPr>
                <w:sz w:val="20"/>
                <w:szCs w:val="20"/>
                <w:color w:val="auto"/>
              </w:rPr>
            </w:pPr>
            <w:r>
              <w:rPr>
                <w:rFonts w:ascii="Arial" w:cs="Arial" w:eastAsia="Arial" w:hAnsi="Arial"/>
                <w:sz w:val="16"/>
                <w:szCs w:val="16"/>
                <w:b w:val="1"/>
                <w:bCs w:val="1"/>
                <w:color w:val="auto"/>
                <w:w w:val="92"/>
              </w:rPr>
              <w:t>(Years)</w:t>
            </w:r>
          </w:p>
        </w:tc>
        <w:tc>
          <w:tcPr>
            <w:tcW w:w="200" w:type="dxa"/>
            <w:vAlign w:val="bottom"/>
            <w:tcBorders>
              <w:bottom w:val="single" w:sz="8" w:color="auto"/>
            </w:tcBorders>
          </w:tcPr>
          <w:p>
            <w:pPr>
              <w:spacing w:after="0"/>
              <w:rPr>
                <w:sz w:val="18"/>
                <w:szCs w:val="18"/>
                <w:color w:val="auto"/>
              </w:rPr>
            </w:pPr>
          </w:p>
        </w:tc>
        <w:tc>
          <w:tcPr>
            <w:tcW w:w="3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333"/>
              <w:spacing w:after="0"/>
              <w:rPr>
                <w:sz w:val="20"/>
                <w:szCs w:val="20"/>
                <w:color w:val="auto"/>
              </w:rPr>
            </w:pPr>
            <w:r>
              <w:rPr>
                <w:rFonts w:ascii="Arial" w:cs="Arial" w:eastAsia="Arial" w:hAnsi="Arial"/>
                <w:sz w:val="16"/>
                <w:szCs w:val="16"/>
                <w:b w:val="1"/>
                <w:bCs w:val="1"/>
                <w:color w:val="auto"/>
              </w:rPr>
              <w:t>2020</w:t>
            </w:r>
          </w:p>
        </w:tc>
        <w:tc>
          <w:tcPr>
            <w:tcW w:w="60" w:type="dxa"/>
            <w:vAlign w:val="bottom"/>
            <w:tcBorders>
              <w:bottom w:val="single" w:sz="8" w:color="CFF0FC"/>
            </w:tcBorders>
          </w:tcPr>
          <w:p>
            <w:pPr>
              <w:spacing w:after="0"/>
              <w:rPr>
                <w:sz w:val="18"/>
                <w:szCs w:val="18"/>
                <w:color w:val="auto"/>
              </w:rPr>
            </w:pPr>
          </w:p>
        </w:tc>
        <w:tc>
          <w:tcPr>
            <w:tcW w:w="400" w:type="dxa"/>
            <w:vAlign w:val="bottom"/>
            <w:tcBorders>
              <w:bottom w:val="single" w:sz="8" w:color="CFF0FC"/>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80" w:type="dxa"/>
            <w:vAlign w:val="bottom"/>
          </w:tcPr>
          <w:p>
            <w:pPr>
              <w:spacing w:after="0"/>
              <w:rPr>
                <w:sz w:val="19"/>
                <w:szCs w:val="19"/>
                <w:color w:val="auto"/>
              </w:rPr>
            </w:pPr>
          </w:p>
        </w:tc>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680" w:type="dxa"/>
            <w:vAlign w:val="bottom"/>
            <w:shd w:val="clear" w:color="auto" w:fill="CFF0FC"/>
          </w:tcPr>
          <w:p>
            <w:pPr>
              <w:jc w:val="center"/>
              <w:ind w:left="453"/>
              <w:spacing w:after="0"/>
              <w:rPr>
                <w:sz w:val="20"/>
                <w:szCs w:val="20"/>
                <w:color w:val="auto"/>
              </w:rPr>
            </w:pPr>
            <w:r>
              <w:rPr>
                <w:rFonts w:ascii="Arial" w:cs="Arial" w:eastAsia="Arial" w:hAnsi="Arial"/>
                <w:sz w:val="18"/>
                <w:szCs w:val="18"/>
                <w:color w:val="auto"/>
                <w:w w:val="99"/>
              </w:rPr>
              <w:t>5</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Machinery and equipment</w:t>
            </w:r>
          </w:p>
        </w:tc>
        <w:tc>
          <w:tcPr>
            <w:tcW w:w="680" w:type="dxa"/>
            <w:vAlign w:val="bottom"/>
          </w:tcPr>
          <w:p>
            <w:pPr>
              <w:jc w:val="center"/>
              <w:ind w:left="453"/>
              <w:spacing w:after="0"/>
              <w:rPr>
                <w:sz w:val="20"/>
                <w:szCs w:val="20"/>
                <w:color w:val="auto"/>
              </w:rPr>
            </w:pPr>
            <w:r>
              <w:rPr>
                <w:rFonts w:ascii="Arial" w:cs="Arial" w:eastAsia="Arial" w:hAnsi="Arial"/>
                <w:sz w:val="18"/>
                <w:szCs w:val="18"/>
                <w:color w:val="auto"/>
                <w:w w:val="99"/>
              </w:rPr>
              <w:t>5</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176</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680" w:type="dxa"/>
            <w:vAlign w:val="bottom"/>
            <w:shd w:val="clear" w:color="auto" w:fill="CFF0FC"/>
          </w:tcPr>
          <w:p>
            <w:pPr>
              <w:jc w:val="center"/>
              <w:ind w:left="453"/>
              <w:spacing w:after="0"/>
              <w:rPr>
                <w:sz w:val="20"/>
                <w:szCs w:val="20"/>
                <w:color w:val="auto"/>
              </w:rPr>
            </w:pPr>
            <w:r>
              <w:rPr>
                <w:rFonts w:ascii="Arial" w:cs="Arial" w:eastAsia="Arial" w:hAnsi="Arial"/>
                <w:sz w:val="18"/>
                <w:szCs w:val="18"/>
                <w:color w:val="auto"/>
                <w:w w:val="99"/>
              </w:rPr>
              <w:t>3</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tcBorders>
              <w:right w:val="single" w:sz="8" w:color="CFF0FC"/>
            </w:tcBorders>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1040" w:type="dxa"/>
            <w:vAlign w:val="bottom"/>
            <w:gridSpan w:val="2"/>
          </w:tcPr>
          <w:p>
            <w:pPr>
              <w:jc w:val="center"/>
              <w:ind w:left="93"/>
              <w:spacing w:after="0"/>
              <w:rPr>
                <w:sz w:val="20"/>
                <w:szCs w:val="20"/>
                <w:color w:val="auto"/>
              </w:rPr>
            </w:pPr>
            <w:r>
              <w:rPr>
                <w:rFonts w:ascii="Arial" w:cs="Arial" w:eastAsia="Arial" w:hAnsi="Arial"/>
                <w:sz w:val="18"/>
                <w:szCs w:val="18"/>
                <w:color w:val="auto"/>
                <w:w w:val="89"/>
              </w:rPr>
              <w:t>Lesser of</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760" w:type="dxa"/>
            <w:vAlign w:val="bottom"/>
            <w:gridSpan w:val="5"/>
          </w:tcPr>
          <w:p>
            <w:pPr>
              <w:jc w:val="center"/>
              <w:ind w:right="447"/>
              <w:spacing w:after="0"/>
              <w:rPr>
                <w:sz w:val="20"/>
                <w:szCs w:val="20"/>
                <w:color w:val="auto"/>
              </w:rPr>
            </w:pPr>
            <w:r>
              <w:rPr>
                <w:rFonts w:ascii="Arial" w:cs="Arial" w:eastAsia="Arial" w:hAnsi="Arial"/>
                <w:sz w:val="18"/>
                <w:szCs w:val="18"/>
                <w:color w:val="auto"/>
                <w:w w:val="94"/>
              </w:rPr>
              <w:t>useful life or</w:t>
            </w: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040" w:type="dxa"/>
            <w:vAlign w:val="bottom"/>
            <w:gridSpan w:val="2"/>
          </w:tcPr>
          <w:p>
            <w:pPr>
              <w:jc w:val="center"/>
              <w:ind w:left="93"/>
              <w:spacing w:after="0"/>
              <w:rPr>
                <w:sz w:val="20"/>
                <w:szCs w:val="20"/>
                <w:color w:val="auto"/>
              </w:rPr>
            </w:pPr>
            <w:r>
              <w:rPr>
                <w:rFonts w:ascii="Arial" w:cs="Arial" w:eastAsia="Arial" w:hAnsi="Arial"/>
                <w:sz w:val="18"/>
                <w:szCs w:val="18"/>
                <w:color w:val="auto"/>
                <w:w w:val="93"/>
              </w:rPr>
              <w:t>remaining</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120" w:type="dxa"/>
            <w:vAlign w:val="bottom"/>
            <w:tcBorders>
              <w:bottom w:val="single" w:sz="8" w:color="CFF0FC"/>
            </w:tcBorders>
          </w:tcPr>
          <w:p>
            <w:pPr>
              <w:spacing w:after="0"/>
              <w:rPr>
                <w:sz w:val="20"/>
                <w:szCs w:val="20"/>
                <w:color w:val="auto"/>
              </w:rPr>
            </w:pPr>
          </w:p>
        </w:tc>
        <w:tc>
          <w:tcPr>
            <w:tcW w:w="4540" w:type="dxa"/>
            <w:vAlign w:val="bottom"/>
            <w:tcBorders>
              <w:bottom w:val="single" w:sz="8" w:color="CFF0FC"/>
            </w:tcBorders>
          </w:tcPr>
          <w:p>
            <w:pPr>
              <w:spacing w:after="0"/>
              <w:rPr>
                <w:sz w:val="20"/>
                <w:szCs w:val="20"/>
                <w:color w:val="auto"/>
              </w:rPr>
            </w:pPr>
          </w:p>
        </w:tc>
        <w:tc>
          <w:tcPr>
            <w:tcW w:w="1040" w:type="dxa"/>
            <w:vAlign w:val="bottom"/>
            <w:tcBorders>
              <w:bottom w:val="single" w:sz="8" w:color="CFF0FC"/>
            </w:tcBorders>
            <w:gridSpan w:val="2"/>
          </w:tcPr>
          <w:p>
            <w:pPr>
              <w:jc w:val="center"/>
              <w:ind w:left="93"/>
              <w:spacing w:after="0"/>
              <w:rPr>
                <w:sz w:val="20"/>
                <w:szCs w:val="20"/>
                <w:color w:val="auto"/>
              </w:rPr>
            </w:pPr>
            <w:r>
              <w:rPr>
                <w:rFonts w:ascii="Arial" w:cs="Arial" w:eastAsia="Arial" w:hAnsi="Arial"/>
                <w:sz w:val="18"/>
                <w:szCs w:val="18"/>
                <w:color w:val="auto"/>
                <w:w w:val="88"/>
              </w:rPr>
              <w:t>lease term</w:t>
            </w:r>
          </w:p>
        </w:tc>
        <w:tc>
          <w:tcPr>
            <w:tcW w:w="200" w:type="dxa"/>
            <w:vAlign w:val="bottom"/>
            <w:tcBorders>
              <w:bottom w:val="single" w:sz="8" w:color="CFF0FC"/>
            </w:tcBorders>
          </w:tcPr>
          <w:p>
            <w:pPr>
              <w:spacing w:after="0"/>
              <w:rPr>
                <w:sz w:val="20"/>
                <w:szCs w:val="20"/>
                <w:color w:val="auto"/>
              </w:rPr>
            </w:pPr>
          </w:p>
        </w:tc>
        <w:tc>
          <w:tcPr>
            <w:tcW w:w="36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667</w:t>
            </w:r>
          </w:p>
        </w:tc>
        <w:tc>
          <w:tcPr>
            <w:tcW w:w="60" w:type="dxa"/>
            <w:vAlign w:val="bottom"/>
            <w:tcBorders>
              <w:bottom w:val="single" w:sz="8" w:color="CFF0FC"/>
            </w:tcBorders>
          </w:tcPr>
          <w:p>
            <w:pPr>
              <w:spacing w:after="0"/>
              <w:rPr>
                <w:sz w:val="20"/>
                <w:szCs w:val="20"/>
                <w:color w:val="auto"/>
              </w:rPr>
            </w:pPr>
          </w:p>
        </w:tc>
        <w:tc>
          <w:tcPr>
            <w:tcW w:w="400" w:type="dxa"/>
            <w:vAlign w:val="bottom"/>
            <w:tcBorders>
              <w:bottom w:val="single" w:sz="8" w:color="CFF0FC"/>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5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1,193</w:t>
            </w:r>
          </w:p>
        </w:tc>
        <w:tc>
          <w:tcPr>
            <w:tcW w:w="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tcBorders>
              <w:right w:val="single" w:sz="8" w:color="CFF0FC"/>
            </w:tcBorders>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Less: Accumulated depreciation</w:t>
            </w: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(687)</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20" w:type="dxa"/>
            <w:vAlign w:val="bottom"/>
            <w:tcBorders>
              <w:top w:val="single" w:sz="8" w:color="CFF0FC"/>
              <w:bottom w:val="single" w:sz="8" w:color="CFF0FC"/>
            </w:tcBorders>
            <w:shd w:val="clear" w:color="auto" w:fill="CFF0FC"/>
          </w:tcPr>
          <w:p>
            <w:pPr>
              <w:spacing w:after="0"/>
              <w:rPr>
                <w:sz w:val="19"/>
                <w:szCs w:val="19"/>
                <w:color w:val="auto"/>
              </w:rPr>
            </w:pPr>
          </w:p>
        </w:tc>
        <w:tc>
          <w:tcPr>
            <w:tcW w:w="454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4. Accrued Liabilities</w:t>
            </w: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6240" w:type="dxa"/>
            <w:vAlign w:val="bottom"/>
            <w:gridSpan w:val="3"/>
            <w:vMerge w:val="continue"/>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40" w:type="dxa"/>
            <w:vAlign w:val="bottom"/>
            <w:gridSpan w:val="3"/>
          </w:tcPr>
          <w:p>
            <w:pPr>
              <w:ind w:left="520"/>
              <w:spacing w:after="0"/>
              <w:rPr>
                <w:sz w:val="20"/>
                <w:szCs w:val="20"/>
                <w:color w:val="auto"/>
              </w:rPr>
            </w:pPr>
            <w:r>
              <w:rPr>
                <w:rFonts w:ascii="Arial" w:cs="Arial" w:eastAsia="Arial" w:hAnsi="Arial"/>
                <w:sz w:val="18"/>
                <w:szCs w:val="18"/>
                <w:color w:val="auto"/>
              </w:rPr>
              <w:t>Accrued liabilities consisted of the following (in thousands):</w:t>
            </w: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June 30,</w:t>
            </w:r>
          </w:p>
        </w:tc>
        <w:tc>
          <w:tcPr>
            <w:tcW w:w="400" w:type="dxa"/>
            <w:vAlign w:val="bottom"/>
          </w:tcPr>
          <w:p>
            <w:pPr>
              <w:spacing w:after="0"/>
              <w:rPr>
                <w:sz w:val="24"/>
                <w:szCs w:val="24"/>
                <w:color w:val="auto"/>
              </w:rPr>
            </w:pPr>
          </w:p>
        </w:tc>
        <w:tc>
          <w:tcPr>
            <w:tcW w:w="116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w w:val="92"/>
              </w:rPr>
              <w:t>December 31,</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89"/>
              </w:rPr>
              <w:t>2020</w:t>
            </w:r>
          </w:p>
        </w:tc>
        <w:tc>
          <w:tcPr>
            <w:tcW w:w="160" w:type="dxa"/>
            <w:vAlign w:val="bottom"/>
          </w:tcPr>
          <w:p>
            <w:pPr>
              <w:spacing w:after="0"/>
              <w:rPr>
                <w:sz w:val="19"/>
                <w:szCs w:val="19"/>
                <w:color w:val="auto"/>
              </w:rPr>
            </w:pPr>
          </w:p>
        </w:tc>
        <w:tc>
          <w:tcPr>
            <w:tcW w:w="1440" w:type="dxa"/>
            <w:vAlign w:val="bottom"/>
            <w:gridSpan w:val="4"/>
          </w:tcPr>
          <w:p>
            <w:pPr>
              <w:jc w:val="right"/>
              <w:ind w:right="250"/>
              <w:spacing w:after="0"/>
              <w:rPr>
                <w:sz w:val="20"/>
                <w:szCs w:val="20"/>
                <w:color w:val="auto"/>
              </w:rPr>
            </w:pPr>
            <w:r>
              <w:rPr>
                <w:rFonts w:ascii="Arial" w:cs="Arial" w:eastAsia="Arial" w:hAnsi="Arial"/>
                <w:sz w:val="16"/>
                <w:szCs w:val="16"/>
                <w:b w:val="1"/>
                <w:bCs w:val="1"/>
                <w:color w:val="auto"/>
              </w:rPr>
              <w:t>2019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research and development</w:t>
            </w:r>
          </w:p>
        </w:tc>
        <w:tc>
          <w:tcPr>
            <w:tcW w:w="6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3"/>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40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ind w:right="393"/>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359</w:t>
            </w:r>
          </w:p>
        </w:tc>
        <w:tc>
          <w:tcPr>
            <w:tcW w:w="80" w:type="dxa"/>
            <w:vAlign w:val="bottom"/>
            <w:tcBorders>
              <w:top w:val="single" w:sz="8" w:color="CFF0FC"/>
              <w:right w:val="single" w:sz="8" w:color="CFF0FC"/>
            </w:tcBorders>
            <w:shd w:val="clear" w:color="auto" w:fill="CFF0FC"/>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Accrued employee costs</w:t>
            </w: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679</w:t>
            </w: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3"/>
              </w:rPr>
              <w:t>1,530</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Accrued severance</w:t>
            </w:r>
          </w:p>
        </w:tc>
        <w:tc>
          <w:tcPr>
            <w:tcW w:w="6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321</w:t>
            </w:r>
          </w:p>
        </w:tc>
        <w:tc>
          <w:tcPr>
            <w:tcW w:w="4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751</w:t>
            </w:r>
          </w:p>
        </w:tc>
        <w:tc>
          <w:tcPr>
            <w:tcW w:w="80" w:type="dxa"/>
            <w:vAlign w:val="bottom"/>
            <w:tcBorders>
              <w:right w:val="single" w:sz="8" w:color="CFF0FC"/>
            </w:tcBorders>
            <w:shd w:val="clear" w:color="auto" w:fill="CFF0FC"/>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24</w:t>
            </w: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w:t>
            </w:r>
          </w:p>
        </w:tc>
        <w:tc>
          <w:tcPr>
            <w:tcW w:w="6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40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80" w:type="dxa"/>
            <w:vAlign w:val="bottom"/>
            <w:tcBorders>
              <w:right w:val="single" w:sz="8" w:color="CFF0FC"/>
            </w:tcBorders>
            <w:shd w:val="clear" w:color="auto" w:fill="CFF0FC"/>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1,634</w:t>
            </w:r>
          </w:p>
        </w:tc>
        <w:tc>
          <w:tcPr>
            <w:tcW w:w="400" w:type="dxa"/>
            <w:vAlign w:val="bottom"/>
          </w:tcPr>
          <w:p>
            <w:pPr>
              <w:spacing w:after="0"/>
              <w:rPr>
                <w:sz w:val="19"/>
                <w:szCs w:val="19"/>
                <w:color w:val="auto"/>
              </w:rPr>
            </w:pPr>
          </w:p>
        </w:tc>
        <w:tc>
          <w:tcPr>
            <w:tcW w:w="580" w:type="dxa"/>
            <w:vAlign w:val="bottom"/>
            <w:tcBorders>
              <w:bottom w:val="single" w:sz="8" w:color="auto"/>
            </w:tcBorders>
          </w:tcPr>
          <w:p>
            <w:pPr>
              <w:jc w:val="right"/>
              <w:ind w:right="393"/>
              <w:spacing w:after="0"/>
              <w:rPr>
                <w:sz w:val="20"/>
                <w:szCs w:val="20"/>
                <w:color w:val="auto"/>
              </w:rPr>
            </w:pPr>
            <w:r>
              <w:rPr>
                <w:rFonts w:ascii="Arial" w:cs="Arial" w:eastAsia="Arial" w:hAnsi="Arial"/>
                <w:sz w:val="18"/>
                <w:szCs w:val="18"/>
                <w:color w:val="auto"/>
                <w:w w:val="79"/>
              </w:rPr>
              <w:t>$</w:t>
            </w:r>
          </w:p>
        </w:tc>
        <w:tc>
          <w:tcPr>
            <w:tcW w:w="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2,930</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and Security Agreements</w:t>
      </w:r>
    </w:p>
    <w:p>
      <w:pPr>
        <w:spacing w:after="0" w:line="117"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On May 14, 2018, the Company entered into a second amended and restated loan and security agreement (the “2</w:t>
      </w:r>
      <w:r>
        <w:rPr>
          <w:rFonts w:ascii="Arial" w:cs="Arial" w:eastAsia="Arial" w:hAnsi="Arial"/>
          <w:sz w:val="13"/>
          <w:szCs w:val="13"/>
          <w:color w:val="auto"/>
        </w:rPr>
        <w:t>nd</w:t>
      </w:r>
      <w:r>
        <w:rPr>
          <w:rFonts w:ascii="Arial" w:cs="Arial" w:eastAsia="Arial" w:hAnsi="Arial"/>
          <w:sz w:val="16"/>
          <w:szCs w:val="16"/>
          <w:color w:val="auto"/>
        </w:rPr>
        <w:t xml:space="preserve"> A&amp;R Loan Agreement”) with SVB, MidCap Funding III Trust and MidCap Financial Trust (together, “MidCap” and collectively with SVB, the “Lenders”), which amended and restated in its entirety the first amended and restated loan agreement. The 2</w:t>
      </w:r>
      <w:r>
        <w:rPr>
          <w:rFonts w:ascii="Arial" w:cs="Arial" w:eastAsia="Arial" w:hAnsi="Arial"/>
          <w:sz w:val="13"/>
          <w:szCs w:val="13"/>
          <w:color w:val="auto"/>
        </w:rPr>
        <w:t>nd</w:t>
      </w:r>
      <w:r>
        <w:rPr>
          <w:rFonts w:ascii="Arial" w:cs="Arial" w:eastAsia="Arial" w:hAnsi="Arial"/>
          <w:sz w:val="16"/>
          <w:szCs w:val="16"/>
          <w:color w:val="auto"/>
        </w:rPr>
        <w:t xml:space="preserve"> A&amp;R Loan Agreement provided for new term loans of up to $20.0 million, with a floating interest rate equal to 6.50% plus the greater of (i) the 30-day U.S. LIBOR, as reported in the Wall Street Journal on the last business day of the month that immediately precedes the month in which the interest will accrue, or (ii) 1.89%. The 2</w:t>
      </w:r>
      <w:r>
        <w:rPr>
          <w:rFonts w:ascii="Arial" w:cs="Arial" w:eastAsia="Arial" w:hAnsi="Arial"/>
          <w:sz w:val="13"/>
          <w:szCs w:val="13"/>
          <w:color w:val="auto"/>
        </w:rPr>
        <w:t>nd</w:t>
      </w:r>
      <w:r>
        <w:rPr>
          <w:rFonts w:ascii="Arial" w:cs="Arial" w:eastAsia="Arial" w:hAnsi="Arial"/>
          <w:sz w:val="16"/>
          <w:szCs w:val="16"/>
          <w:color w:val="auto"/>
        </w:rPr>
        <w:t xml:space="preserve"> A&amp;R Loan Agreement includes, among other things, the ability of the Lenders to accelerate the payment of the term loan in the event of material adverse change and restrictions on the Company’s ability to sell, assign, license, transfer or otherwise dispose of its assets, including intellectual property assets, without the prior written consent of the Lenders.</w:t>
      </w:r>
    </w:p>
    <w:p>
      <w:pPr>
        <w:spacing w:after="0" w:line="58" w:lineRule="exact"/>
        <w:rPr>
          <w:sz w:val="20"/>
          <w:szCs w:val="20"/>
          <w:color w:val="auto"/>
        </w:rPr>
      </w:pPr>
    </w:p>
    <w:p>
      <w:pPr>
        <w:ind w:firstLine="552"/>
        <w:spacing w:after="0" w:line="311" w:lineRule="auto"/>
        <w:rPr>
          <w:sz w:val="20"/>
          <w:szCs w:val="20"/>
          <w:color w:val="auto"/>
        </w:rPr>
      </w:pPr>
      <w:r>
        <w:rPr>
          <w:rFonts w:ascii="Arial" w:cs="Arial" w:eastAsia="Arial" w:hAnsi="Arial"/>
          <w:sz w:val="16"/>
          <w:szCs w:val="16"/>
          <w:color w:val="auto"/>
        </w:rPr>
        <w:t>The Company borrowed an initial tranche of $10.0 million on May 14, 2018, of which $7.0 million was used to repay all amounts outstanding under the first amended and restated loan agreement, including fees associated with the final payment. The prepayment fees were waived. Of the remaining $10.0 million under the 2</w:t>
      </w:r>
      <w:r>
        <w:rPr>
          <w:rFonts w:ascii="Arial" w:cs="Arial" w:eastAsia="Arial" w:hAnsi="Arial"/>
          <w:sz w:val="13"/>
          <w:szCs w:val="13"/>
          <w:color w:val="auto"/>
        </w:rPr>
        <w:t>nd</w:t>
      </w:r>
      <w:r>
        <w:rPr>
          <w:rFonts w:ascii="Arial" w:cs="Arial" w:eastAsia="Arial" w:hAnsi="Arial"/>
          <w:sz w:val="16"/>
          <w:szCs w:val="16"/>
          <w:color w:val="auto"/>
        </w:rPr>
        <w:t xml:space="preserve"> A&amp;R Loan Agreement, the Company elected not to draw $5.0 million and the other $5.0 million was not available for draw.</w:t>
      </w:r>
    </w:p>
    <w:p>
      <w:pPr>
        <w:spacing w:after="0" w:line="41"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On October 18, 2019, the Company entered into an amendment to the 2</w:t>
      </w:r>
      <w:r>
        <w:rPr>
          <w:rFonts w:ascii="Arial" w:cs="Arial" w:eastAsia="Arial" w:hAnsi="Arial"/>
          <w:sz w:val="15"/>
          <w:szCs w:val="15"/>
          <w:color w:val="auto"/>
        </w:rPr>
        <w:t>nd</w:t>
      </w:r>
      <w:r>
        <w:rPr>
          <w:rFonts w:ascii="Arial" w:cs="Arial" w:eastAsia="Arial" w:hAnsi="Arial"/>
          <w:sz w:val="18"/>
          <w:szCs w:val="18"/>
          <w:color w:val="auto"/>
        </w:rPr>
        <w:t xml:space="preserve"> A&amp;R Loan Agreement with the Lenders. Pursuant to the amendment, the Company repaid $5.0 million of the outstanding principal balance of the $10.0 million term loan. The Company did not pay any final payment or termination fees in connection with the $5.0 million prepayment. In addition, the Company and the Lenders agreed to modify the term loan repayment schedule. As amended, the term loan repayment schedule provided for interest only payments through October 31, 2020, followed by consecutive equal monthly payments of principal and interest in arrears continuing</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through the maturity date of October 1, 2022. The Company had the option to prepay the outstanding balance in full, subject to a prepayment fee. The borrowings under the 2</w:t>
      </w:r>
      <w:r>
        <w:rPr>
          <w:rFonts w:ascii="Arial" w:cs="Arial" w:eastAsia="Arial" w:hAnsi="Arial"/>
          <w:sz w:val="15"/>
          <w:szCs w:val="15"/>
          <w:color w:val="auto"/>
        </w:rPr>
        <w:t>nd</w:t>
      </w:r>
      <w:r>
        <w:rPr>
          <w:rFonts w:ascii="Arial" w:cs="Arial" w:eastAsia="Arial" w:hAnsi="Arial"/>
          <w:sz w:val="18"/>
          <w:szCs w:val="18"/>
          <w:color w:val="auto"/>
        </w:rPr>
        <w:t xml:space="preserve"> A&amp;R Loan Agreement were secured by substantially all of the Company’s assets.</w:t>
      </w:r>
    </w:p>
    <w:p>
      <w:pPr>
        <w:spacing w:after="0" w:line="62"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On May 7, 2020, due to various restrictions and other limiting covenants of the 2</w:t>
      </w:r>
      <w:r>
        <w:rPr>
          <w:rFonts w:ascii="Arial" w:cs="Arial" w:eastAsia="Arial" w:hAnsi="Arial"/>
          <w:sz w:val="15"/>
          <w:szCs w:val="15"/>
          <w:color w:val="auto"/>
        </w:rPr>
        <w:t>nd</w:t>
      </w:r>
      <w:r>
        <w:rPr>
          <w:rFonts w:ascii="Arial" w:cs="Arial" w:eastAsia="Arial" w:hAnsi="Arial"/>
          <w:sz w:val="18"/>
          <w:szCs w:val="18"/>
          <w:color w:val="auto"/>
        </w:rPr>
        <w:t xml:space="preserve"> A&amp;R Loan Agreement, the Company elected to prepay in full the outstanding $5.0 million principal balance, plus $0.3 million reflecting the final payment fee and accrued interest. The prepayment fees were waived by the lender.</w:t>
      </w:r>
    </w:p>
    <w:p>
      <w:pPr>
        <w:spacing w:after="0" w:line="76"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Interest expense on the borrowings under the loan agreements described above was $42,000 and $227,000 for the three months ended June 30, 2020 and 2019, respectively, and $147,000 and $452,000 for the six months ended June 30, 2020 and 2019, respectively. Accretion of the final payment was $49,000 and $47,000 for the three months ended June 30, 2020 and 2019, respectively, and $59,000 and $93,000 for the six months ended June 30, 2020 and 2019, respectively. Accretion of the deferred debt issuance costs was $108,000 and $16,000 for the three months ended June 30, 2020 and 2019, respectively, and $129,000 and $31,000 for the six months ended June 30, 2020 and 2019,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w:t>
      </w:r>
      <w:r>
        <w:rPr>
          <w:rFonts w:ascii="Arial" w:cs="Arial" w:eastAsia="Arial" w:hAnsi="Arial"/>
          <w:sz w:val="18"/>
          <w:szCs w:val="18"/>
          <w:color w:val="auto"/>
        </w:rPr>
        <w:t>.</w:t>
      </w:r>
      <w:r>
        <w:rPr>
          <w:rFonts w:ascii="Arial" w:cs="Arial" w:eastAsia="Arial" w:hAnsi="Arial"/>
          <w:sz w:val="18"/>
          <w:szCs w:val="18"/>
          <w:b w:val="1"/>
          <w:bCs w:val="1"/>
          <w:color w:val="auto"/>
        </w:rPr>
        <w:t xml:space="preserve"> CARES Act Paycheck Protection Program Loan</w:t>
      </w:r>
    </w:p>
    <w:p>
      <w:pPr>
        <w:spacing w:after="0" w:line="121" w:lineRule="exact"/>
        <w:rPr>
          <w:sz w:val="20"/>
          <w:szCs w:val="20"/>
          <w:color w:val="auto"/>
        </w:rPr>
      </w:pPr>
    </w:p>
    <w:p>
      <w:pPr>
        <w:ind w:right="60" w:firstLine="468"/>
        <w:spacing w:after="0" w:line="259" w:lineRule="auto"/>
        <w:rPr>
          <w:sz w:val="20"/>
          <w:szCs w:val="20"/>
          <w:color w:val="auto"/>
        </w:rPr>
      </w:pPr>
      <w:r>
        <w:rPr>
          <w:rFonts w:ascii="Arial" w:cs="Arial" w:eastAsia="Arial" w:hAnsi="Arial"/>
          <w:sz w:val="18"/>
          <w:szCs w:val="18"/>
          <w:color w:val="auto"/>
        </w:rPr>
        <w:t>On April 20, 2020, the Company entered into a loan agreement with Silicon Valley Bank (the “PPP Lender”) under the terms of which the PPP Lender made a loan to the Company in an aggregate principal amount of $1.0 million (the “PPP Loan”) pursuant to the Paycheck Protection Program (the “PPP”) under the Coronavirus Aid, Relief, and Economic Security Act (the “CARES Act”). The PPP Loan is evidenced by a promissory note (the “Note”) containing the terms and conditions for repayment of the PPP Loan.</w:t>
      </w:r>
    </w:p>
    <w:p>
      <w:pPr>
        <w:spacing w:after="0" w:line="79" w:lineRule="exact"/>
        <w:rPr>
          <w:sz w:val="20"/>
          <w:szCs w:val="20"/>
          <w:color w:val="auto"/>
        </w:rPr>
      </w:pPr>
    </w:p>
    <w:p>
      <w:pPr>
        <w:ind w:right="160" w:firstLine="468"/>
        <w:spacing w:after="0" w:line="259" w:lineRule="auto"/>
        <w:rPr>
          <w:sz w:val="20"/>
          <w:szCs w:val="20"/>
          <w:color w:val="auto"/>
        </w:rPr>
      </w:pPr>
      <w:r>
        <w:rPr>
          <w:rFonts w:ascii="Arial" w:cs="Arial" w:eastAsia="Arial" w:hAnsi="Arial"/>
          <w:sz w:val="18"/>
          <w:szCs w:val="18"/>
          <w:color w:val="auto"/>
        </w:rPr>
        <w:t>Under the terms of the Note and the PPP Loan, interest accrues on the outstanding principal amount at the rate of 1.0% per annum. The term of the Note is until April 2022, though it may be payable sooner in connection with an event of default under the Note. To the extent the loan amount is not forgiven under the PPP, as described below, the Company would be obligated to make equal monthly payments of principal and interest, beginning in October 2020 and continuing until the maturity date.</w:t>
      </w:r>
    </w:p>
    <w:p>
      <w:pPr>
        <w:spacing w:after="0" w:line="79" w:lineRule="exact"/>
        <w:rPr>
          <w:sz w:val="20"/>
          <w:szCs w:val="20"/>
          <w:color w:val="auto"/>
        </w:rPr>
      </w:pPr>
    </w:p>
    <w:p>
      <w:pPr>
        <w:ind w:right="20" w:firstLine="468"/>
        <w:spacing w:after="0" w:line="271" w:lineRule="auto"/>
        <w:rPr>
          <w:sz w:val="20"/>
          <w:szCs w:val="20"/>
          <w:color w:val="auto"/>
        </w:rPr>
      </w:pPr>
      <w:r>
        <w:rPr>
          <w:rFonts w:ascii="Arial" w:cs="Arial" w:eastAsia="Arial" w:hAnsi="Arial"/>
          <w:sz w:val="17"/>
          <w:szCs w:val="17"/>
          <w:color w:val="auto"/>
        </w:rPr>
        <w:t>The CARES Act and the PPP provide a mechanism for forgiveness of up to the full amount borrowed. Under the PPP, the Company may apply for forgiveness for all or a portion of the PPP Loan based on a formula that takes into account a number of factors, including the amount of loan proceeds used by the Company during the 24-week period after the loan origination for certain purposes, including payroll costs, interest on certain mortgage obligations, rent payments on certain leases, and certain qualified utility payments, provided that at least 60% of the loan amount has been used for eligible payroll costs; the employer maintaining or rehiring employees and maintaining salaries at certain levels; and other factors. Subject to the other requirements and limitations on loan forgiveness, only loan proceeds spent on payroll and other eligible costs will qualify for forgiveness. The Company intends to use the entire PPP Loan amount for qualifying expenses and to apply for forgiveness of the full amount, although there can be no assurance that the Company will obtain forgiveness of the PPP Loan in whole or in part.</w:t>
      </w:r>
    </w:p>
    <w:p>
      <w:pPr>
        <w:spacing w:after="0" w:line="70" w:lineRule="exact"/>
        <w:rPr>
          <w:sz w:val="20"/>
          <w:szCs w:val="20"/>
          <w:color w:val="auto"/>
        </w:rPr>
      </w:pPr>
    </w:p>
    <w:p>
      <w:pPr>
        <w:ind w:right="80" w:firstLine="468"/>
        <w:spacing w:after="0" w:line="269" w:lineRule="auto"/>
        <w:rPr>
          <w:sz w:val="20"/>
          <w:szCs w:val="20"/>
          <w:color w:val="auto"/>
        </w:rPr>
      </w:pPr>
      <w:r>
        <w:rPr>
          <w:rFonts w:ascii="Arial" w:cs="Arial" w:eastAsia="Arial" w:hAnsi="Arial"/>
          <w:sz w:val="17"/>
          <w:szCs w:val="17"/>
          <w:color w:val="auto"/>
        </w:rPr>
        <w:t>The Note may be prepaid in part or in full, at any time, without penalty. The Note provides for certain customary events of default, including (i) failing to make a payment when due under the Note, (ii) failure to do anything required by the Note or any other loan document, (iii) defaults of any other loan with the PPP Lender, (iv) failure to disclose any material fact or making a materially false or misleading representation to the PPP Lender or U.S. Small Business Administration (“SBA”), (v) default on any loan or agreement with another creditor, if the PPP Lender believes the default may materially affect the Company’s ability to pay the Note, (vi) failure to pay any taxes when due, (vii) becoming the subject of a proceeding under any bankruptcy or insolvency law, having a receiver or liquidator appointed for any part of the Company’s business or property, or making an assignment for the benefit of creditors, (viii) having any adverse change in financial condition or business operation that the PPP Lender believes may materially affect the Company’s ability to pay the Note, (ix) if the Company reorganizes, merges, consolidates, or otherwise changes ownership or business structure without the PPP Lender’s prior written consent, or (x) becoming the subject of a civil or criminal action that the PPP Lender believes may materially affect the Company’s ability to pay the Note. Upon the occurrence of an event of default, the PPP Lender has customary remedies and may, among other things, require immediate payment of all amounts owed under the Note, collect all amounts owing from the Company, and file suit and obtain judgment against the Company.</w:t>
      </w:r>
    </w:p>
    <w:p>
      <w:pPr>
        <w:spacing w:after="0" w:line="71"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As of June 30, 2020, in connection with the PPP Loan, the Company recorded $0.5 million in short-term debt and $0.5 million in long-term debt.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Common Stock</w:t>
      </w:r>
    </w:p>
    <w:p>
      <w:pPr>
        <w:spacing w:after="0" w:line="121" w:lineRule="exact"/>
        <w:rPr>
          <w:sz w:val="20"/>
          <w:szCs w:val="20"/>
          <w:color w:val="auto"/>
        </w:rPr>
      </w:pPr>
    </w:p>
    <w:p>
      <w:pPr>
        <w:ind w:right="20" w:firstLine="510"/>
        <w:spacing w:after="0" w:line="342" w:lineRule="auto"/>
        <w:rPr>
          <w:sz w:val="20"/>
          <w:szCs w:val="20"/>
          <w:color w:val="auto"/>
        </w:rPr>
      </w:pPr>
      <w:r>
        <w:rPr>
          <w:rFonts w:ascii="Arial" w:cs="Arial" w:eastAsia="Arial" w:hAnsi="Arial"/>
          <w:sz w:val="16"/>
          <w:szCs w:val="16"/>
          <w:color w:val="auto"/>
        </w:rPr>
        <w:t>The Company’s amended and restated certificate of incorporation authorizes the Company to issue 100,000,000 shares of $0.001 par value common stock. As of June 30, 2020 and December 31, 2019, there were 46,274,970 and 44,413,372 shares of common stock outstanding,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 Purchase Warrants</w:t>
      </w:r>
    </w:p>
    <w:p>
      <w:pPr>
        <w:spacing w:after="0" w:line="121"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In September 2016, in connection with a loan agreement, the Company issued warrants to purchase up to 29,796 shares of common stock at a price per share of $10.74. The warrants expire in September 2026, or earlier upon the occurrence of specified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mergers or acquisitions of the Company, and are immediately exercisable</w:t>
      </w:r>
      <w:r>
        <w:rPr>
          <w:rFonts w:ascii="Arial" w:cs="Arial" w:eastAsia="Arial" w:hAnsi="Arial"/>
          <w:sz w:val="18"/>
          <w:szCs w:val="18"/>
          <w:color w:val="1F497D"/>
        </w:rPr>
        <w:t>.</w:t>
      </w:r>
      <w:r>
        <w:rPr>
          <w:rFonts w:ascii="Arial" w:cs="Arial" w:eastAsia="Arial" w:hAnsi="Arial"/>
          <w:sz w:val="18"/>
          <w:szCs w:val="18"/>
          <w:color w:val="auto"/>
        </w:rPr>
        <w:t xml:space="preserve"> The warrants were recorded in equity and had a weighted average remaining life of 6.25 years as of June 30,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Share-Based Compensation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Share-based compensation is accounted for in accordance with the provisions of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120" w:firstLine="510"/>
        <w:spacing w:after="0" w:line="311" w:lineRule="auto"/>
        <w:rPr>
          <w:sz w:val="20"/>
          <w:szCs w:val="20"/>
          <w:color w:val="auto"/>
        </w:rPr>
      </w:pPr>
      <w:r>
        <w:rPr>
          <w:rFonts w:ascii="Arial" w:cs="Arial" w:eastAsia="Arial" w:hAnsi="Arial"/>
          <w:sz w:val="16"/>
          <w:szCs w:val="16"/>
          <w:color w:val="auto"/>
        </w:rPr>
        <w:t>The Company has granted stock option awards to employees, directors and consultants from its 2011 Stock Incentive Plan (the “2011 Plan”) and its 2016 Equity Incentive Plan (the “2016 Plan”). The estimated fair value of options granted is determined as of the date of grant using the Black-Scholes option pricing model. The resulting fair value is recognized ratably over the requisite service period, which is generally the vesting period of the awards.</w:t>
      </w:r>
    </w:p>
    <w:p>
      <w:pPr>
        <w:spacing w:after="0" w:line="41"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Share-based compensation expense for options granted under the 2011 Plan and the 2016 Plan is reflected in the statements of operations as follows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80" w:type="dxa"/>
            <w:vAlign w:val="bottom"/>
            <w:gridSpan w:val="6"/>
          </w:tcPr>
          <w:p>
            <w:pPr>
              <w:jc w:val="right"/>
              <w:ind w:right="410"/>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7"/>
                <w:szCs w:val="17"/>
                <w:color w:val="auto"/>
              </w:rPr>
            </w:pPr>
          </w:p>
        </w:tc>
        <w:tc>
          <w:tcPr>
            <w:tcW w:w="2080" w:type="dxa"/>
            <w:vAlign w:val="bottom"/>
            <w:gridSpan w:val="5"/>
          </w:tcPr>
          <w:p>
            <w:pPr>
              <w:jc w:val="center"/>
              <w:ind w:left="315"/>
              <w:spacing w:after="0"/>
              <w:rPr>
                <w:sz w:val="20"/>
                <w:szCs w:val="20"/>
                <w:color w:val="auto"/>
              </w:rPr>
            </w:pPr>
            <w:r>
              <w:rPr>
                <w:rFonts w:ascii="Arial" w:cs="Arial" w:eastAsia="Arial" w:hAnsi="Arial"/>
                <w:sz w:val="16"/>
                <w:szCs w:val="16"/>
                <w:b w:val="1"/>
                <w:bCs w:val="1"/>
                <w:color w:val="auto"/>
                <w:w w:val="92"/>
              </w:rPr>
              <w:t>Six Months Ended</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6"/>
                <w:szCs w:val="16"/>
                <w:b w:val="1"/>
                <w:bCs w:val="1"/>
                <w:color w:val="auto"/>
              </w:rPr>
              <w:t>June 30,</w:t>
            </w:r>
          </w:p>
        </w:tc>
        <w:tc>
          <w:tcPr>
            <w:tcW w:w="3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center"/>
              <w:ind w:right="430"/>
              <w:spacing w:after="0"/>
              <w:rPr>
                <w:sz w:val="20"/>
                <w:szCs w:val="20"/>
                <w:color w:val="auto"/>
              </w:rPr>
            </w:pPr>
            <w:r>
              <w:rPr>
                <w:rFonts w:ascii="Arial" w:cs="Arial" w:eastAsia="Arial" w:hAnsi="Arial"/>
                <w:sz w:val="16"/>
                <w:szCs w:val="16"/>
                <w:b w:val="1"/>
                <w:bCs w:val="1"/>
                <w:color w:val="auto"/>
                <w:w w:val="90"/>
              </w:rPr>
              <w:t>June 30,</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310"/>
              <w:spacing w:after="0"/>
              <w:rPr>
                <w:sz w:val="20"/>
                <w:szCs w:val="20"/>
                <w:color w:val="auto"/>
              </w:rPr>
            </w:pPr>
            <w:r>
              <w:rPr>
                <w:rFonts w:ascii="Arial" w:cs="Arial" w:eastAsia="Arial" w:hAnsi="Arial"/>
                <w:sz w:val="16"/>
                <w:szCs w:val="16"/>
                <w:b w:val="1"/>
                <w:bCs w:val="1"/>
                <w:color w:val="auto"/>
              </w:rPr>
              <w:t>2019</w:t>
            </w:r>
          </w:p>
        </w:tc>
        <w:tc>
          <w:tcPr>
            <w:tcW w:w="400" w:type="dxa"/>
            <w:vAlign w:val="bottom"/>
          </w:tcPr>
          <w:p>
            <w:pPr>
              <w:spacing w:after="0"/>
              <w:rPr>
                <w:sz w:val="18"/>
                <w:szCs w:val="18"/>
                <w:color w:val="auto"/>
              </w:rPr>
            </w:pPr>
          </w:p>
        </w:tc>
        <w:tc>
          <w:tcPr>
            <w:tcW w:w="940" w:type="dxa"/>
            <w:vAlign w:val="bottom"/>
            <w:gridSpan w:val="2"/>
          </w:tcPr>
          <w:p>
            <w:pPr>
              <w:jc w:val="right"/>
              <w:ind w:right="130"/>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8"/>
                <w:szCs w:val="18"/>
                <w:color w:val="auto"/>
              </w:rPr>
            </w:pPr>
          </w:p>
        </w:tc>
        <w:tc>
          <w:tcPr>
            <w:tcW w:w="1360" w:type="dxa"/>
            <w:vAlign w:val="bottom"/>
            <w:gridSpan w:val="3"/>
          </w:tcPr>
          <w:p>
            <w:pPr>
              <w:jc w:val="right"/>
              <w:ind w:right="33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4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595"/>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40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ind w:right="475"/>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592</w:t>
            </w:r>
          </w:p>
        </w:tc>
        <w:tc>
          <w:tcPr>
            <w:tcW w:w="22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823</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42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848</w:t>
            </w:r>
          </w:p>
        </w:tc>
        <w:tc>
          <w:tcPr>
            <w:tcW w:w="40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792</w:t>
            </w:r>
          </w:p>
        </w:tc>
        <w:tc>
          <w:tcPr>
            <w:tcW w:w="2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1,623</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595"/>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665</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1,209</w:t>
            </w:r>
          </w:p>
        </w:tc>
        <w:tc>
          <w:tcPr>
            <w:tcW w:w="40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475"/>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7"/>
              </w:rPr>
              <w:t>1,384</w:t>
            </w:r>
          </w:p>
        </w:tc>
        <w:tc>
          <w:tcPr>
            <w:tcW w:w="2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2,446</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gridSpan w:val="2"/>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9280" w:type="dxa"/>
            <w:vAlign w:val="bottom"/>
            <w:gridSpan w:val="10"/>
          </w:tcPr>
          <w:p>
            <w:pPr>
              <w:ind w:left="520"/>
              <w:spacing w:after="0"/>
              <w:rPr>
                <w:sz w:val="20"/>
                <w:szCs w:val="20"/>
                <w:color w:val="auto"/>
              </w:rPr>
            </w:pPr>
            <w:r>
              <w:rPr>
                <w:rFonts w:ascii="Arial" w:cs="Arial" w:eastAsia="Arial" w:hAnsi="Arial"/>
                <w:sz w:val="18"/>
                <w:szCs w:val="18"/>
                <w:color w:val="auto"/>
                <w:w w:val="98"/>
              </w:rPr>
              <w:t>The following table summarizes the activity related to stock options during the six months ended June 30, 2020:</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4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ind w:left="220"/>
              <w:spacing w:after="0"/>
              <w:rPr>
                <w:sz w:val="20"/>
                <w:szCs w:val="20"/>
                <w:color w:val="auto"/>
              </w:rPr>
            </w:pPr>
            <w:r>
              <w:rPr>
                <w:rFonts w:ascii="Arial" w:cs="Arial" w:eastAsia="Arial" w:hAnsi="Arial"/>
                <w:sz w:val="18"/>
                <w:szCs w:val="18"/>
                <w:b w:val="1"/>
                <w:bCs w:val="1"/>
                <w:color w:val="auto"/>
                <w:w w:val="86"/>
              </w:rPr>
              <w:t>Weighted</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3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gridSpan w:val="3"/>
          </w:tcPr>
          <w:p>
            <w:pPr>
              <w:jc w:val="right"/>
              <w:ind w:right="275"/>
              <w:spacing w:after="0"/>
              <w:rPr>
                <w:sz w:val="20"/>
                <w:szCs w:val="20"/>
                <w:color w:val="auto"/>
              </w:rPr>
            </w:pPr>
            <w:r>
              <w:rPr>
                <w:rFonts w:ascii="Arial" w:cs="Arial" w:eastAsia="Arial" w:hAnsi="Arial"/>
                <w:sz w:val="18"/>
                <w:szCs w:val="18"/>
                <w:b w:val="1"/>
                <w:bCs w:val="1"/>
                <w:color w:val="auto"/>
              </w:rPr>
              <w:t>Number of</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gridSpan w:val="2"/>
          </w:tcPr>
          <w:p>
            <w:pPr>
              <w:jc w:val="right"/>
              <w:ind w:right="435"/>
              <w:spacing w:after="0"/>
              <w:rPr>
                <w:sz w:val="20"/>
                <w:szCs w:val="20"/>
                <w:color w:val="auto"/>
              </w:rPr>
            </w:pPr>
            <w:r>
              <w:rPr>
                <w:rFonts w:ascii="Arial" w:cs="Arial" w:eastAsia="Arial" w:hAnsi="Arial"/>
                <w:sz w:val="18"/>
                <w:szCs w:val="18"/>
                <w:b w:val="1"/>
                <w:bCs w:val="1"/>
                <w:color w:val="auto"/>
                <w:w w:val="86"/>
              </w:rPr>
              <w:t>Shares</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87"/>
              </w:rPr>
              <w:t>Exercise Price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 at December 31, 2019</w:t>
            </w:r>
          </w:p>
        </w:tc>
        <w:tc>
          <w:tcPr>
            <w:tcW w:w="14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4,104,450</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1,100,250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Exercised</w:t>
            </w:r>
          </w:p>
        </w:tc>
        <w:tc>
          <w:tcPr>
            <w:tcW w:w="14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jc w:val="right"/>
              <w:ind w:right="130"/>
              <w:spacing w:after="0"/>
              <w:rPr>
                <w:sz w:val="20"/>
                <w:szCs w:val="20"/>
                <w:color w:val="auto"/>
              </w:rPr>
            </w:pPr>
            <w:r>
              <w:rPr>
                <w:rFonts w:ascii="Arial" w:cs="Arial" w:eastAsia="Arial" w:hAnsi="Arial"/>
                <w:sz w:val="18"/>
                <w:szCs w:val="18"/>
                <w:color w:val="auto"/>
              </w:rPr>
              <w:t>(58,333)</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gridSpan w:val="3"/>
          </w:tcPr>
          <w:p>
            <w:pPr>
              <w:jc w:val="right"/>
              <w:ind w:right="130"/>
              <w:spacing w:after="0"/>
              <w:rPr>
                <w:sz w:val="20"/>
                <w:szCs w:val="20"/>
                <w:color w:val="auto"/>
              </w:rPr>
            </w:pPr>
            <w:r>
              <w:rPr>
                <w:rFonts w:ascii="Arial" w:cs="Arial" w:eastAsia="Arial" w:hAnsi="Arial"/>
                <w:sz w:val="18"/>
                <w:szCs w:val="18"/>
                <w:color w:val="auto"/>
              </w:rPr>
              <w:t>(111,666)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 at June 30, 2020</w:t>
            </w:r>
          </w:p>
        </w:tc>
        <w:tc>
          <w:tcPr>
            <w:tcW w:w="142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5,034,701</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4.13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exercisable at December 31, 2019</w:t>
            </w:r>
          </w:p>
        </w:tc>
        <w:tc>
          <w:tcPr>
            <w:tcW w:w="142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2,452,764</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5.44</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exercisable at June 30, 2020</w:t>
            </w:r>
          </w:p>
        </w:tc>
        <w:tc>
          <w:tcPr>
            <w:tcW w:w="142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2,875,340</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5.02</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32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117"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As of June 30, 2020, the Company had $4.8 million of unrecognized compensation expense related to unvested stock options, which is expected to be recognized over a weighted average period of 2.4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ind w:right="40" w:firstLine="510"/>
        <w:spacing w:after="0" w:line="342" w:lineRule="auto"/>
        <w:rPr>
          <w:sz w:val="20"/>
          <w:szCs w:val="20"/>
          <w:color w:val="auto"/>
        </w:rPr>
      </w:pPr>
      <w:r>
        <w:rPr>
          <w:rFonts w:ascii="Arial" w:cs="Arial" w:eastAsia="Arial" w:hAnsi="Arial"/>
          <w:sz w:val="16"/>
          <w:szCs w:val="16"/>
          <w:color w:val="auto"/>
        </w:rPr>
        <w:t>The Company has granted restricted stock units (“RSUs”) to employees from the 2016 Plan. The shares underlying the RSU awards have vesting terms of one to four years from the date of grant subject to the employees’ continuous service and subject to accelerated vesting in specified circumstances.</w:t>
      </w:r>
    </w:p>
    <w:p>
      <w:pPr>
        <w:spacing w:after="0" w:line="16"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The fair value of the RSUs granted is measured based on the market value of the Company’s common stock on the date of grant and is recognized ratably over the requisite service period, which is generally the vesting period of the awards.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related to RSUs during the six months ended June 30, 2020:</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Weighted Average</w:t>
            </w:r>
          </w:p>
        </w:tc>
      </w:tr>
      <w:tr>
        <w:trPr>
          <w:trHeight w:val="229"/>
        </w:trPr>
        <w:tc>
          <w:tcPr>
            <w:tcW w:w="7720" w:type="dxa"/>
            <w:vAlign w:val="bottom"/>
          </w:tcPr>
          <w:p>
            <w:pPr>
              <w:spacing w:after="0"/>
              <w:rPr>
                <w:sz w:val="19"/>
                <w:szCs w:val="19"/>
                <w:color w:val="auto"/>
              </w:rPr>
            </w:pPr>
          </w:p>
        </w:tc>
        <w:tc>
          <w:tcPr>
            <w:tcW w:w="18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Number of</w:t>
            </w:r>
          </w:p>
        </w:tc>
        <w:tc>
          <w:tcPr>
            <w:tcW w:w="220" w:type="dxa"/>
            <w:vAlign w:val="bottom"/>
          </w:tcPr>
          <w:p>
            <w:pPr>
              <w:spacing w:after="0"/>
              <w:rPr>
                <w:sz w:val="19"/>
                <w:szCs w:val="19"/>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7720" w:type="dxa"/>
            <w:vAlign w:val="bottom"/>
          </w:tcPr>
          <w:p>
            <w:pPr>
              <w:spacing w:after="0"/>
              <w:rPr>
                <w:sz w:val="20"/>
                <w:szCs w:val="20"/>
                <w:color w:val="auto"/>
              </w:rPr>
            </w:pPr>
          </w:p>
        </w:tc>
        <w:tc>
          <w:tcPr>
            <w:tcW w:w="184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Fair Value</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RSUs outstanding at December 31, 2019</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1,269,300</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0.87</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720" w:type="dxa"/>
            <w:vAlign w:val="bottom"/>
          </w:tcPr>
          <w:p>
            <w:pPr>
              <w:ind w:left="14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486,000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Vested</w:t>
            </w:r>
          </w:p>
        </w:tc>
        <w:tc>
          <w:tcPr>
            <w:tcW w:w="1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(512,550)</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(6,700)</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0.91</w:t>
            </w:r>
          </w:p>
        </w:tc>
        <w:tc>
          <w:tcPr>
            <w:tcW w:w="120" w:type="dxa"/>
            <w:vAlign w:val="bottom"/>
          </w:tcPr>
          <w:p>
            <w:pPr>
              <w:spacing w:after="0"/>
              <w:rPr>
                <w:sz w:val="19"/>
                <w:szCs w:val="19"/>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RSUs outstanding at June 30, 2020</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1,236,050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 w:firstLine="562"/>
        <w:spacing w:after="0" w:line="259" w:lineRule="auto"/>
        <w:rPr>
          <w:sz w:val="20"/>
          <w:szCs w:val="20"/>
          <w:color w:val="auto"/>
        </w:rPr>
      </w:pPr>
      <w:r>
        <w:rPr>
          <w:rFonts w:ascii="Arial" w:cs="Arial" w:eastAsia="Arial" w:hAnsi="Arial"/>
          <w:sz w:val="18"/>
          <w:szCs w:val="18"/>
          <w:color w:val="auto"/>
        </w:rPr>
        <w:t>The Company recorded $0.2 million and $45,000 of share-based compensation expense for the three months ended June 30, 2020 and 2019, respectively, and $0.5 million and $45,000 for the six months ended June 30, 2020 and 2019, respectively, for the RSUs. As of June 30, 2020, the Company had $1.3 million of unrecognized compensation expense related to the RSUs, which is expected to be recognized over a weighted average period of 2.8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17"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The 2016 Employee Stock Purchase Plan (the “2016 ESPP”) became effective on June 1, 2016. The 2016 ESPP is considered a compensatory plan and the fair value of the discount and the look-back period are estimated using the Black-Scholes option pricing model and expense is recognized over the six-month withholding period prior to the purchase date. The Company recorded $3,000 of share-based compensation expense for each of the three months ended June 30, 2020 and 2019, and $6,000 and $13,000 for the six months ended June 30, 2020 and 2019, respectively, in the statements of operations for the estimated number of shares to be purchased on the next purchase date following the conclusion of the applicable reporting period. During the six months ended June 30, 2020, the Company issued 35,359 shares of common stock purchased under the 2016 ESPP.</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Commitment Summary</w:t>
      </w:r>
    </w:p>
    <w:p>
      <w:pPr>
        <w:spacing w:after="0" w:line="117" w:lineRule="exact"/>
        <w:rPr>
          <w:sz w:val="20"/>
          <w:szCs w:val="20"/>
          <w:color w:val="auto"/>
        </w:rPr>
      </w:pPr>
    </w:p>
    <w:p>
      <w:pPr>
        <w:ind w:right="120" w:firstLine="510"/>
        <w:spacing w:after="0" w:line="301" w:lineRule="auto"/>
        <w:rPr>
          <w:sz w:val="20"/>
          <w:szCs w:val="20"/>
          <w:color w:val="auto"/>
        </w:rPr>
      </w:pPr>
      <w:r>
        <w:rPr>
          <w:rFonts w:ascii="Arial" w:cs="Arial" w:eastAsia="Arial" w:hAnsi="Arial"/>
          <w:sz w:val="16"/>
          <w:szCs w:val="16"/>
          <w:color w:val="auto"/>
        </w:rPr>
        <w:t>In November 2016, the Company signed an office lease agreement to lease approximately 20,000 square feet of office space in Alpharetta, Georgia for its corporate headquarters. The lease agreement is for a 6.5 year term with a renewal option for one additional five-year term. Rental payments are $35,145 per month subject to an increase of 3% per year. Rent expense under this lease is recognized on a straight-line basis over the term of the lease. In addition, the lease agreement requires payment of the pro-rata share of the annual operating expenses associated with the premises.</w:t>
      </w:r>
    </w:p>
    <w:p>
      <w:pPr>
        <w:spacing w:after="0" w:line="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operating leases included on the balance sheet are as follows (in thousands):</w:t>
      </w:r>
    </w:p>
    <w:p>
      <w:pPr>
        <w:spacing w:after="0" w:line="12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right-of-use asset</w:t>
            </w:r>
          </w:p>
        </w:tc>
        <w:tc>
          <w:tcPr>
            <w:tcW w:w="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w:t>
            </w:r>
          </w:p>
        </w:tc>
        <w:tc>
          <w:tcPr>
            <w:tcW w:w="5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Liabilities</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tcPr>
          <w:p>
            <w:pPr>
              <w:ind w:left="120"/>
              <w:spacing w:after="0"/>
              <w:rPr>
                <w:sz w:val="20"/>
                <w:szCs w:val="20"/>
                <w:color w:val="auto"/>
              </w:rPr>
            </w:pPr>
            <w:r>
              <w:rPr>
                <w:rFonts w:ascii="Arial" w:cs="Arial" w:eastAsia="Arial" w:hAnsi="Arial"/>
                <w:sz w:val="18"/>
                <w:szCs w:val="18"/>
                <w:color w:val="auto"/>
              </w:rPr>
              <w:t>Current portion of operating lease liabilities</w:t>
            </w:r>
          </w:p>
        </w:tc>
        <w:tc>
          <w:tcPr>
            <w:tcW w:w="300" w:type="dxa"/>
            <w:vAlign w:val="bottom"/>
            <w:gridSpan w:val="2"/>
          </w:tcPr>
          <w:p>
            <w:pPr>
              <w:jc w:val="right"/>
              <w:ind w:right="127"/>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366</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Operating lease liabilities</w:t>
            </w: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762</w:t>
            </w:r>
          </w:p>
        </w:tc>
        <w:tc>
          <w:tcPr>
            <w:tcW w:w="5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Pr>
          <w:p>
            <w:pPr>
              <w:ind w:left="240"/>
              <w:spacing w:after="0"/>
              <w:rPr>
                <w:sz w:val="20"/>
                <w:szCs w:val="20"/>
                <w:color w:val="auto"/>
              </w:rPr>
            </w:pPr>
            <w:r>
              <w:rPr>
                <w:rFonts w:ascii="Arial" w:cs="Arial" w:eastAsia="Arial" w:hAnsi="Arial"/>
                <w:sz w:val="18"/>
                <w:szCs w:val="18"/>
                <w:color w:val="auto"/>
              </w:rPr>
              <w:t>Total operating lease liabilities</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20" w:firstLine="562"/>
        <w:spacing w:after="0" w:line="277" w:lineRule="auto"/>
        <w:rPr>
          <w:sz w:val="20"/>
          <w:szCs w:val="20"/>
          <w:color w:val="auto"/>
        </w:rPr>
      </w:pPr>
      <w:r>
        <w:rPr>
          <w:rFonts w:ascii="Arial" w:cs="Arial" w:eastAsia="Arial" w:hAnsi="Arial"/>
          <w:sz w:val="18"/>
          <w:szCs w:val="18"/>
          <w:color w:val="auto"/>
        </w:rPr>
        <w:t>The Company recognizes a right-of-use asset for the right to use the underlying asset for the lease term, and a lease liability, which represents the present value of the Company’s obligation to make payments over the lease term. The renewal option is not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117"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included in the calculation of the right-of-use asset and the lease liabilities as the Company has not yet determined if the Alpharetta, Georgia lease will be renewed. The present value of the lease payments is calculated using an incremental borrowing rate as the Company’s leases do not provide an implicit interest rate. At June 30, 2020, the Company’s weighted average discount rate was 11.0% and the weighted average lease term was 3.25 years.</w:t>
      </w:r>
    </w:p>
    <w:p>
      <w:pPr>
        <w:spacing w:after="0" w:line="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Minimum lease payments were as follows at June 30, 2020 (in thousands):</w:t>
      </w:r>
    </w:p>
    <w:p>
      <w:pPr>
        <w:spacing w:after="0" w:line="239" w:lineRule="exact"/>
        <w:rPr>
          <w:sz w:val="20"/>
          <w:szCs w:val="20"/>
          <w:color w:val="auto"/>
        </w:rPr>
      </w:pPr>
    </w:p>
    <w:tbl>
      <w:tblPr>
        <w:tblLayout w:type="fixed"/>
        <w:tblInd w:w="2260" w:type="dxa"/>
        <w:tblCellMar>
          <w:top w:w="0" w:type="dxa"/>
          <w:left w:w="0" w:type="dxa"/>
          <w:bottom w:w="0" w:type="dxa"/>
          <w:right w:w="0" w:type="dxa"/>
        </w:tblCellMar>
      </w:tblPr>
      <w:tr>
        <w:trPr>
          <w:trHeight w:val="229"/>
        </w:trPr>
        <w:tc>
          <w:tcPr>
            <w:tcW w:w="55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Year Ending December 31,</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5500" w:type="dxa"/>
            <w:vAlign w:val="bottom"/>
          </w:tcPr>
          <w:p>
            <w:pPr>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191</w:t>
            </w:r>
          </w:p>
        </w:tc>
        <w:tc>
          <w:tcPr>
            <w:tcW w:w="80" w:type="dxa"/>
            <w:vAlign w:val="bottom"/>
          </w:tcPr>
          <w:p>
            <w:pPr>
              <w:spacing w:after="0"/>
              <w:rPr>
                <w:sz w:val="19"/>
                <w:szCs w:val="19"/>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w:t>
            </w:r>
          </w:p>
        </w:tc>
        <w:tc>
          <w:tcPr>
            <w:tcW w:w="80" w:type="dxa"/>
            <w:vAlign w:val="bottom"/>
            <w:shd w:val="clear" w:color="auto" w:fill="CFF0FC"/>
          </w:tcPr>
          <w:p>
            <w:pPr>
              <w:spacing w:after="0"/>
              <w:rPr>
                <w:sz w:val="19"/>
                <w:szCs w:val="19"/>
                <w:color w:val="auto"/>
              </w:rPr>
            </w:pPr>
          </w:p>
        </w:tc>
      </w:tr>
      <w:tr>
        <w:trPr>
          <w:trHeight w:val="229"/>
        </w:trPr>
        <w:tc>
          <w:tcPr>
            <w:tcW w:w="550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407</w:t>
            </w:r>
          </w:p>
        </w:tc>
        <w:tc>
          <w:tcPr>
            <w:tcW w:w="80" w:type="dxa"/>
            <w:vAlign w:val="bottom"/>
          </w:tcPr>
          <w:p>
            <w:pPr>
              <w:spacing w:after="0"/>
              <w:rPr>
                <w:sz w:val="19"/>
                <w:szCs w:val="19"/>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w:t>
            </w:r>
          </w:p>
        </w:tc>
        <w:tc>
          <w:tcPr>
            <w:tcW w:w="80" w:type="dxa"/>
            <w:vAlign w:val="bottom"/>
            <w:shd w:val="clear" w:color="auto" w:fill="CFF0FC"/>
          </w:tcPr>
          <w:p>
            <w:pPr>
              <w:spacing w:after="0"/>
              <w:rPr>
                <w:sz w:val="19"/>
                <w:szCs w:val="19"/>
                <w:color w:val="auto"/>
              </w:rPr>
            </w:pPr>
          </w:p>
        </w:tc>
      </w:tr>
      <w:tr>
        <w:trPr>
          <w:trHeight w:val="223"/>
        </w:trPr>
        <w:tc>
          <w:tcPr>
            <w:tcW w:w="5500" w:type="dxa"/>
            <w:vAlign w:val="bottom"/>
          </w:tcPr>
          <w:p>
            <w:pPr>
              <w:ind w:left="240"/>
              <w:spacing w:after="0"/>
              <w:rPr>
                <w:sz w:val="20"/>
                <w:szCs w:val="20"/>
                <w:color w:val="auto"/>
              </w:rPr>
            </w:pPr>
            <w:r>
              <w:rPr>
                <w:rFonts w:ascii="Arial" w:cs="Arial" w:eastAsia="Arial" w:hAnsi="Arial"/>
                <w:sz w:val="18"/>
                <w:szCs w:val="18"/>
                <w:color w:val="auto"/>
              </w:rPr>
              <w:t>Total minimum lease payments</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1,306</w:t>
            </w:r>
          </w:p>
        </w:tc>
        <w:tc>
          <w:tcPr>
            <w:tcW w:w="80" w:type="dxa"/>
            <w:vAlign w:val="bottom"/>
          </w:tcPr>
          <w:p>
            <w:pPr>
              <w:spacing w:after="0"/>
              <w:rPr>
                <w:sz w:val="19"/>
                <w:szCs w:val="19"/>
                <w:color w:val="auto"/>
              </w:rPr>
            </w:pPr>
          </w:p>
        </w:tc>
      </w:tr>
      <w:tr>
        <w:trPr>
          <w:trHeight w:val="230"/>
        </w:trPr>
        <w:tc>
          <w:tcPr>
            <w:tcW w:w="5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imputed interest</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(178)</w:t>
            </w:r>
          </w:p>
        </w:tc>
      </w:tr>
      <w:tr>
        <w:trPr>
          <w:trHeight w:val="223"/>
        </w:trPr>
        <w:tc>
          <w:tcPr>
            <w:tcW w:w="5500" w:type="dxa"/>
            <w:vAlign w:val="bottom"/>
          </w:tcPr>
          <w:p>
            <w:pPr>
              <w:ind w:left="360"/>
              <w:spacing w:after="0"/>
              <w:rPr>
                <w:sz w:val="20"/>
                <w:szCs w:val="20"/>
                <w:color w:val="auto"/>
              </w:rPr>
            </w:pPr>
            <w:r>
              <w:rPr>
                <w:rFonts w:ascii="Arial" w:cs="Arial" w:eastAsia="Arial" w:hAnsi="Arial"/>
                <w:sz w:val="18"/>
                <w:szCs w:val="18"/>
                <w:color w:val="auto"/>
              </w:rPr>
              <w:t>Total operating lease liabilities</w:t>
            </w: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6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1,128</w:t>
            </w:r>
          </w:p>
        </w:tc>
        <w:tc>
          <w:tcPr>
            <w:tcW w:w="8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4"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Equipment leases with an initial term of 12 months or less are not recorded with operating lease liabilities. The Company recognizes expense for these leases on a straight-line basis over the lease term. The equipment leases were deemed to be immaterial.</w:t>
      </w:r>
    </w:p>
    <w:p>
      <w:pPr>
        <w:spacing w:after="0" w:line="62"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Operating lease cost was $62,000 and $100,000 for the three months ended June 30, 2020 and 2019, respectively, and $123,000 and $200,000 for the six months ended June 30, 2020 and 2019, respectively. Variable lease cost was $24,000 and $44,000 for the three months ended June 30, 2020 and 2019, respectively, and $47,000 and $86,000 for the six months ended June 30, 2020 and 2019, respectively. Short-term lease cost was $4,000 for each of the three months ended June 30, 2020 and 2019, and $8,000 and $9,000 for the six months ended June 30, 2020 and 2019, respectively. Cash payments included in operating activities on the statement of cash flows for operating lease liabilities were $187,000 and $257,000 for the six months ended June 30, 2020 and 2019,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Service Providers</w:t>
      </w:r>
    </w:p>
    <w:p>
      <w:pPr>
        <w:spacing w:after="0" w:line="117" w:lineRule="exact"/>
        <w:rPr>
          <w:sz w:val="20"/>
          <w:szCs w:val="20"/>
          <w:color w:val="auto"/>
        </w:rPr>
      </w:pPr>
    </w:p>
    <w:p>
      <w:pPr>
        <w:ind w:right="400" w:firstLine="510"/>
        <w:spacing w:after="0" w:line="342" w:lineRule="auto"/>
        <w:rPr>
          <w:sz w:val="20"/>
          <w:szCs w:val="20"/>
          <w:color w:val="auto"/>
        </w:rPr>
      </w:pPr>
      <w:r>
        <w:rPr>
          <w:rFonts w:ascii="Arial" w:cs="Arial" w:eastAsia="Arial" w:hAnsi="Arial"/>
          <w:sz w:val="16"/>
          <w:szCs w:val="16"/>
          <w:color w:val="auto"/>
        </w:rPr>
        <w:t>In the course of the Company’s normal business operations, it has agreements with contract service providers to assist in the performance of its research and development, clinical research and manufacturing. Substantially all of these contracts are on an as needed basis.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License and Other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Bausch License Agreement Amendment</w:t>
      </w:r>
    </w:p>
    <w:p>
      <w:pPr>
        <w:spacing w:after="0" w:line="117" w:lineRule="exact"/>
        <w:rPr>
          <w:sz w:val="20"/>
          <w:szCs w:val="20"/>
          <w:color w:val="auto"/>
        </w:rPr>
      </w:pPr>
    </w:p>
    <w:p>
      <w:pPr>
        <w:ind w:right="140" w:firstLine="468"/>
        <w:spacing w:after="0" w:line="269" w:lineRule="auto"/>
        <w:rPr>
          <w:sz w:val="20"/>
          <w:szCs w:val="20"/>
          <w:color w:val="auto"/>
        </w:rPr>
      </w:pPr>
      <w:r>
        <w:rPr>
          <w:rFonts w:ascii="Arial" w:cs="Arial" w:eastAsia="Arial" w:hAnsi="Arial"/>
          <w:sz w:val="17"/>
          <w:szCs w:val="17"/>
          <w:color w:val="auto"/>
        </w:rPr>
        <w:t>On April 27, 2020, the Company and Bausch Health Ireland Limited (“Bausch”) entered into an amendment (the “Amendment”) to the Company’s License Agreement with Bausch dated October 22, 2019 (as amended, the “Bausch License Agreement”). Pursuant to the Bausch License Agreement, the Company has granted an exclusive license to Bausch to develop, manufacture, distribute, promote, market and commercialize XIPERE, the Company’s proprietary suspension of the corticosteroid triamcinolone acetonide formulated for administration to the back of the eye using the Company’s proprietary microinjector (the “Device”), as well as specified other steroids, corticosteroids and NSAIDs in combination with the Device (“Other Products”; and together with XIPERE, “Products”), subject to specified exceptions, in the United States and Canada (the “Original Territory”) for the treatment of ophthalmology indications, including non-infectious uveitis. Pursuant to the Amendment, the Company has granted Bausch an exclusive option (the “Option”) to develop, manufacture, distribute, promote, market and commercialize XIPERE in one or more of the following regions: (i) the European Union, including the United Kingdom, (ii) Australia and New Zealand and (iii) South America and Mexico (such regions, the “Additional Regions” and together with the Original Territory, the “Territory”). The Option may be exercised any time before the earlier of regulatory approval of XIPERE in the United States and August 31, 2021.</w:t>
      </w:r>
    </w:p>
    <w:p>
      <w:pPr>
        <w:spacing w:after="0" w:line="74" w:lineRule="exact"/>
        <w:rPr>
          <w:sz w:val="20"/>
          <w:szCs w:val="20"/>
          <w:color w:val="auto"/>
        </w:rPr>
      </w:pPr>
    </w:p>
    <w:p>
      <w:pPr>
        <w:ind w:firstLine="468"/>
        <w:spacing w:after="0" w:line="288" w:lineRule="auto"/>
        <w:rPr>
          <w:sz w:val="20"/>
          <w:szCs w:val="20"/>
          <w:color w:val="auto"/>
        </w:rPr>
      </w:pPr>
      <w:r>
        <w:rPr>
          <w:rFonts w:ascii="Arial" w:cs="Arial" w:eastAsia="Arial" w:hAnsi="Arial"/>
          <w:sz w:val="16"/>
          <w:szCs w:val="16"/>
          <w:color w:val="auto"/>
        </w:rPr>
        <w:t>Pursuant to the Bausch License Agreement, Bausch paid the Company an upfront payment of $5.0 million (the “Upfront Payment”) in October 2019, which is subject to a refund if the Bausch License Agreement is terminated in specified circumstances. In addition, Bausch has agreed to make additional payments of up to $15.0 million upon the achievement of specified pre-launch development and regulatory milestones (the “Pre-Launch Milestone Payments”) and up to an aggregate of $57.3 million in additional milestone payments upon the achievement of (i) specified regulatory approvals for specified additional indications of XIPERE (including certain regulatory and commercial milestones if Bausch exercises its Option in the European Union) and (ii) specified levels of annual net sales (as defined in the Bausch License Agreement). Further, during the applicable royalty term, the Company will also be entitled to receive tiered royalties at increasing percentages, from the high-teens to twenty percent, based on XIPERE achieving certain annual net sales thresholds in the Original Territory, as well as a lower royalty on annual net sales of Other Products in the Original Territory and on annual net sales of XIPERE in the Additional Regions if Bausch exercises its Option, in each case subject to reductions in specified circumstances; provided that the Company will not receive any royalties on the first $45.0 million of cumulative net sales of all products in the Original Territory.</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117" w:lineRule="exact"/>
        <w:rPr>
          <w:sz w:val="20"/>
          <w:szCs w:val="20"/>
          <w:color w:val="auto"/>
        </w:rPr>
      </w:pPr>
    </w:p>
    <w:p>
      <w:pPr>
        <w:ind w:right="60" w:firstLine="468"/>
        <w:spacing w:after="0" w:line="284" w:lineRule="auto"/>
        <w:rPr>
          <w:sz w:val="20"/>
          <w:szCs w:val="20"/>
          <w:color w:val="auto"/>
        </w:rPr>
      </w:pPr>
      <w:r>
        <w:rPr>
          <w:rFonts w:ascii="Arial" w:cs="Arial" w:eastAsia="Arial" w:hAnsi="Arial"/>
          <w:sz w:val="16"/>
          <w:szCs w:val="16"/>
          <w:color w:val="auto"/>
        </w:rPr>
        <w:t>During the term of the Bausch License Agreement, and in the Territory, the Company has agreed not to (i) develop or commercialize XIPERE alone or in combination with an Other Device (as defined in the Bausch License Agreement) in the licensed field, (ii) develop or commercialize any corticosteroid with the Device or an Other Device in the licensed field, (iii) develop or commercialize the Device or an Other Device with any active pharmaceutical ingredient for non-infectious uveitis or macular edema associated with non-infectious uveitis, including with any Other Drug (as defined in the Bausch License Agreement, which are restricted to those steroids, corticosteroids and non-steroidal anti-inflammatory drugs specifically identified in the Bausch License Agreement), (iv) develop or commercialize any Other Drug in combination with the Device and (v) commercialize any Other Device for achieving non-surgical access to the suprachoroidal space where such device is sold as a stand-alone product, subject to specified exceptions. The Bausch License Agreement will expire upon expiration of the royalty terms for all Products and countries in the Territory, with each royalty term for a given Product and country ending on the latest of (i) the date of expiration of the last-to-expire valid claim of any licensed patent rights covering such Product in such country in the Territory, (ii) the date of the loss of regulatory exclusivity for such Product in such country in the Territory, or (iii) ten years from the later of the first sale of such Product in such country in the Territory. For a specified period of time, Bausch may terminate the Bausch License Agreement immediately and have the Upfront Payment refunded if the U.S. Food and Drug Administration (the “FDA”) has not approved the Company’s New Drug Application (“NDA”) for XIPERE by August 31, 2021. Following the payment of the Pre-Launch Milestone Payments, Bausch may also terminate the Bausch License Agreement for convenience upon 180 days’ written notice. In addition, the Company can terminate the Bausch License Agreement if Bausch commences a legal action challenging the validity, enforceability or scope of any of the licensed patents. If the FDA requires an additional clinical trial prior to approving the NDA for XIPERE and the Company notifies Bausch that the Company will not conduct the trial at the Company’s expense, then Bausch may terminate the Bausch License Agreement and have the Upfront Payment refunded within 60 days of the receipt of such notice from the Company. Both parties may terminate the Bausch License Agreement (i) upon a material breach of the Bausch License Agreement, subject to a specified cure period and specified exceptions, or (ii) if the other party encounters bankruptcy or insolvency. Upon termination (other than for a material breach by or bankruptcy or insolvency event of the Company), all licenses and other rights granted by the Company to Bausch pursuant to the Bausch License Agreement would revert to the Company.</w:t>
      </w:r>
    </w:p>
    <w:p>
      <w:pPr>
        <w:spacing w:after="0" w:line="290" w:lineRule="exact"/>
        <w:rPr>
          <w:sz w:val="20"/>
          <w:szCs w:val="20"/>
          <w:color w:val="auto"/>
        </w:rPr>
      </w:pPr>
    </w:p>
    <w:p>
      <w:pPr>
        <w:ind w:firstLine="468"/>
        <w:spacing w:after="0" w:line="255" w:lineRule="auto"/>
        <w:rPr>
          <w:sz w:val="20"/>
          <w:szCs w:val="20"/>
          <w:color w:val="auto"/>
        </w:rPr>
      </w:pPr>
      <w:r>
        <w:rPr>
          <w:rFonts w:ascii="Arial" w:cs="Arial" w:eastAsia="Arial" w:hAnsi="Arial"/>
          <w:sz w:val="18"/>
          <w:szCs w:val="18"/>
          <w:color w:val="auto"/>
        </w:rPr>
        <w:t>The Company is responsible for all development expenses for XIPERE in the Original Territory until the NDA is approved by the FDA, subject to specified exceptions, as well as manufacturing costs in connection with the NDA. The Company is also responsible for all clinical and development expenses conducted to satisfy the FDA’s requests in the complete response letter issued on October 18, 2019 related to the NDA and any subsequent complete response letter related to the NDA (the “CRL-related expenses”). If XIPERE is approved by the FDA, Bausch will be responsible for all expenses following such approval; provided that the Company will be responsible for the CRL-related expenses and for half of the costs of any post-approval clinical trials required by the FDA, up to a specified maximum amount.</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Arctic Vision (Hong Kong) Limited</w:t>
      </w:r>
    </w:p>
    <w:p>
      <w:pPr>
        <w:spacing w:after="0" w:line="117" w:lineRule="exact"/>
        <w:rPr>
          <w:sz w:val="20"/>
          <w:szCs w:val="20"/>
          <w:color w:val="auto"/>
        </w:rPr>
      </w:pPr>
    </w:p>
    <w:p>
      <w:pPr>
        <w:ind w:right="80" w:firstLine="562"/>
        <w:spacing w:after="0" w:line="271" w:lineRule="auto"/>
        <w:rPr>
          <w:sz w:val="20"/>
          <w:szCs w:val="20"/>
          <w:color w:val="auto"/>
        </w:rPr>
      </w:pPr>
      <w:r>
        <w:rPr>
          <w:rFonts w:ascii="Arial" w:cs="Arial" w:eastAsia="Arial" w:hAnsi="Arial"/>
          <w:sz w:val="17"/>
          <w:szCs w:val="17"/>
          <w:color w:val="auto"/>
        </w:rPr>
        <w:t>On March 10, 2020, the Company entered into a License Agreement (the “Arctic License Agreement”) with Arctic Vision (Hong Kong) Limited (“Arctic Vision”). Pursuant to the Arctic License Agreement, the Company has granted an exclusive license to Arctic Vision to develop, distribute, promote, market and commercialize XIPERE, the Company’s proprietary suspension of the corticosteroid triamcinolone acetonide formulated for administration to the back of the eye using the Company’s proprietary SCS Microinjector, subject to specified exceptions, in China, Hong Kong, Macau, Taiwan and South Korea (the “Arctic Territory”). Under the terms of the Arctic License Agreement, neither party may commercialize XIPERE in the other party’s territory. Arctic Vision has agreed to use commercially reasonably efforts to pursue development and commercialization of XIPERE for indications associated with uveitis in the Arctic Territory. In addition, upon receipt of the Company’s consent, Arctic Vision will have the right, but not the obligation, to develop and commercialize XIPERE for additional indications in the Arctic Territory.</w:t>
      </w:r>
    </w:p>
    <w:p>
      <w:pPr>
        <w:spacing w:after="0" w:line="70" w:lineRule="exact"/>
        <w:rPr>
          <w:sz w:val="20"/>
          <w:szCs w:val="20"/>
          <w:color w:val="auto"/>
        </w:rPr>
      </w:pPr>
    </w:p>
    <w:p>
      <w:pPr>
        <w:ind w:right="60" w:firstLine="562"/>
        <w:spacing w:after="0" w:line="270" w:lineRule="auto"/>
        <w:rPr>
          <w:sz w:val="20"/>
          <w:szCs w:val="20"/>
          <w:color w:val="auto"/>
        </w:rPr>
      </w:pPr>
      <w:r>
        <w:rPr>
          <w:rFonts w:ascii="Arial" w:cs="Arial" w:eastAsia="Arial" w:hAnsi="Arial"/>
          <w:sz w:val="17"/>
          <w:szCs w:val="17"/>
          <w:color w:val="auto"/>
        </w:rPr>
        <w:t>Pursuant to the Arctic License Agreement, Arctic Vision has agreed to pay the Company up to a total of $35.5 million. This amount includes an upfront payment of $4.0 million as well as an aggregate of up to $31.5 million in development milestone payments for specified events prior to and including receipt of approval of XIPERE in the United States and sales milestone payments for achievement of specified levels of net sales. Further, during the applicable royalty term, the Company will also be entitled to receive tiered royalties of ten to twelve percent of net sales based on achieving certain annual net sales thresholds in the Arctic Territory, subject to customary reductions, payable on a product-by-product and country-by-country basis, commencing at launch in such country and lasting until the latest of (i) the date that all valid claims within the licensed patent rights covering XIPERE have expired, (ii) the date of the loss of marketing or regulatory exclusivity of XIPERE in a given country, or (iii) ten years from the first commercial sale of XIPERE in a given country. As of March 31, 2020, the Company had completed its performance obligations related to the upfront payment and recognized license revenue of $4.0 million during the three months ended March 31, 2020.</w:t>
      </w:r>
    </w:p>
    <w:p>
      <w:pPr>
        <w:spacing w:after="0" w:line="73"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jc w:val="both"/>
        <w:ind w:right="180" w:firstLine="468"/>
        <w:spacing w:after="0" w:line="263" w:lineRule="auto"/>
        <w:rPr>
          <w:sz w:val="20"/>
          <w:szCs w:val="20"/>
          <w:color w:val="auto"/>
        </w:rPr>
      </w:pPr>
      <w:r>
        <w:rPr>
          <w:rFonts w:ascii="Arial" w:cs="Arial" w:eastAsia="Arial" w:hAnsi="Arial"/>
          <w:sz w:val="18"/>
          <w:szCs w:val="18"/>
          <w:color w:val="auto"/>
        </w:rPr>
        <w:t>The Company has periodically entered into other short-term agreements, generally with performance obligations of one to two months, to evaluate the potential use of its proprietary SCS Microinjector with third-party product candidates for the treatment of various diseases. Funds received from these agreements are recognized as revenue over the term of the agreement. The Company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recorded $0.2 million and $45,000 of revenue from these agreements during the three months ended June 30, 2020 and 2019, respectively, and $0.2 million and $90,000 for the six months ended June 30, 2020 and 2019,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121"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 xml:space="preserve">The Company records certain financial assets and liabilities at fair value in accordance with the provisions of ASC Topic 820, </w:t>
      </w:r>
      <w:r>
        <w:rPr>
          <w:rFonts w:ascii="Arial" w:cs="Arial" w:eastAsia="Arial" w:hAnsi="Arial"/>
          <w:sz w:val="16"/>
          <w:szCs w:val="16"/>
          <w:i w:val="1"/>
          <w:iCs w:val="1"/>
          <w:color w:val="auto"/>
        </w:rPr>
        <w:t>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Measurements and Disclosures</w:t>
      </w:r>
      <w:r>
        <w:rPr>
          <w:rFonts w:ascii="Arial" w:cs="Arial" w:eastAsia="Arial" w:hAnsi="Arial"/>
          <w:sz w:val="16"/>
          <w:szCs w:val="16"/>
          <w:color w:val="auto"/>
        </w:rPr>
        <w:t>, on fair value measurements. As defined in the guidance, fair value, defined as an exit price, represents the amount that</w:t>
      </w:r>
      <w:r>
        <w:rPr>
          <w:rFonts w:ascii="Arial" w:cs="Arial" w:eastAsia="Arial" w:hAnsi="Arial"/>
          <w:sz w:val="16"/>
          <w:szCs w:val="16"/>
          <w:i w:val="1"/>
          <w:iCs w:val="1"/>
          <w:color w:val="auto"/>
        </w:rPr>
        <w:t xml:space="preserve"> </w:t>
      </w:r>
      <w:r>
        <w:rPr>
          <w:rFonts w:ascii="Arial" w:cs="Arial" w:eastAsia="Arial" w:hAnsi="Arial"/>
          <w:sz w:val="16"/>
          <w:szCs w:val="16"/>
          <w:color w:val="auto"/>
        </w:rPr>
        <w:t>would be received to sell an asset or pay to transfer a liability in an orderly transaction between market participants. As a result, fair value is a market-based approach that should be determined based on assumptions that market participants would use in pricing an asset or a liability. As a basis for considering these assumptions, the guidance defines a three-tier value hierarchy that prioritizes the inputs used in the valuation methodologies in measuring fair value.</w:t>
      </w:r>
    </w:p>
    <w:p>
      <w:pPr>
        <w:spacing w:after="0" w:line="53" w:lineRule="exact"/>
        <w:rPr>
          <w:sz w:val="20"/>
          <w:szCs w:val="20"/>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1—Unadjusted quoted prices in active, accessible markets for identical assets or liabilities.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2—Other inputs that are directly or indirectly observable in the marketplace.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w:t>
      </w:r>
    </w:p>
    <w:p>
      <w:pPr>
        <w:spacing w:after="0" w:line="225" w:lineRule="exact"/>
        <w:rPr>
          <w:sz w:val="20"/>
          <w:szCs w:val="20"/>
          <w:color w:val="auto"/>
        </w:rPr>
      </w:pPr>
    </w:p>
    <w:p>
      <w:pPr>
        <w:ind w:right="680" w:firstLine="510"/>
        <w:spacing w:after="0" w:line="277" w:lineRule="auto"/>
        <w:rPr>
          <w:sz w:val="20"/>
          <w:szCs w:val="20"/>
          <w:color w:val="auto"/>
        </w:rPr>
      </w:pPr>
      <w:r>
        <w:rPr>
          <w:rFonts w:ascii="Arial" w:cs="Arial" w:eastAsia="Arial" w:hAnsi="Arial"/>
          <w:sz w:val="18"/>
          <w:szCs w:val="18"/>
          <w:color w:val="auto"/>
        </w:rPr>
        <w:t>The fair value hierarchy also requires an entity to maximize the use of observable inputs and minimize the use of unobservable inputs when measuring fair value.</w:t>
      </w:r>
    </w:p>
    <w:p>
      <w:pPr>
        <w:spacing w:after="0" w:line="62" w:lineRule="exact"/>
        <w:rPr>
          <w:sz w:val="20"/>
          <w:szCs w:val="20"/>
          <w:color w:val="auto"/>
        </w:rPr>
      </w:pPr>
    </w:p>
    <w:p>
      <w:pPr>
        <w:jc w:val="both"/>
        <w:ind w:right="160" w:firstLine="510"/>
        <w:spacing w:after="0" w:line="279" w:lineRule="auto"/>
        <w:rPr>
          <w:sz w:val="20"/>
          <w:szCs w:val="20"/>
          <w:color w:val="auto"/>
        </w:rPr>
      </w:pPr>
      <w:r>
        <w:rPr>
          <w:rFonts w:ascii="Arial" w:cs="Arial" w:eastAsia="Arial" w:hAnsi="Arial"/>
          <w:sz w:val="17"/>
          <w:szCs w:val="17"/>
          <w:color w:val="auto"/>
        </w:rPr>
        <w:t>The Company’s material financial instruments at June 30, 2020 and December 31, 2019 consisted primarily of cash and cash equivalents and long-term debt. The fair values of cash and cash equivalents, other current assets and accounts payable approximate their respective carrying values due to the short term nature of these instruments and are classified as Level 1 in the fair value hierarchy. The fair value of long-term debt approximates the carrying value due to variable interest rates that correspond to market rates and is classified as Level 1 in the fair value hierarchy.</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There were no significant transfers between Levels 1, 2 and 3 during the six months ended June 30, 2020 and the year ended December 31, 2019.</w:t>
      </w:r>
    </w:p>
    <w:p>
      <w:pPr>
        <w:spacing w:after="0" w:line="140"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The following tables summarize the fair value of financial assets that are measured at fair value and the classification by level of input within the fair value hierarchy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jc w:val="right"/>
              <w:ind w:right="375"/>
              <w:spacing w:after="0"/>
              <w:rPr>
                <w:sz w:val="20"/>
                <w:szCs w:val="20"/>
                <w:color w:val="auto"/>
              </w:rPr>
            </w:pPr>
            <w:r>
              <w:rPr>
                <w:rFonts w:ascii="Arial" w:cs="Arial" w:eastAsia="Arial" w:hAnsi="Arial"/>
                <w:sz w:val="16"/>
                <w:szCs w:val="16"/>
                <w:b w:val="1"/>
                <w:bCs w:val="1"/>
                <w:color w:val="auto"/>
              </w:rPr>
              <w:t>June 30, 2020</w:t>
            </w:r>
          </w:p>
        </w:tc>
        <w:tc>
          <w:tcPr>
            <w:tcW w:w="2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199"/>
        </w:trPr>
        <w:tc>
          <w:tcPr>
            <w:tcW w:w="58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center"/>
              <w:ind w:right="54"/>
              <w:spacing w:after="0"/>
              <w:rPr>
                <w:sz w:val="20"/>
                <w:szCs w:val="20"/>
                <w:color w:val="auto"/>
              </w:rPr>
            </w:pPr>
            <w:r>
              <w:rPr>
                <w:rFonts w:ascii="Arial" w:cs="Arial" w:eastAsia="Arial" w:hAnsi="Arial"/>
                <w:sz w:val="16"/>
                <w:szCs w:val="16"/>
                <w:b w:val="1"/>
                <w:bCs w:val="1"/>
                <w:color w:val="auto"/>
                <w:w w:val="92"/>
              </w:rPr>
              <w:t>Recorded</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13"/>
        </w:trPr>
        <w:tc>
          <w:tcPr>
            <w:tcW w:w="5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152"/>
              <w:spacing w:after="0"/>
              <w:rPr>
                <w:sz w:val="20"/>
                <w:szCs w:val="20"/>
                <w:color w:val="auto"/>
              </w:rPr>
            </w:pPr>
            <w:r>
              <w:rPr>
                <w:rFonts w:ascii="Arial" w:cs="Arial" w:eastAsia="Arial" w:hAnsi="Arial"/>
                <w:sz w:val="16"/>
                <w:szCs w:val="16"/>
                <w:b w:val="1"/>
                <w:bCs w:val="1"/>
                <w:color w:val="auto"/>
                <w:w w:val="99"/>
              </w:rPr>
              <w:t>Level 1</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Level 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Level 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Value</w:t>
            </w:r>
          </w:p>
        </w:tc>
        <w:tc>
          <w:tcPr>
            <w:tcW w:w="580" w:type="dxa"/>
            <w:vAlign w:val="bottom"/>
          </w:tcPr>
          <w:p>
            <w:pPr>
              <w:spacing w:after="0"/>
              <w:rPr>
                <w:sz w:val="18"/>
                <w:szCs w:val="18"/>
                <w:color w:val="auto"/>
              </w:rPr>
            </w:pPr>
          </w:p>
        </w:tc>
      </w:tr>
      <w:tr>
        <w:trPr>
          <w:trHeight w:val="226"/>
        </w:trPr>
        <w:tc>
          <w:tcPr>
            <w:tcW w:w="580" w:type="dxa"/>
            <w:vAlign w:val="bottom"/>
          </w:tcPr>
          <w:p>
            <w:pPr>
              <w:spacing w:after="0"/>
              <w:rPr>
                <w:sz w:val="19"/>
                <w:szCs w:val="19"/>
                <w:color w:val="auto"/>
              </w:rPr>
            </w:pPr>
          </w:p>
        </w:tc>
        <w:tc>
          <w:tcPr>
            <w:tcW w:w="3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14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Cash and money markets</w:t>
            </w:r>
          </w:p>
        </w:tc>
        <w:tc>
          <w:tcPr>
            <w:tcW w:w="1620" w:type="dxa"/>
            <w:vAlign w:val="bottom"/>
            <w:gridSpan w:val="2"/>
          </w:tcPr>
          <w:p>
            <w:pPr>
              <w:jc w:val="center"/>
              <w:ind w:left="127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15,071</w:t>
            </w:r>
          </w:p>
        </w:tc>
        <w:tc>
          <w:tcPr>
            <w:tcW w:w="1120" w:type="dxa"/>
            <w:vAlign w:val="bottom"/>
            <w:gridSpan w:val="2"/>
          </w:tcPr>
          <w:p>
            <w:pPr>
              <w:jc w:val="right"/>
              <w:ind w:right="596"/>
              <w:spacing w:after="0"/>
              <w:rPr>
                <w:sz w:val="20"/>
                <w:szCs w:val="20"/>
                <w:color w:val="auto"/>
              </w:rPr>
            </w:pPr>
            <w:r>
              <w:rPr>
                <w:rFonts w:ascii="Arial" w:cs="Arial" w:eastAsia="Arial" w:hAnsi="Arial"/>
                <w:sz w:val="18"/>
                <w:szCs w:val="18"/>
                <w:color w:val="auto"/>
              </w:rPr>
              <w:t>$</w:t>
            </w:r>
          </w:p>
        </w:tc>
        <w:tc>
          <w:tcPr>
            <w:tcW w:w="22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595"/>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15,071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 money market</w:t>
            </w: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560" w:type="dxa"/>
            <w:vAlign w:val="bottom"/>
          </w:tcPr>
          <w:p>
            <w:pPr>
              <w:ind w:left="120"/>
              <w:spacing w:after="0"/>
              <w:rPr>
                <w:sz w:val="20"/>
                <w:szCs w:val="20"/>
                <w:color w:val="auto"/>
              </w:rPr>
            </w:pPr>
            <w:r>
              <w:rPr>
                <w:rFonts w:ascii="Arial" w:cs="Arial" w:eastAsia="Arial" w:hAnsi="Arial"/>
                <w:sz w:val="18"/>
                <w:szCs w:val="18"/>
                <w:color w:val="auto"/>
              </w:rPr>
              <w:t>Total financial assets</w:t>
            </w:r>
          </w:p>
        </w:tc>
        <w:tc>
          <w:tcPr>
            <w:tcW w:w="14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15,431</w:t>
            </w:r>
          </w:p>
        </w:tc>
        <w:tc>
          <w:tcPr>
            <w:tcW w:w="3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15,431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23"/>
        </w:trPr>
        <w:tc>
          <w:tcPr>
            <w:tcW w:w="5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195"/>
              <w:spacing w:after="0"/>
              <w:rPr>
                <w:sz w:val="20"/>
                <w:szCs w:val="20"/>
                <w:color w:val="auto"/>
              </w:rPr>
            </w:pPr>
            <w:r>
              <w:rPr>
                <w:rFonts w:ascii="Arial" w:cs="Arial" w:eastAsia="Arial" w:hAnsi="Arial"/>
                <w:sz w:val="16"/>
                <w:szCs w:val="16"/>
                <w:b w:val="1"/>
                <w:bCs w:val="1"/>
                <w:color w:val="auto"/>
              </w:rPr>
              <w:t>December 31, 2019</w:t>
            </w: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99"/>
        </w:trPr>
        <w:tc>
          <w:tcPr>
            <w:tcW w:w="58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center"/>
              <w:ind w:right="54"/>
              <w:spacing w:after="0"/>
              <w:rPr>
                <w:sz w:val="20"/>
                <w:szCs w:val="20"/>
                <w:color w:val="auto"/>
              </w:rPr>
            </w:pPr>
            <w:r>
              <w:rPr>
                <w:rFonts w:ascii="Arial" w:cs="Arial" w:eastAsia="Arial" w:hAnsi="Arial"/>
                <w:sz w:val="16"/>
                <w:szCs w:val="16"/>
                <w:b w:val="1"/>
                <w:bCs w:val="1"/>
                <w:color w:val="auto"/>
                <w:w w:val="92"/>
              </w:rPr>
              <w:t>Recorded</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13"/>
        </w:trPr>
        <w:tc>
          <w:tcPr>
            <w:tcW w:w="5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152"/>
              <w:spacing w:after="0"/>
              <w:rPr>
                <w:sz w:val="20"/>
                <w:szCs w:val="20"/>
                <w:color w:val="auto"/>
              </w:rPr>
            </w:pPr>
            <w:r>
              <w:rPr>
                <w:rFonts w:ascii="Arial" w:cs="Arial" w:eastAsia="Arial" w:hAnsi="Arial"/>
                <w:sz w:val="16"/>
                <w:szCs w:val="16"/>
                <w:b w:val="1"/>
                <w:bCs w:val="1"/>
                <w:color w:val="auto"/>
                <w:w w:val="99"/>
              </w:rPr>
              <w:t>Level 1</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Level 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Level 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Value</w:t>
            </w:r>
          </w:p>
        </w:tc>
        <w:tc>
          <w:tcPr>
            <w:tcW w:w="580" w:type="dxa"/>
            <w:vAlign w:val="bottom"/>
          </w:tcPr>
          <w:p>
            <w:pPr>
              <w:spacing w:after="0"/>
              <w:rPr>
                <w:sz w:val="18"/>
                <w:szCs w:val="18"/>
                <w:color w:val="auto"/>
              </w:rPr>
            </w:pPr>
          </w:p>
        </w:tc>
      </w:tr>
      <w:tr>
        <w:trPr>
          <w:trHeight w:val="226"/>
        </w:trPr>
        <w:tc>
          <w:tcPr>
            <w:tcW w:w="580" w:type="dxa"/>
            <w:vAlign w:val="bottom"/>
          </w:tcPr>
          <w:p>
            <w:pPr>
              <w:spacing w:after="0"/>
              <w:rPr>
                <w:sz w:val="19"/>
                <w:szCs w:val="19"/>
                <w:color w:val="auto"/>
              </w:rPr>
            </w:pPr>
          </w:p>
        </w:tc>
        <w:tc>
          <w:tcPr>
            <w:tcW w:w="3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14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Cash and money markets</w:t>
            </w:r>
          </w:p>
        </w:tc>
        <w:tc>
          <w:tcPr>
            <w:tcW w:w="1620" w:type="dxa"/>
            <w:vAlign w:val="bottom"/>
            <w:gridSpan w:val="2"/>
          </w:tcPr>
          <w:p>
            <w:pPr>
              <w:jc w:val="center"/>
              <w:ind w:left="127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22,595</w:t>
            </w:r>
          </w:p>
        </w:tc>
        <w:tc>
          <w:tcPr>
            <w:tcW w:w="1120" w:type="dxa"/>
            <w:vAlign w:val="bottom"/>
            <w:gridSpan w:val="2"/>
          </w:tcPr>
          <w:p>
            <w:pPr>
              <w:jc w:val="right"/>
              <w:ind w:right="596"/>
              <w:spacing w:after="0"/>
              <w:rPr>
                <w:sz w:val="20"/>
                <w:szCs w:val="20"/>
                <w:color w:val="auto"/>
              </w:rPr>
            </w:pPr>
            <w:r>
              <w:rPr>
                <w:rFonts w:ascii="Arial" w:cs="Arial" w:eastAsia="Arial" w:hAnsi="Arial"/>
                <w:sz w:val="18"/>
                <w:szCs w:val="18"/>
                <w:color w:val="auto"/>
              </w:rPr>
              <w:t>$</w:t>
            </w:r>
          </w:p>
        </w:tc>
        <w:tc>
          <w:tcPr>
            <w:tcW w:w="22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595"/>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22,595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 money market</w:t>
            </w: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560" w:type="dxa"/>
            <w:vAlign w:val="bottom"/>
          </w:tcPr>
          <w:p>
            <w:pPr>
              <w:ind w:left="120"/>
              <w:spacing w:after="0"/>
              <w:rPr>
                <w:sz w:val="20"/>
                <w:szCs w:val="20"/>
                <w:color w:val="auto"/>
              </w:rPr>
            </w:pPr>
            <w:r>
              <w:rPr>
                <w:rFonts w:ascii="Arial" w:cs="Arial" w:eastAsia="Arial" w:hAnsi="Arial"/>
                <w:sz w:val="18"/>
                <w:szCs w:val="18"/>
                <w:color w:val="auto"/>
              </w:rPr>
              <w:t>Total financial assets</w:t>
            </w:r>
          </w:p>
        </w:tc>
        <w:tc>
          <w:tcPr>
            <w:tcW w:w="14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22,955</w:t>
            </w:r>
          </w:p>
        </w:tc>
        <w:tc>
          <w:tcPr>
            <w:tcW w:w="3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22,955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620" w:type="dxa"/>
            <w:vAlign w:val="bottom"/>
            <w:gridSpan w:val="2"/>
          </w:tcPr>
          <w:p>
            <w:pPr>
              <w:jc w:val="center"/>
              <w:ind w:left="1270"/>
              <w:spacing w:after="0"/>
              <w:rPr>
                <w:sz w:val="20"/>
                <w:szCs w:val="20"/>
                <w:color w:val="auto"/>
              </w:rPr>
            </w:pPr>
            <w:r>
              <w:rPr>
                <w:rFonts w:ascii="Arial" w:cs="Arial" w:eastAsia="Arial" w:hAnsi="Arial"/>
                <w:sz w:val="18"/>
                <w:szCs w:val="18"/>
                <w:color w:val="auto"/>
                <w:w w:val="89"/>
              </w:rPr>
              <w:t>15</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5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Per Share</w:t>
      </w:r>
    </w:p>
    <w:p>
      <w:pPr>
        <w:spacing w:after="0" w:line="121"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Basic net loss per share is calculated by dividing the net loss by the weighted average number of shares of common stock outstanding for the period, without consideration of the dilutive effect of potential common stock equivalents. Diluted net loss per share gives effect to all dilutive potential shares of common stock outstanding during this period. For all periods presented, the Company’s potential common stock equivalents, which included stock options, restricted stock units and stock purchase warrants, have been excluded from the computation of diluted net loss per share as their inclusion would have the effect of reducing the net loss per share. Therefore, the denominator used to calculate both basic and diluted net loss per share is the same in all periods presented. The Company’s potential common stock equivalents that have been excluded from the computation of diluted net loss per share for all periods presented because of their antidilutive effect consisted of the following:</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40" w:type="dxa"/>
            <w:vAlign w:val="bottom"/>
          </w:tcPr>
          <w:p>
            <w:pPr>
              <w:spacing w:after="0"/>
              <w:rPr>
                <w:sz w:val="17"/>
                <w:szCs w:val="17"/>
                <w:color w:val="auto"/>
              </w:rPr>
            </w:pPr>
          </w:p>
        </w:tc>
        <w:tc>
          <w:tcPr>
            <w:tcW w:w="288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w w:val="93"/>
              </w:rPr>
              <w:t>Three Months Ended</w:t>
            </w:r>
          </w:p>
        </w:tc>
        <w:tc>
          <w:tcPr>
            <w:tcW w:w="262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92"/>
              </w:rPr>
              <w:t>Six Months Ended</w:t>
            </w:r>
          </w:p>
        </w:tc>
      </w:tr>
      <w:tr>
        <w:trPr>
          <w:trHeight w:val="213"/>
        </w:trPr>
        <w:tc>
          <w:tcPr>
            <w:tcW w:w="5740" w:type="dxa"/>
            <w:vAlign w:val="bottom"/>
          </w:tcPr>
          <w:p>
            <w:pPr>
              <w:spacing w:after="0"/>
              <w:rPr>
                <w:sz w:val="18"/>
                <w:szCs w:val="18"/>
                <w:color w:val="auto"/>
              </w:rPr>
            </w:pPr>
          </w:p>
        </w:tc>
        <w:tc>
          <w:tcPr>
            <w:tcW w:w="1640" w:type="dxa"/>
            <w:vAlign w:val="bottom"/>
            <w:tcBorders>
              <w:bottom w:val="single" w:sz="8" w:color="auto"/>
            </w:tcBorders>
            <w:gridSpan w:val="3"/>
          </w:tcPr>
          <w:p>
            <w:pPr>
              <w:jc w:val="center"/>
              <w:ind w:left="755"/>
              <w:spacing w:after="0"/>
              <w:rPr>
                <w:sz w:val="20"/>
                <w:szCs w:val="20"/>
                <w:color w:val="auto"/>
              </w:rPr>
            </w:pPr>
            <w:r>
              <w:rPr>
                <w:rFonts w:ascii="Arial" w:cs="Arial" w:eastAsia="Arial" w:hAnsi="Arial"/>
                <w:sz w:val="16"/>
                <w:szCs w:val="16"/>
                <w:b w:val="1"/>
                <w:bCs w:val="1"/>
                <w:color w:val="auto"/>
                <w:w w:val="87"/>
              </w:rPr>
              <w:t>June 30,</w:t>
            </w:r>
          </w:p>
        </w:tc>
        <w:tc>
          <w:tcPr>
            <w:tcW w:w="84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640" w:type="dxa"/>
            <w:vAlign w:val="bottom"/>
            <w:tcBorders>
              <w:bottom w:val="single" w:sz="8" w:color="auto"/>
            </w:tcBorders>
            <w:gridSpan w:val="3"/>
          </w:tcPr>
          <w:p>
            <w:pPr>
              <w:jc w:val="center"/>
              <w:ind w:left="775"/>
              <w:spacing w:after="0"/>
              <w:rPr>
                <w:sz w:val="20"/>
                <w:szCs w:val="20"/>
                <w:color w:val="auto"/>
              </w:rPr>
            </w:pPr>
            <w:r>
              <w:rPr>
                <w:rFonts w:ascii="Arial" w:cs="Arial" w:eastAsia="Arial" w:hAnsi="Arial"/>
                <w:sz w:val="16"/>
                <w:szCs w:val="16"/>
                <w:b w:val="1"/>
                <w:bCs w:val="1"/>
                <w:color w:val="auto"/>
                <w:w w:val="90"/>
              </w:rPr>
              <w:t>June 30,</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58"/>
        </w:trPr>
        <w:tc>
          <w:tcPr>
            <w:tcW w:w="5740" w:type="dxa"/>
            <w:vAlign w:val="bottom"/>
            <w:tcBorders>
              <w:bottom w:val="single" w:sz="8" w:color="CFF0FC"/>
            </w:tcBorders>
          </w:tcPr>
          <w:p>
            <w:pPr>
              <w:spacing w:after="0"/>
              <w:rPr>
                <w:sz w:val="13"/>
                <w:szCs w:val="13"/>
                <w:color w:val="auto"/>
              </w:rPr>
            </w:pPr>
          </w:p>
        </w:tc>
        <w:tc>
          <w:tcPr>
            <w:tcW w:w="1120" w:type="dxa"/>
            <w:vAlign w:val="bottom"/>
            <w:tcBorders>
              <w:bottom w:val="single" w:sz="8" w:color="auto"/>
            </w:tcBorders>
          </w:tcPr>
          <w:p>
            <w:pPr>
              <w:jc w:val="right"/>
              <w:ind w:right="335"/>
              <w:spacing w:after="0" w:line="159"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4"/>
              <w:spacing w:after="0" w:line="159"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355"/>
              <w:spacing w:after="0" w:line="159"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54"/>
              <w:spacing w:after="0" w:line="159"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Outstanding stock options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5,034,701</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4,581,970</w:t>
            </w:r>
          </w:p>
        </w:tc>
        <w:tc>
          <w:tcPr>
            <w:tcW w:w="4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5,034,701</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4,581,970</w:t>
            </w:r>
          </w:p>
        </w:tc>
        <w:tc>
          <w:tcPr>
            <w:tcW w:w="120" w:type="dxa"/>
            <w:vAlign w:val="bottom"/>
            <w:shd w:val="clear" w:color="auto" w:fill="CFF0FC"/>
          </w:tcPr>
          <w:p>
            <w:pPr>
              <w:spacing w:after="0"/>
              <w:rPr>
                <w:sz w:val="19"/>
                <w:szCs w:val="19"/>
                <w:color w:val="auto"/>
              </w:rPr>
            </w:pPr>
          </w:p>
        </w:tc>
      </w:tr>
      <w:tr>
        <w:trPr>
          <w:trHeight w:val="229"/>
        </w:trPr>
        <w:tc>
          <w:tcPr>
            <w:tcW w:w="5740" w:type="dxa"/>
            <w:vAlign w:val="bottom"/>
          </w:tcPr>
          <w:p>
            <w:pPr>
              <w:spacing w:after="0"/>
              <w:rPr>
                <w:sz w:val="20"/>
                <w:szCs w:val="20"/>
                <w:color w:val="auto"/>
              </w:rPr>
            </w:pPr>
            <w:r>
              <w:rPr>
                <w:rFonts w:ascii="Arial" w:cs="Arial" w:eastAsia="Arial" w:hAnsi="Arial"/>
                <w:sz w:val="18"/>
                <w:szCs w:val="18"/>
                <w:color w:val="auto"/>
              </w:rPr>
              <w:t>Non-vested restricted stock units</w:t>
            </w:r>
          </w:p>
        </w:tc>
        <w:tc>
          <w:tcPr>
            <w:tcW w:w="1120" w:type="dxa"/>
            <w:vAlign w:val="bottom"/>
          </w:tcPr>
          <w:p>
            <w:pPr>
              <w:jc w:val="right"/>
              <w:spacing w:after="0"/>
              <w:rPr>
                <w:sz w:val="20"/>
                <w:szCs w:val="20"/>
                <w:color w:val="auto"/>
              </w:rPr>
            </w:pPr>
            <w:r>
              <w:rPr>
                <w:rFonts w:ascii="Arial" w:cs="Arial" w:eastAsia="Arial" w:hAnsi="Arial"/>
                <w:sz w:val="18"/>
                <w:szCs w:val="18"/>
                <w:color w:val="auto"/>
              </w:rPr>
              <w:t>1,236,050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485,900</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1,236,050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485,900</w:t>
            </w:r>
          </w:p>
        </w:tc>
        <w:tc>
          <w:tcPr>
            <w:tcW w:w="120" w:type="dxa"/>
            <w:vAlign w:val="bottom"/>
          </w:tcPr>
          <w:p>
            <w:pPr>
              <w:spacing w:after="0"/>
              <w:rPr>
                <w:sz w:val="19"/>
                <w:szCs w:val="19"/>
                <w:color w:val="auto"/>
              </w:rPr>
            </w:pP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Stock purchase warrants</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29,796</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29,796</w:t>
            </w:r>
          </w:p>
        </w:tc>
        <w:tc>
          <w:tcPr>
            <w:tcW w:w="40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29,796</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29,796</w:t>
            </w:r>
          </w:p>
        </w:tc>
        <w:tc>
          <w:tcPr>
            <w:tcW w:w="120" w:type="dxa"/>
            <w:vAlign w:val="bottom"/>
            <w:shd w:val="clear" w:color="auto" w:fill="CFF0FC"/>
          </w:tcPr>
          <w:p>
            <w:pPr>
              <w:spacing w:after="0"/>
              <w:rPr>
                <w:sz w:val="19"/>
                <w:szCs w:val="19"/>
                <w:color w:val="auto"/>
              </w:rPr>
            </w:pPr>
          </w:p>
        </w:tc>
      </w:tr>
      <w:tr>
        <w:trPr>
          <w:trHeight w:val="223"/>
        </w:trPr>
        <w:tc>
          <w:tcPr>
            <w:tcW w:w="57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6,300,547</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5,097,666</w:t>
            </w:r>
          </w:p>
        </w:tc>
        <w:tc>
          <w:tcPr>
            <w:tcW w:w="4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6,300,547</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5,097,666</w:t>
            </w:r>
          </w:p>
        </w:tc>
        <w:tc>
          <w:tcPr>
            <w:tcW w:w="120" w:type="dxa"/>
            <w:vAlign w:val="bottom"/>
          </w:tcPr>
          <w:p>
            <w:pPr>
              <w:spacing w:after="0"/>
              <w:rPr>
                <w:sz w:val="19"/>
                <w:szCs w:val="19"/>
                <w:color w:val="auto"/>
              </w:rPr>
            </w:pPr>
          </w:p>
        </w:tc>
      </w:tr>
      <w:tr>
        <w:trPr>
          <w:trHeight w:val="20"/>
        </w:trPr>
        <w:tc>
          <w:tcPr>
            <w:tcW w:w="57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i w:val="1"/>
          <w:iCs w:val="1"/>
          <w:color w:val="auto"/>
        </w:rPr>
        <w:t>Certain statements contained in this Quarterly Report on Form 10-Q may constitute forward-looking statements within the meaning of Section 27A of the Securities Act of 1933, as amended, and Section 21E of the Securities Exchange Act of 1934, as amended. The words or phrases “would be,” “will allow,” “intends to,” “will likely result,” “are expected to,” “will continue,” “is anticipated,” “estimate,” “project,” or similar expressions, or the negative of such words or phrases, are intended to identify “forward-looking statements.” We have based these forward-looking statements on our current expectations and projections about future events. Because such statements include risks and uncertainties, actual results may differ materially from those expressed or implied by such forward-looking statements. Factors that could cause or contribute to these differences include those below and elsewhere in this Quarterly Report on Form 10-Q and our other filings with the Securities and Exchange Commission, or SEC, particularly in Part II – Item 1A, “Risk Factors”. Such risks and uncertainties may be amplified by the COVID-19 pandemic and its potential impact on our business and the global economy. Statements made herein are as of the date of the filing of this Form 10-Q with the SEC and should not be relied upon as of any subsequent date. Unless otherwise required by applicable law, we do not undertake, and we specifically disclaim, any obligation to update any forward-looking statements to reflect occurrences, developments, unanticipated events or circumstances after the date of such statement.</w:t>
      </w:r>
    </w:p>
    <w:p>
      <w:pPr>
        <w:spacing w:after="0" w:line="172" w:lineRule="exact"/>
        <w:rPr>
          <w:sz w:val="20"/>
          <w:szCs w:val="20"/>
          <w:color w:val="auto"/>
        </w:rPr>
      </w:pPr>
    </w:p>
    <w:p>
      <w:pPr>
        <w:jc w:val="both"/>
        <w:ind w:right="20" w:firstLine="510"/>
        <w:spacing w:after="0" w:line="286" w:lineRule="auto"/>
        <w:rPr>
          <w:sz w:val="20"/>
          <w:szCs w:val="20"/>
          <w:color w:val="auto"/>
        </w:rPr>
      </w:pPr>
      <w:r>
        <w:rPr>
          <w:rFonts w:ascii="Arial" w:cs="Arial" w:eastAsia="Arial" w:hAnsi="Arial"/>
          <w:sz w:val="17"/>
          <w:szCs w:val="17"/>
          <w:color w:val="auto"/>
        </w:rPr>
        <w:t>The following discussion and analysis of our financial condition and results of operations should be read in conjunction with our unaudited financial statements and related notes that appear in Item 1 of this Quarterly Report on Form 10-Q and with our audited financial statements and related notes for the year ended December 31, 2019 appearing in our Annual Report on Form 10-K filed with the SEC on March 13, 2020.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80" w:firstLine="549"/>
        <w:spacing w:after="0" w:line="273" w:lineRule="auto"/>
        <w:rPr>
          <w:sz w:val="20"/>
          <w:szCs w:val="20"/>
          <w:color w:val="auto"/>
        </w:rPr>
      </w:pPr>
      <w:r>
        <w:rPr>
          <w:rFonts w:ascii="Arial" w:cs="Arial" w:eastAsia="Arial" w:hAnsi="Arial"/>
          <w:sz w:val="17"/>
          <w:szCs w:val="17"/>
          <w:color w:val="auto"/>
        </w:rPr>
        <w:t>We are a biopharmaceutical company dedicated to developing and delivering treatments that restore and preserve vision for people with serious back of the eye diseases. Our proprietary SCS Microinjector targeting the suprachoroidal space, or SCS, offers unique access to the macula, retina and choroid where sight-threatening disease often occurs. When fluid is injected between the choroid and sclera, the elasticity of the SCS allows the fluid to migrate and spread spherically toward the posterior regions of the eye where it is absorbed into adjacent tissue. Our proprietary microinjector is able to precisely administer drugs into the SCS utilizing a needle that is approximately one millimeter in length. This method of administration facilitates more targeted delivery of therapeutic agents to chorioretinal structures.</w:t>
      </w:r>
    </w:p>
    <w:p>
      <w:pPr>
        <w:spacing w:after="0" w:line="70" w:lineRule="exact"/>
        <w:rPr>
          <w:sz w:val="20"/>
          <w:szCs w:val="20"/>
          <w:color w:val="auto"/>
        </w:rPr>
      </w:pPr>
    </w:p>
    <w:p>
      <w:pPr>
        <w:ind w:right="740" w:firstLine="549"/>
        <w:spacing w:after="0" w:line="308" w:lineRule="auto"/>
        <w:rPr>
          <w:sz w:val="20"/>
          <w:szCs w:val="20"/>
          <w:color w:val="auto"/>
        </w:rPr>
      </w:pPr>
      <w:r>
        <w:rPr>
          <w:rFonts w:ascii="Arial" w:cs="Arial" w:eastAsia="Arial" w:hAnsi="Arial"/>
          <w:sz w:val="17"/>
          <w:szCs w:val="17"/>
          <w:color w:val="auto"/>
        </w:rPr>
        <w:t>The SCS injection is an inherently flexible, in-office, non-surgical procedure intended to provide targeted delivery of established and new formulations of medications, as well as future therapeutic innovations such as gene therapy, to the site of disease.</w:t>
      </w:r>
    </w:p>
    <w:p>
      <w:pPr>
        <w:spacing w:after="0" w:line="38" w:lineRule="exact"/>
        <w:rPr>
          <w:sz w:val="20"/>
          <w:szCs w:val="20"/>
          <w:color w:val="auto"/>
        </w:rPr>
      </w:pPr>
    </w:p>
    <w:p>
      <w:pPr>
        <w:ind w:right="280" w:firstLine="549"/>
        <w:spacing w:after="0" w:line="259" w:lineRule="auto"/>
        <w:rPr>
          <w:sz w:val="20"/>
          <w:szCs w:val="20"/>
          <w:color w:val="auto"/>
        </w:rPr>
      </w:pPr>
      <w:r>
        <w:rPr>
          <w:rFonts w:ascii="Arial" w:cs="Arial" w:eastAsia="Arial" w:hAnsi="Arial"/>
          <w:sz w:val="18"/>
          <w:szCs w:val="18"/>
          <w:color w:val="auto"/>
        </w:rPr>
        <w:t>We are leveraging our SCS injection platform by building an internal research and development pipeline, in areas such as novel small molecules and gene therapy, and by creating external collaborations with other companies. Using our suprachoroidal injection technology that can be used in conjunction with proprietary formulations of existing drugs as well as novel therapies, we believe we have created a broad therapeutic platform for developing product candidates to treat serious eye diseases.</w:t>
      </w:r>
    </w:p>
    <w:p>
      <w:pPr>
        <w:spacing w:after="0" w:line="79" w:lineRule="exact"/>
        <w:rPr>
          <w:sz w:val="20"/>
          <w:szCs w:val="20"/>
          <w:color w:val="auto"/>
        </w:rPr>
      </w:pPr>
    </w:p>
    <w:p>
      <w:pPr>
        <w:ind w:right="120" w:firstLine="549"/>
        <w:spacing w:after="0" w:line="257" w:lineRule="auto"/>
        <w:rPr>
          <w:sz w:val="20"/>
          <w:szCs w:val="20"/>
          <w:color w:val="auto"/>
        </w:rPr>
      </w:pPr>
      <w:r>
        <w:rPr>
          <w:rFonts w:ascii="Arial" w:cs="Arial" w:eastAsia="Arial" w:hAnsi="Arial"/>
          <w:sz w:val="18"/>
          <w:szCs w:val="18"/>
          <w:color w:val="auto"/>
        </w:rPr>
        <w:t>Our first candidate, XIPERE, formerly known as CLS-TA, is a proprietary, preservative-free suspension of the corticosteroid triamcinolone acetonide, or TA, formulated for administration via suprachoroidal injection. Corticosteroids are the standard of care in uveitis. They are effective at treating the inflammatory aspect of ocular disease, but when delivered locally, either topically as drops, intravitreally, or by periocular injection, they have been associated with significant side effects, such as cataract formation or exacerbation, and elevated intraocular pressure, or IOP, which can lead to glaucoma.</w:t>
      </w:r>
    </w:p>
    <w:p>
      <w:pPr>
        <w:spacing w:after="0" w:line="80" w:lineRule="exact"/>
        <w:rPr>
          <w:sz w:val="20"/>
          <w:szCs w:val="20"/>
          <w:color w:val="auto"/>
        </w:rPr>
      </w:pPr>
    </w:p>
    <w:p>
      <w:pPr>
        <w:ind w:right="40" w:firstLine="555"/>
        <w:spacing w:after="0" w:line="301" w:lineRule="auto"/>
        <w:rPr>
          <w:sz w:val="20"/>
          <w:szCs w:val="20"/>
          <w:color w:val="auto"/>
        </w:rPr>
      </w:pPr>
      <w:r>
        <w:rPr>
          <w:rFonts w:ascii="Arial" w:cs="Arial" w:eastAsia="Arial" w:hAnsi="Arial"/>
          <w:sz w:val="16"/>
          <w:szCs w:val="16"/>
          <w:color w:val="auto"/>
        </w:rPr>
        <w:t>XIPERE is being developed for the treatment of macular edema associated with uveitis. Uveitis is a set of ocular inflammatory conditions affecting approximately 350,000 patients in the United States and more than one million worldwide. Approximately one-third of uveitis patients develop uveitic macular edema, a build-up of fluid in the macula, the area of the retina responsible for sharp, straight-ahead vision. Macular edema is the leading cause of vision loss and blindness in uveitis patients and can occur from uveitis affecting any anatomic location—anterior, intermediate, posterior or panuveitis.</w:t>
      </w:r>
    </w:p>
    <w:p>
      <w:pPr>
        <w:spacing w:after="0" w:line="49" w:lineRule="exact"/>
        <w:rPr>
          <w:sz w:val="20"/>
          <w:szCs w:val="20"/>
          <w:color w:val="auto"/>
        </w:rPr>
      </w:pPr>
    </w:p>
    <w:p>
      <w:pPr>
        <w:ind w:right="140" w:firstLine="555"/>
        <w:spacing w:after="0" w:line="257" w:lineRule="auto"/>
        <w:rPr>
          <w:sz w:val="20"/>
          <w:szCs w:val="20"/>
          <w:color w:val="auto"/>
        </w:rPr>
      </w:pPr>
      <w:r>
        <w:rPr>
          <w:rFonts w:ascii="Arial" w:cs="Arial" w:eastAsia="Arial" w:hAnsi="Arial"/>
          <w:sz w:val="18"/>
          <w:szCs w:val="18"/>
          <w:color w:val="auto"/>
        </w:rPr>
        <w:t>In December 2018, we submitted a New Drug Application, or NDA, for XIPERE to the Food and Drug Administration, or FDA, for the treatment of macular edema associated with uveitis. In October 2019, we received a complete response letter, or CRL, from the FDA regarding our NDA for XIPERE. The FDA did not identify any efficacy issues, and there were no requests for further clinical efficacy studies. The CRL included the FDA’s request for additional stability data, additional clarifying information on components of the manufacturing process, and reinspection of the drug product manufacturer.</w:t>
      </w:r>
    </w:p>
    <w:p>
      <w:pPr>
        <w:spacing w:after="0" w:line="188" w:lineRule="exact"/>
        <w:rPr>
          <w:sz w:val="20"/>
          <w:szCs w:val="20"/>
          <w:color w:val="auto"/>
        </w:rPr>
      </w:pPr>
    </w:p>
    <w:p>
      <w:pPr>
        <w:ind w:right="80" w:firstLine="562"/>
        <w:spacing w:after="0" w:line="257" w:lineRule="auto"/>
        <w:rPr>
          <w:sz w:val="20"/>
          <w:szCs w:val="20"/>
          <w:color w:val="auto"/>
        </w:rPr>
      </w:pPr>
      <w:r>
        <w:rPr>
          <w:rFonts w:ascii="Arial" w:cs="Arial" w:eastAsia="Arial" w:hAnsi="Arial"/>
          <w:sz w:val="18"/>
          <w:szCs w:val="18"/>
          <w:color w:val="auto"/>
        </w:rPr>
        <w:t>In August 2020, we secured a new contract manufacturing organization, or CMO, to manufacture the registration batches of XIPERE for the resubmission of our NDA, as well as to manufacture batches of XIPERE for potential commercialization. Our prior CMO recently notified us that they were no longer willing to serve as our commercial supplier for XIPERE and that they are uncertain about being prepared for an FDA pre-approval inspection on our timeline. Given our previously disclosed delays, we had begun evaluating alternative manufactures. In connection with the engagement of the new CMO, the technology underlying the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manufacturing process is being transferred so that they can begin generating the data required by the FDA. As a result, we expect to resubmit the XIPERE NDA no later than the first half of 2021.</w:t>
      </w:r>
    </w:p>
    <w:p>
      <w:pPr>
        <w:spacing w:after="0" w:line="62" w:lineRule="exact"/>
        <w:rPr>
          <w:sz w:val="20"/>
          <w:szCs w:val="20"/>
          <w:color w:val="auto"/>
        </w:rPr>
      </w:pPr>
    </w:p>
    <w:p>
      <w:pPr>
        <w:ind w:right="40" w:firstLine="549"/>
        <w:spacing w:after="0" w:line="271" w:lineRule="auto"/>
        <w:rPr>
          <w:sz w:val="20"/>
          <w:szCs w:val="20"/>
          <w:color w:val="auto"/>
        </w:rPr>
      </w:pPr>
      <w:r>
        <w:rPr>
          <w:rFonts w:ascii="Arial" w:cs="Arial" w:eastAsia="Arial" w:hAnsi="Arial"/>
          <w:sz w:val="17"/>
          <w:szCs w:val="17"/>
          <w:color w:val="auto"/>
        </w:rPr>
        <w:t>After evaluation of our prior work and based on recently presented data in the scientific community, we have decided to advance our proprietary suspension of axitinib, a tyrosine kinase inhibitor, or TKI, for suprachoroidal injection, which we refer to as CLS-AX, into further preclinical development. In our internal preclinical studies, CLS-AX, delivered through suprachoroidal injection, was well tolerated and showed durability over several months, providing us with the opportunity to potentially reduce treatment burden and address a primary need for wet AMD patients. In July 2020, we submitted an Investigational New Drug application, or IND, to the FDA for CLS-AX. The FDA recently accepted our IND for CLS-AX and we expect to initiate a Phase 1/2a clinical trial of CLS-AX in patients with wet AMD by the end of 2020. The Phase 1/2a clinical trial is expected to be an open-label, dose-escalation study to assess the safety and tolerability of single doses of CLS-AX administered through suprachoroidal injection following two or more prior treatments with an intravitreal anti-VEGF agent. We expect to report initial safety data from this trial in mid-2021.</w:t>
      </w:r>
    </w:p>
    <w:p>
      <w:pPr>
        <w:spacing w:after="0" w:line="70" w:lineRule="exact"/>
        <w:rPr>
          <w:sz w:val="20"/>
          <w:szCs w:val="20"/>
          <w:color w:val="auto"/>
        </w:rPr>
      </w:pPr>
    </w:p>
    <w:p>
      <w:pPr>
        <w:ind w:right="180" w:firstLine="549"/>
        <w:spacing w:after="0" w:line="257" w:lineRule="auto"/>
        <w:rPr>
          <w:sz w:val="20"/>
          <w:szCs w:val="20"/>
          <w:color w:val="auto"/>
        </w:rPr>
      </w:pPr>
      <w:r>
        <w:rPr>
          <w:rFonts w:ascii="Arial" w:cs="Arial" w:eastAsia="Arial" w:hAnsi="Arial"/>
          <w:sz w:val="18"/>
          <w:szCs w:val="18"/>
          <w:color w:val="auto"/>
        </w:rPr>
        <w:t>Our preclinical proof-of-concept studies utilizing suprachoroidal delivery of marker genes using DNA nanoparticles have shown the potential for suprachoroidal administration to deliver genes. We are conducting additional preclinical work with SCS delivery of therapeutic transgenes in some inherited retinal disorders. We have also commenced a therapeutic biofactory program which will entail the suprachoroidal administration of non-viral vector gene therapy for retinal diseases. This program is designed to cause the expression and secretion of an anti-VEGF therapeutic protein from retinal cells.</w:t>
      </w:r>
    </w:p>
    <w:p>
      <w:pPr>
        <w:spacing w:after="0" w:line="80" w:lineRule="exact"/>
        <w:rPr>
          <w:sz w:val="20"/>
          <w:szCs w:val="20"/>
          <w:color w:val="auto"/>
        </w:rPr>
      </w:pPr>
    </w:p>
    <w:p>
      <w:pPr>
        <w:ind w:firstLine="549"/>
        <w:spacing w:after="0" w:line="254" w:lineRule="auto"/>
        <w:rPr>
          <w:sz w:val="20"/>
          <w:szCs w:val="20"/>
          <w:color w:val="auto"/>
        </w:rPr>
      </w:pPr>
      <w:r>
        <w:rPr>
          <w:rFonts w:ascii="Arial" w:cs="Arial" w:eastAsia="Arial" w:hAnsi="Arial"/>
          <w:sz w:val="18"/>
          <w:szCs w:val="18"/>
          <w:color w:val="auto"/>
        </w:rPr>
        <w:t>In addition, we have initiated another small molecule program utilizing suprachoroidal administration of an integrin inhibitor suspension that will initially be focused on diabetic macular edema. Integrins play a role in pathologic processes, such as inflammation, angiogenesis and fibrosis, and integrin inhibition was recently validated in preclinical models and early clinical studies of diabetic macular edema and macular degeneration. Accordingly, given the unique mechanism of action, integrin inhibition could potentially serve as primary therapy, adjunctive therapy to anti-VEGF agents, and/or secondary therapy in refractory cases of diabetic macular edema and macular degeneration. Moreover, due to its potential to address the pathologic processes in diabetic macular edema and macular degeneration, we are planning a series of additional preclinical studies with our suprachoroidally administered integrin inhibitor suspension.</w:t>
      </w:r>
    </w:p>
    <w:p>
      <w:pPr>
        <w:spacing w:after="0" w:line="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current development status of our pipeline is summarized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151765</wp:posOffset>
            </wp:positionV>
            <wp:extent cx="5477510" cy="30772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477510" cy="3077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addition to growing our internal pipeline, we are also focused on collaborating with other companies to provide access to the suprachoroidal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space.</w:t>
      </w:r>
    </w:p>
    <w:p>
      <w:pPr>
        <w:spacing w:after="0" w:line="103" w:lineRule="exact"/>
        <w:rPr>
          <w:sz w:val="20"/>
          <w:szCs w:val="20"/>
          <w:color w:val="auto"/>
        </w:rPr>
      </w:pPr>
    </w:p>
    <w:p>
      <w:pPr>
        <w:ind w:right="200" w:firstLine="549"/>
        <w:spacing w:after="0" w:line="255" w:lineRule="auto"/>
        <w:rPr>
          <w:sz w:val="20"/>
          <w:szCs w:val="20"/>
          <w:color w:val="auto"/>
        </w:rPr>
      </w:pPr>
      <w:r>
        <w:rPr>
          <w:rFonts w:ascii="Arial" w:cs="Arial" w:eastAsia="Arial" w:hAnsi="Arial"/>
          <w:sz w:val="18"/>
          <w:szCs w:val="18"/>
          <w:color w:val="auto"/>
        </w:rPr>
        <w:t>Bausch Health, or Bausch, is our commercialization partner for XIPERE in the United States and Canada. In April 2020, we granted Bausch an exclusive option, or the Option, to develop, manufacture, distribute, promote, market and commercialize XIPERE in one or more of the following regions: (i) the European Union, including the United Kingdom, (ii) Australia and New Zealand and (iii) South America and Mexico, or collectively the Additional Regions, in exchange for Bausch extending the deadline by which we must obtain regulatory approval for XIPERE in the United States. The Option may be exercised as to any or all of the Additional Regions any time before the earlier of regulatory approval of XIPERE in the United States and August 31, 2021.</w:t>
      </w:r>
    </w:p>
    <w:p>
      <w:pPr>
        <w:spacing w:after="0" w:line="84" w:lineRule="exact"/>
        <w:rPr>
          <w:sz w:val="20"/>
          <w:szCs w:val="20"/>
          <w:color w:val="auto"/>
        </w:rPr>
      </w:pPr>
    </w:p>
    <w:p>
      <w:pPr>
        <w:ind w:right="200" w:firstLine="562"/>
        <w:spacing w:after="0" w:line="286" w:lineRule="auto"/>
        <w:rPr>
          <w:sz w:val="20"/>
          <w:szCs w:val="20"/>
          <w:color w:val="auto"/>
        </w:rPr>
      </w:pPr>
      <w:r>
        <w:rPr>
          <w:rFonts w:ascii="Arial" w:cs="Arial" w:eastAsia="Arial" w:hAnsi="Arial"/>
          <w:sz w:val="17"/>
          <w:szCs w:val="17"/>
          <w:color w:val="auto"/>
        </w:rPr>
        <w:t>In March 2020, we entered into a license agreement, or the Arctic Vision License Agreement, with Arctic Vision (Hong Kong) Limited, or Arctic Vision. Pursuant to the Arctic Vision License Agreement, we granted an exclusive license to Artic Vision to develop, distribute, promote, market and commercialize XIPERE, subject to specified exceptions, in China, Hong Kong, Macau, Taiwan and South Korea.</w:t>
      </w:r>
    </w:p>
    <w:p>
      <w:pPr>
        <w:spacing w:after="0" w:line="57" w:lineRule="exact"/>
        <w:rPr>
          <w:sz w:val="20"/>
          <w:szCs w:val="20"/>
          <w:color w:val="auto"/>
        </w:rPr>
      </w:pPr>
    </w:p>
    <w:p>
      <w:pPr>
        <w:ind w:right="200" w:firstLine="549"/>
        <w:spacing w:after="0" w:line="259" w:lineRule="auto"/>
        <w:rPr>
          <w:sz w:val="20"/>
          <w:szCs w:val="20"/>
          <w:color w:val="auto"/>
        </w:rPr>
      </w:pPr>
      <w:r>
        <w:rPr>
          <w:rFonts w:ascii="Arial" w:cs="Arial" w:eastAsia="Arial" w:hAnsi="Arial"/>
          <w:sz w:val="18"/>
          <w:szCs w:val="18"/>
          <w:color w:val="auto"/>
        </w:rPr>
        <w:t>Our clinical development partners, including REGENXBIO in AAV viral vector gene therapy and Aura Biosciences in ocular cancer, continue to make progress in their programs utilizing our SCS Microinjector. REGENXBIO announced their Phase 2 clinical trial for the treatment of wet AMD is active and they also expect to initiate a Phase 2 clinical trial for the treatment of diabetic retinopathy in the second half of 2020. Aura expects to initiate a Phase 2 clinical trial for the treatment of choroidal melanoma during the third quarter of 2020.</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current development status of our pipeline with third parties, is summarized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83185</wp:posOffset>
            </wp:positionV>
            <wp:extent cx="5477510" cy="30772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477510" cy="3077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firstLine="549"/>
        <w:spacing w:after="0" w:line="271" w:lineRule="auto"/>
        <w:rPr>
          <w:sz w:val="20"/>
          <w:szCs w:val="20"/>
          <w:color w:val="auto"/>
        </w:rPr>
      </w:pPr>
      <w:r>
        <w:rPr>
          <w:rFonts w:ascii="Arial" w:cs="Arial" w:eastAsia="Arial" w:hAnsi="Arial"/>
          <w:sz w:val="17"/>
          <w:szCs w:val="17"/>
          <w:color w:val="auto"/>
        </w:rPr>
        <w:t>We have incurred net losses since our inception in May 2011. In recent years, our operations have consisted primarily of conducting preclinical studies and clinical trials and other research and development initiatives. To date, we have not generated any revenue, other than license and other revenue, and we have primarily financed our operations through public offerings and private placements of our equity securities, issuances of convertible promissory notes and loan agreements. As of June 30, 2020, we had an accumulated deficit of $246.3 million. We recorded net losses of $5.8 million and $5.7 million for the three months ended June 30, 2020 and 2019, respectively, and net losses of $8.7 million and $21.1 million for the six months ended June 30, 2020 and 2019, respectively. We anticipate that a substantial portion of our capital resources and efforts in the foreseeable future will be focused on completing the necessary development for and obtaining regulatory approval of our product candidates, as well as discovering compounds and developing proprietary solutions to utilize with our SCS Microinjector.</w:t>
      </w:r>
    </w:p>
    <w:p>
      <w:pPr>
        <w:spacing w:after="0" w:line="70"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We expect to continue to incur significant and increasing operating losses at least for the next several years. We do not expect to generate significant product or license and other revenue unless and until we successfully complete necessary development of, obtain regulatory approval for and successfully commercialize one or more of our product candidates with our licensees. Our net losses may fluctuate significantly from quarter to quarter and year to year, depending on the timing of our clinical trials and our expenditures on other research and development activities. Our clinical trial expenses have decreased significantly following our decision to</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discontinue late-stage clinical trials of XIPERE for indications other than uveitis. However, we will continue our efforts to discover, research and develop additional product candidates and conduct various preclinical and clinical activities to further our pipeline programs. Based on our current research and development plans and expected near-term partnership milestone payments, we expect to have sufficient resources to fund our planned operations into the second quarter of 2021.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on Our Business</w:t>
      </w:r>
    </w:p>
    <w:p>
      <w:pPr>
        <w:spacing w:after="0" w:line="121" w:lineRule="exact"/>
        <w:rPr>
          <w:sz w:val="20"/>
          <w:szCs w:val="20"/>
          <w:color w:val="auto"/>
        </w:rPr>
      </w:pPr>
    </w:p>
    <w:p>
      <w:pPr>
        <w:ind w:right="80" w:firstLine="562"/>
        <w:spacing w:after="0" w:line="259" w:lineRule="auto"/>
        <w:rPr>
          <w:sz w:val="20"/>
          <w:szCs w:val="20"/>
          <w:color w:val="auto"/>
        </w:rPr>
      </w:pPr>
      <w:r>
        <w:rPr>
          <w:rFonts w:ascii="Arial" w:cs="Arial" w:eastAsia="Arial" w:hAnsi="Arial"/>
          <w:sz w:val="18"/>
          <w:szCs w:val="18"/>
          <w:color w:val="auto"/>
        </w:rPr>
        <w:t>We have been actively monitoring the novel coronavirus, or COVID-19, situation and its impact globally. Our financial results for the three and six months ended June 30, 2020 were not impacted by COVID-19, and we currently do not expect any material impact on our financial results for the remainder of 2020. We continue to operate normally with the exception of enabling our employees to work from home and abiding by travel restrictions issued by federal and local governments.</w:t>
      </w:r>
    </w:p>
    <w:p>
      <w:pPr>
        <w:spacing w:after="0" w:line="79" w:lineRule="exact"/>
        <w:rPr>
          <w:sz w:val="20"/>
          <w:szCs w:val="20"/>
          <w:color w:val="auto"/>
        </w:rPr>
      </w:pPr>
    </w:p>
    <w:p>
      <w:pPr>
        <w:ind w:right="80" w:firstLine="562"/>
        <w:spacing w:after="0" w:line="257" w:lineRule="auto"/>
        <w:rPr>
          <w:sz w:val="20"/>
          <w:szCs w:val="20"/>
          <w:color w:val="auto"/>
        </w:rPr>
      </w:pPr>
      <w:r>
        <w:rPr>
          <w:rFonts w:ascii="Arial" w:cs="Arial" w:eastAsia="Arial" w:hAnsi="Arial"/>
          <w:sz w:val="18"/>
          <w:szCs w:val="18"/>
          <w:color w:val="auto"/>
        </w:rPr>
        <w:t>If the COVID-19 pandemic continues, we may experience other disruptions that could severely impact our business, results of operations and prospects. The extent to which COVID-19 may impact our business, preclinical development and clinical trials will depend on future developments, which are highly uncertain and cannot be predicted, such as the ultimate geographic spread of the disease, the duration of the outbreak, travel restrictions and social distancing in the United States and other countries, business closures or business disruptions and the effectiveness of actions taken in the United States and other countries to contain and treat the disease.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We have not generated any revenue from the sale of any drugs, and we do not expect to generate any product revenue unless or until we obtain regulatory approval of and commercialize our product candidates, either on our own or with a third party. Our revenue in recent periods has been generated primarily from our license agreements. We are seeking to enter into additional license and other agreements with third parties to evaluate the potential use of our proprietary SCS Microinjector with the third party’s product candidates for the treatment of various eye diseases. These agreements may include payments to us for technology access, upfront license payments, regulatory and commercial milestone payments and royalties.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Research and development expenses consist primarily of costs incurred for the research and development of our preclinical and clinical product candidates, which include:</w:t>
      </w:r>
    </w:p>
    <w:p>
      <w:pPr>
        <w:spacing w:after="0" w:line="62" w:lineRule="exact"/>
        <w:rPr>
          <w:sz w:val="20"/>
          <w:szCs w:val="20"/>
          <w:color w:val="auto"/>
        </w:rPr>
      </w:pPr>
    </w:p>
    <w:p>
      <w:pPr>
        <w:ind w:left="1000" w:right="740" w:hanging="493"/>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travel and share-based compensation expense for research and development personnel;</w:t>
      </w:r>
    </w:p>
    <w:p>
      <w:pPr>
        <w:spacing w:after="0" w:line="62" w:lineRule="exact"/>
        <w:rPr>
          <w:rFonts w:ascii="Arial" w:cs="Arial" w:eastAsia="Arial" w:hAnsi="Arial"/>
          <w:sz w:val="18"/>
          <w:szCs w:val="18"/>
          <w:color w:val="auto"/>
        </w:rPr>
      </w:pPr>
    </w:p>
    <w:p>
      <w:pPr>
        <w:ind w:left="1000" w:right="420" w:hanging="493"/>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expenses incurred under agreements with contract research organizations, or CROs, as well as contract manufacturing organizations and consultants that conduct clinical trials and preclinical studies;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associated with nonclinical activities and development activities;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associated with submitting regulatory approval applications for our product candidates;</w:t>
      </w:r>
    </w:p>
    <w:p>
      <w:pPr>
        <w:spacing w:after="0" w:line="117" w:lineRule="exact"/>
        <w:rPr>
          <w:rFonts w:ascii="Arial" w:cs="Arial" w:eastAsia="Arial" w:hAnsi="Arial"/>
          <w:sz w:val="18"/>
          <w:szCs w:val="18"/>
          <w:color w:val="auto"/>
        </w:rPr>
      </w:pPr>
    </w:p>
    <w:p>
      <w:pPr>
        <w:ind w:left="1000" w:right="540" w:hanging="493"/>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associated with training physicians on the suprachoroidal injection procedure and educating and providing them with appropriate product candidate information;</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associated with technology and intellectual property licenses;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for our research and development facility;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depreciation expense for assets used in research and development activities.</w:t>
      </w:r>
    </w:p>
    <w:p>
      <w:pPr>
        <w:spacing w:after="0" w:line="225"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We expense research and development costs to operations as incurred. These costs include preclinical activities, such as manufacturing and stability and toxicology studies, that are supportive of a product candidate itself. In addition, there are expenses related to clinical trials and similar activities for each program, including costs associated with CROs. Clinical costs are recognized based on the terms of underlying agreements, as well as an evaluation of the progress to completion of specific tasks using data such as patient enrollment, clinical site activations and additional information provided to us by our vendors about their actual costs occurred. Expenses related to activities that support more than one development program or activity, such as salaries, share-based compensation and depreciation, are not classified as direct preclinical costs or clinical costs and are separately classified as unallocated.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117"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The following table shows our research and development expenses by program, including those that have been discontinued, for the three and six months ended June 30, 2020 and 2019 (in thousands).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40" w:type="dxa"/>
            <w:vAlign w:val="bottom"/>
            <w:gridSpan w:val="5"/>
          </w:tcPr>
          <w:p>
            <w:pPr>
              <w:jc w:val="right"/>
              <w:ind w:right="90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7"/>
                <w:szCs w:val="17"/>
                <w:color w:val="auto"/>
              </w:rPr>
            </w:pPr>
          </w:p>
        </w:tc>
        <w:tc>
          <w:tcPr>
            <w:tcW w:w="2380" w:type="dxa"/>
            <w:vAlign w:val="bottom"/>
            <w:gridSpan w:val="6"/>
          </w:tcPr>
          <w:p>
            <w:pPr>
              <w:ind w:left="360"/>
              <w:spacing w:after="0"/>
              <w:rPr>
                <w:sz w:val="20"/>
                <w:szCs w:val="20"/>
                <w:color w:val="auto"/>
              </w:rPr>
            </w:pPr>
            <w:r>
              <w:rPr>
                <w:rFonts w:ascii="Arial" w:cs="Arial" w:eastAsia="Arial" w:hAnsi="Arial"/>
                <w:sz w:val="16"/>
                <w:szCs w:val="16"/>
                <w:b w:val="1"/>
                <w:bCs w:val="1"/>
                <w:color w:val="auto"/>
              </w:rPr>
              <w:t>Six Months Ended</w:t>
            </w:r>
          </w:p>
        </w:tc>
      </w:tr>
      <w:tr>
        <w:trPr>
          <w:trHeight w:val="213"/>
        </w:trPr>
        <w:tc>
          <w:tcPr>
            <w:tcW w:w="4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6"/>
                <w:szCs w:val="16"/>
                <w:b w:val="1"/>
                <w:bCs w:val="1"/>
                <w:color w:val="auto"/>
              </w:rPr>
              <w:t>June 30,</w:t>
            </w:r>
          </w:p>
        </w:tc>
        <w:tc>
          <w:tcPr>
            <w:tcW w:w="84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jc w:val="right"/>
              <w:ind w:right="27"/>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4340" w:type="dxa"/>
            <w:vAlign w:val="bottom"/>
            <w:tcBorders>
              <w:bottom w:val="single" w:sz="8" w:color="CFF0FC"/>
            </w:tcBorders>
          </w:tcPr>
          <w:p>
            <w:pPr>
              <w:spacing w:after="0"/>
              <w:rPr>
                <w:sz w:val="18"/>
                <w:szCs w:val="18"/>
                <w:color w:val="auto"/>
              </w:rPr>
            </w:pPr>
          </w:p>
        </w:tc>
        <w:tc>
          <w:tcPr>
            <w:tcW w:w="14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2019</w:t>
            </w:r>
          </w:p>
        </w:tc>
        <w:tc>
          <w:tcPr>
            <w:tcW w:w="4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FF0FC"/>
            </w:tcBorders>
          </w:tcPr>
          <w:p>
            <w:pPr>
              <w:spacing w:after="0"/>
              <w:rPr>
                <w:sz w:val="18"/>
                <w:szCs w:val="18"/>
                <w:color w:val="auto"/>
              </w:rPr>
            </w:pPr>
          </w:p>
        </w:tc>
      </w:tr>
      <w:tr>
        <w:trPr>
          <w:trHeight w:val="226"/>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XIPERE (uveitis program)</w:t>
            </w: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w:t>
            </w:r>
          </w:p>
        </w:tc>
        <w:tc>
          <w:tcPr>
            <w:tcW w:w="4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1,702</w:t>
            </w:r>
          </w:p>
        </w:tc>
        <w:tc>
          <w:tcPr>
            <w:tcW w:w="120" w:type="dxa"/>
            <w:vAlign w:val="bottom"/>
            <w:shd w:val="clear" w:color="auto" w:fill="CFF0FC"/>
          </w:tcPr>
          <w:p>
            <w:pPr>
              <w:spacing w:after="0"/>
              <w:rPr>
                <w:sz w:val="19"/>
                <w:szCs w:val="19"/>
                <w:color w:val="auto"/>
              </w:rPr>
            </w:pPr>
          </w:p>
        </w:tc>
      </w:tr>
      <w:tr>
        <w:trPr>
          <w:trHeight w:val="229"/>
        </w:trPr>
        <w:tc>
          <w:tcPr>
            <w:tcW w:w="4340" w:type="dxa"/>
            <w:vAlign w:val="bottom"/>
          </w:tcPr>
          <w:p>
            <w:pPr>
              <w:spacing w:after="0"/>
              <w:rPr>
                <w:sz w:val="20"/>
                <w:szCs w:val="20"/>
                <w:color w:val="auto"/>
              </w:rPr>
            </w:pPr>
            <w:r>
              <w:rPr>
                <w:rFonts w:ascii="Arial" w:cs="Arial" w:eastAsia="Arial" w:hAnsi="Arial"/>
                <w:sz w:val="18"/>
                <w:szCs w:val="18"/>
                <w:color w:val="auto"/>
              </w:rPr>
              <w:t>XIPERE (RVO program)</w:t>
            </w: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(2,622)</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4,180</w:t>
            </w:r>
          </w:p>
        </w:tc>
        <w:tc>
          <w:tcPr>
            <w:tcW w:w="120" w:type="dxa"/>
            <w:vAlign w:val="bottom"/>
          </w:tcPr>
          <w:p>
            <w:pPr>
              <w:spacing w:after="0"/>
              <w:rPr>
                <w:sz w:val="19"/>
                <w:szCs w:val="19"/>
                <w:color w:val="auto"/>
              </w:rPr>
            </w:pPr>
          </w:p>
        </w:tc>
      </w:tr>
      <w:tr>
        <w:trPr>
          <w:trHeight w:val="229"/>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CLS-AX (wet AMD program)</w:t>
            </w: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4340" w:type="dxa"/>
            <w:vAlign w:val="bottom"/>
          </w:tcPr>
          <w:p>
            <w:pPr>
              <w:ind w:left="500"/>
              <w:spacing w:after="0"/>
              <w:rPr>
                <w:sz w:val="20"/>
                <w:szCs w:val="20"/>
                <w:color w:val="auto"/>
              </w:rPr>
            </w:pPr>
            <w:r>
              <w:rPr>
                <w:rFonts w:ascii="Arial" w:cs="Arial" w:eastAsia="Arial" w:hAnsi="Arial"/>
                <w:sz w:val="18"/>
                <w:szCs w:val="18"/>
                <w:color w:val="auto"/>
              </w:rPr>
              <w:t>Total</w:t>
            </w:r>
          </w:p>
        </w:tc>
        <w:tc>
          <w:tcPr>
            <w:tcW w:w="14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1,273</w:t>
            </w:r>
          </w:p>
        </w:tc>
        <w:tc>
          <w:tcPr>
            <w:tcW w:w="2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(2,103)</w:t>
            </w:r>
          </w:p>
        </w:tc>
        <w:tc>
          <w:tcPr>
            <w:tcW w:w="4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5,882</w:t>
            </w:r>
          </w:p>
        </w:tc>
        <w:tc>
          <w:tcPr>
            <w:tcW w:w="120" w:type="dxa"/>
            <w:vAlign w:val="bottom"/>
          </w:tcPr>
          <w:p>
            <w:pPr>
              <w:spacing w:after="0"/>
              <w:rPr>
                <w:sz w:val="19"/>
                <w:szCs w:val="19"/>
                <w:color w:val="auto"/>
              </w:rPr>
            </w:pPr>
          </w:p>
        </w:tc>
      </w:tr>
      <w:tr>
        <w:trPr>
          <w:trHeight w:val="229"/>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Unallocated</w:t>
            </w:r>
          </w:p>
        </w:tc>
        <w:tc>
          <w:tcPr>
            <w:tcW w:w="14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2,027</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2,761</w:t>
            </w:r>
          </w:p>
        </w:tc>
        <w:tc>
          <w:tcPr>
            <w:tcW w:w="4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5,743</w:t>
            </w:r>
          </w:p>
        </w:tc>
        <w:tc>
          <w:tcPr>
            <w:tcW w:w="120" w:type="dxa"/>
            <w:vAlign w:val="bottom"/>
            <w:shd w:val="clear" w:color="auto" w:fill="CFF0FC"/>
          </w:tcPr>
          <w:p>
            <w:pPr>
              <w:spacing w:after="0"/>
              <w:rPr>
                <w:sz w:val="19"/>
                <w:szCs w:val="19"/>
                <w:color w:val="auto"/>
              </w:rPr>
            </w:pP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Total research and development expense</w:t>
            </w:r>
          </w:p>
        </w:tc>
        <w:tc>
          <w:tcPr>
            <w:tcW w:w="14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4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11,625</w:t>
            </w:r>
          </w:p>
        </w:tc>
        <w:tc>
          <w:tcPr>
            <w:tcW w:w="120" w:type="dxa"/>
            <w:vAlign w:val="bottom"/>
          </w:tcPr>
          <w:p>
            <w:pPr>
              <w:spacing w:after="0"/>
              <w:rPr>
                <w:sz w:val="19"/>
                <w:szCs w:val="19"/>
                <w:color w:val="auto"/>
              </w:rPr>
            </w:pPr>
          </w:p>
        </w:tc>
      </w:tr>
      <w:tr>
        <w:trPr>
          <w:trHeight w:val="20"/>
        </w:trPr>
        <w:tc>
          <w:tcPr>
            <w:tcW w:w="4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auto"/>
        </w:rPr>
        <w:t>Our expenses related to clinical trials are based on estimates of patient enrollment and related expenses at clinical investigator sites as well as estimates for the services received and efforts expended under contracts with research institutions, consultants and CROs that conduct and manage clinical trials on our behalf. We generally accrue expenses related to clinical trials based on contracted amounts applied to the level of patient enrollment and activity according to the protocol. If future timelines or contracts are modified based upon changes in the clinical trial protocol or scope of work to be performed, we would modify our estimates of accrued expenses accordingly on a prospective basis.</w:t>
      </w:r>
    </w:p>
    <w:p>
      <w:pPr>
        <w:spacing w:after="0" w:line="68"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It is difficult to determine with certainty the duration and completion costs of our current or future preclinical programs and clinical trials of our product candidates, or if, when or to what extent we will generate revenues from the commercialization and sale of any of our product candidates that obtain regulatory approval. We may never succeed in achieving regulatory approval for any of our product candidates.</w:t>
      </w:r>
    </w:p>
    <w:p>
      <w:pPr>
        <w:spacing w:after="0" w:line="68"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The duration, costs and timing of clinical trials and development of our product candidates will depend on a variety of factors that may include, among others:</w:t>
      </w:r>
    </w:p>
    <w:p>
      <w:pPr>
        <w:spacing w:after="0" w:line="62" w:lineRule="exact"/>
        <w:rPr>
          <w:sz w:val="20"/>
          <w:szCs w:val="20"/>
          <w:color w:val="auto"/>
        </w:rPr>
      </w:pPr>
    </w:p>
    <w:p>
      <w:pPr>
        <w:ind w:left="1000" w:right="240" w:hanging="493"/>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associated with process development, scale-up and manufacturing of XIPERE and the SCS Microinjector in support of filings for regulatory approval;</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trials required for approval and any requirement for extension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 patient trial costs;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patients that participate in the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countries in which the trials are conducted;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doses that patients receive;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potential impact of the COVID-19 pandemic on the enrollment in, and timing of, our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drop-out or discontinuation rates of patients;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additional safety monitoring or other studies requested by regulatory agencies;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duration of patient follow-up;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efficacy and safety profiles of the product candidates.</w:t>
      </w:r>
    </w:p>
    <w:p>
      <w:pPr>
        <w:spacing w:after="0" w:line="117" w:lineRule="exact"/>
        <w:rPr>
          <w:sz w:val="20"/>
          <w:szCs w:val="20"/>
          <w:color w:val="auto"/>
        </w:rPr>
      </w:pPr>
    </w:p>
    <w:p>
      <w:pPr>
        <w:ind w:right="80" w:firstLine="510"/>
        <w:spacing w:after="0" w:line="286" w:lineRule="auto"/>
        <w:rPr>
          <w:sz w:val="20"/>
          <w:szCs w:val="20"/>
          <w:color w:val="auto"/>
        </w:rPr>
      </w:pPr>
      <w:r>
        <w:rPr>
          <w:rFonts w:ascii="Arial" w:cs="Arial" w:eastAsia="Arial" w:hAnsi="Arial"/>
          <w:sz w:val="17"/>
          <w:szCs w:val="17"/>
          <w:color w:val="auto"/>
        </w:rPr>
        <w:t>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General and administrative expenses consist primarily of salaries and other related costs, including share-based compensation, for personnel in executive, finance and administrative functions. General and administrative costs historically included commercial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11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pre-launch preparations for XIPERE, and also include facility related costs not otherwise included in research and development expenses, as well as professional fees for legal, patent, consulting, and accounting and audit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Other income consists of interest income earned on our cash and cash equivalents and short-term investments. Interest income is not considered significant to our financial statements.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expense consists of interest expense incurred under our loan agreements.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financial statements, which have been prepared in accordance with accounting principles generally accepted in the United States of America, or U.S. GAAP. The preparation of these financial statements requires us to make estimates, judgments and assumptions that affect the reported amounts of assets and liabilities, disclosure of contingent assets and liabilities as of the dates of the balance sheets and the reported amounts of expenses during the reporting periods. In accordance with U.S. GAAP, we evaluate our estimates and judgments on an ongoing basis. Significant estimates include assumptions used in the determination of share-based compensation and some of our research and development expenses.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57"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We define our critical accounting policies as those accounting principles generally accepted in the United States of America that require us to make subjective estimates and judgments about matters that are uncertain and are likely to have a material impact on our financial condition and results of operations, as well as the specific manner in which we apply those principles. During the six months ended June 30, 2020, there were no significant changes to our critical accounting policies disclosed in our audited financial statements for the year ended December 31, 2019, which are included in our Annual Report on Form 10-K, as filed with the SEC on March 13,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June 30, 2020 and 2019</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results of operations for the three months ended June 30, 2020 and 2019.</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3140" w:type="dxa"/>
            <w:vAlign w:val="bottom"/>
            <w:gridSpan w:val="7"/>
          </w:tcPr>
          <w:p>
            <w:pPr>
              <w:jc w:val="right"/>
              <w:ind w:right="96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44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June 30,</w:t>
            </w:r>
          </w:p>
        </w:tc>
        <w:tc>
          <w:tcPr>
            <w:tcW w:w="11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7"/>
              </w:rPr>
              <w:t>Period-to-Period</w:t>
            </w:r>
          </w:p>
        </w:tc>
      </w:tr>
      <w:tr>
        <w:trPr>
          <w:trHeight w:val="213"/>
        </w:trPr>
        <w:tc>
          <w:tcPr>
            <w:tcW w:w="44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432"/>
              <w:spacing w:after="0"/>
              <w:rPr>
                <w:sz w:val="20"/>
                <w:szCs w:val="20"/>
                <w:color w:val="auto"/>
              </w:rPr>
            </w:pPr>
            <w:r>
              <w:rPr>
                <w:rFonts w:ascii="Arial" w:cs="Arial" w:eastAsia="Arial" w:hAnsi="Arial"/>
                <w:sz w:val="16"/>
                <w:szCs w:val="16"/>
                <w:b w:val="1"/>
                <w:bCs w:val="1"/>
                <w:color w:val="auto"/>
              </w:rPr>
              <w:t>2019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Change</w:t>
            </w:r>
          </w:p>
        </w:tc>
      </w:tr>
      <w:tr>
        <w:trPr>
          <w:trHeight w:val="210"/>
        </w:trPr>
        <w:tc>
          <w:tcPr>
            <w:tcW w:w="44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6"/>
                <w:szCs w:val="16"/>
                <w:b w:val="1"/>
                <w:bCs w:val="1"/>
                <w:color w:val="auto"/>
                <w:w w:val="87"/>
              </w:rPr>
              <w:t>(in thousands)</w:t>
            </w: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2"/>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License and other revenue</w:t>
            </w:r>
          </w:p>
        </w:tc>
        <w:tc>
          <w:tcPr>
            <w:tcW w:w="3000" w:type="dxa"/>
            <w:vAlign w:val="bottom"/>
            <w:gridSpan w:val="2"/>
            <w:shd w:val="clear" w:color="auto" w:fill="CFF0FC"/>
          </w:tcPr>
          <w:p>
            <w:pPr>
              <w:jc w:val="right"/>
              <w:ind w:right="636"/>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16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FF0FC"/>
          </w:tcPr>
          <w:p>
            <w:pPr>
              <w:spacing w:after="0"/>
              <w:rPr>
                <w:sz w:val="20"/>
                <w:szCs w:val="20"/>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Operating expenses:</w:t>
            </w:r>
          </w:p>
        </w:tc>
        <w:tc>
          <w:tcPr>
            <w:tcW w:w="2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2,642</w:t>
            </w:r>
          </w:p>
        </w:tc>
        <w:tc>
          <w:tcPr>
            <w:tcW w:w="100" w:type="dxa"/>
            <w:vAlign w:val="bottom"/>
            <w:shd w:val="clear" w:color="auto" w:fill="CFF0FC"/>
          </w:tcPr>
          <w:p>
            <w:pPr>
              <w:spacing w:after="0"/>
              <w:rPr>
                <w:sz w:val="19"/>
                <w:szCs w:val="19"/>
                <w:color w:val="auto"/>
              </w:rPr>
            </w:pPr>
          </w:p>
        </w:tc>
      </w:tr>
      <w:tr>
        <w:trPr>
          <w:trHeight w:val="230"/>
        </w:trPr>
        <w:tc>
          <w:tcPr>
            <w:tcW w:w="448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2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2,611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5,004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(2,393)</w:t>
            </w:r>
          </w:p>
        </w:tc>
      </w:tr>
      <w:tr>
        <w:trPr>
          <w:trHeight w:val="223"/>
        </w:trPr>
        <w:tc>
          <w:tcPr>
            <w:tcW w:w="44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218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5,911</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5,662</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Loss from operations</w:t>
            </w:r>
          </w:p>
        </w:tc>
        <w:tc>
          <w:tcPr>
            <w:tcW w:w="2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4"/>
              </w:rPr>
              <w:t>(5,557)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(5,617)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Other expense</w:t>
            </w:r>
          </w:p>
        </w:tc>
        <w:tc>
          <w:tcPr>
            <w:tcW w:w="2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(197)</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(117)</w:t>
            </w: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(80)</w:t>
            </w: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Net loss</w:t>
            </w:r>
          </w:p>
        </w:tc>
        <w:tc>
          <w:tcPr>
            <w:tcW w:w="21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36"/>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(5,754)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(5,734)</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r>
      <w:tr>
        <w:trPr>
          <w:trHeight w:val="20"/>
        </w:trPr>
        <w:tc>
          <w:tcPr>
            <w:tcW w:w="44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20" w:firstLine="510"/>
        <w:spacing w:after="0" w:line="286" w:lineRule="auto"/>
        <w:rPr>
          <w:sz w:val="20"/>
          <w:szCs w:val="20"/>
          <w:color w:val="auto"/>
        </w:rPr>
      </w:pPr>
      <w:r>
        <w:rPr>
          <w:rFonts w:ascii="Arial" w:cs="Arial" w:eastAsia="Arial" w:hAnsi="Arial"/>
          <w:sz w:val="17"/>
          <w:szCs w:val="17"/>
          <w:i w:val="1"/>
          <w:iCs w:val="1"/>
          <w:color w:val="auto"/>
        </w:rPr>
        <w:t>Revenue</w:t>
      </w:r>
      <w:r>
        <w:rPr>
          <w:rFonts w:ascii="Arial" w:cs="Arial" w:eastAsia="Arial" w:hAnsi="Arial"/>
          <w:sz w:val="17"/>
          <w:szCs w:val="17"/>
          <w:color w:val="auto"/>
        </w:rPr>
        <w:t>. In the three months ended June 30, 2020, we recognized $0.2 million of revenue associated with our license agreements. In addition, in the</w:t>
      </w:r>
      <w:r>
        <w:rPr>
          <w:rFonts w:ascii="Arial" w:cs="Arial" w:eastAsia="Arial" w:hAnsi="Arial"/>
          <w:sz w:val="17"/>
          <w:szCs w:val="17"/>
          <w:i w:val="1"/>
          <w:iCs w:val="1"/>
          <w:color w:val="auto"/>
        </w:rPr>
        <w:t xml:space="preserve"> </w:t>
      </w:r>
      <w:r>
        <w:rPr>
          <w:rFonts w:ascii="Arial" w:cs="Arial" w:eastAsia="Arial" w:hAnsi="Arial"/>
          <w:sz w:val="17"/>
          <w:szCs w:val="17"/>
          <w:color w:val="auto"/>
        </w:rPr>
        <w:t>three months ended June 30, 2020 and 2019, we recognized $0.2 million and $45,000 of revenue associated with other agreements to evaluate the potential use of our proprietary SCS Microinjector with third-party product candidates for the treatment of various diseases.</w:t>
      </w:r>
    </w:p>
    <w:p>
      <w:pPr>
        <w:spacing w:after="0" w:line="57"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Research and development expense increased by $2.6 million, from $0.7 million for the three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2019 to $3.3 million for the three months ended June 30, 2020. This was primarily attributable to a one-time credit of $2.6 million during the three months ended June 30, 2019 upon reconciliation of final trial costs for the two late-stage clinical trials, SAPPHIRE and TOPAZ, that were part of our RVO program that has been discontinued. Additionally, there was a $0.7 million decrease in expenses in costs for preclinical work on potential product candidates and a $0.3 million decrease in employee-related costs. These decreases were offset by a $0.5 million increase in costs related to device and drug manufacturing primarily for CLS-AX.</w:t>
      </w:r>
    </w:p>
    <w:p>
      <w:pPr>
        <w:spacing w:after="0" w:line="84" w:lineRule="exact"/>
        <w:rPr>
          <w:sz w:val="20"/>
          <w:szCs w:val="20"/>
          <w:color w:val="auto"/>
        </w:rPr>
      </w:pPr>
    </w:p>
    <w:p>
      <w:pPr>
        <w:jc w:val="both"/>
        <w:ind w:right="120" w:firstLine="510"/>
        <w:spacing w:after="0" w:line="259"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expenses decreased by $2.4 million, from $5.0 million for the three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2019 to $2.6 million for the three months ended June 30, 2020. This was primarily attributable to a decrease of $1.2 million in marketing-related expenses related to the change of our business strategy to seek partners for XIPERE rather than commercializing XIPERE on our own, a decrease of $0.2 million in professional fees, and a decrease of $1.1 million in employee-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related costs due to expenses incurred in the prior year related to the departure of our former chief executive officer. These decreases were partially offset by an increase of $0.1 million in directors and officers insurance premiums.</w:t>
      </w:r>
    </w:p>
    <w:p>
      <w:pPr>
        <w:spacing w:after="0" w:line="62"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i w:val="1"/>
          <w:iCs w:val="1"/>
          <w:color w:val="auto"/>
        </w:rPr>
        <w:t>Other expense</w:t>
      </w:r>
      <w:r>
        <w:rPr>
          <w:rFonts w:ascii="Arial" w:cs="Arial" w:eastAsia="Arial" w:hAnsi="Arial"/>
          <w:sz w:val="18"/>
          <w:szCs w:val="18"/>
          <w:color w:val="auto"/>
        </w:rPr>
        <w:t>. Other expense for each of the three months ended June 30, 2020 and 2019 primarily consisted of interest on long-term debt, the</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of financing costs, the accretion of warrants and the final payment related to our prior loan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Six Months Ended June 30, 2020 and 2019</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results of operations for the six months ended June 30, 2020 and 2019.</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40" w:type="dxa"/>
            <w:vAlign w:val="bottom"/>
            <w:gridSpan w:val="6"/>
          </w:tcPr>
          <w:p>
            <w:pPr>
              <w:jc w:val="right"/>
              <w:ind w:right="1060"/>
              <w:spacing w:after="0"/>
              <w:rPr>
                <w:sz w:val="20"/>
                <w:szCs w:val="20"/>
                <w:color w:val="auto"/>
              </w:rPr>
            </w:pPr>
            <w:r>
              <w:rPr>
                <w:rFonts w:ascii="Arial" w:cs="Arial" w:eastAsia="Arial" w:hAnsi="Arial"/>
                <w:sz w:val="16"/>
                <w:szCs w:val="16"/>
                <w:b w:val="1"/>
                <w:bCs w:val="1"/>
                <w:color w:val="auto"/>
              </w:rPr>
              <w:t>Six Months Ended</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44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June 30,</w:t>
            </w:r>
          </w:p>
        </w:tc>
        <w:tc>
          <w:tcPr>
            <w:tcW w:w="11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7"/>
              </w:rPr>
              <w:t>Period-to-Period</w:t>
            </w:r>
          </w:p>
        </w:tc>
      </w:tr>
      <w:tr>
        <w:trPr>
          <w:trHeight w:val="213"/>
        </w:trPr>
        <w:tc>
          <w:tcPr>
            <w:tcW w:w="44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3"/>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432"/>
              <w:spacing w:after="0"/>
              <w:rPr>
                <w:sz w:val="20"/>
                <w:szCs w:val="20"/>
                <w:color w:val="auto"/>
              </w:rPr>
            </w:pPr>
            <w:r>
              <w:rPr>
                <w:rFonts w:ascii="Arial" w:cs="Arial" w:eastAsia="Arial" w:hAnsi="Arial"/>
                <w:sz w:val="16"/>
                <w:szCs w:val="16"/>
                <w:b w:val="1"/>
                <w:bCs w:val="1"/>
                <w:color w:val="auto"/>
              </w:rPr>
              <w:t>2019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Change</w:t>
            </w:r>
          </w:p>
        </w:tc>
      </w:tr>
      <w:tr>
        <w:trPr>
          <w:trHeight w:val="209"/>
        </w:trPr>
        <w:tc>
          <w:tcPr>
            <w:tcW w:w="44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6"/>
                <w:szCs w:val="16"/>
                <w:b w:val="1"/>
                <w:bCs w:val="1"/>
                <w:color w:val="auto"/>
                <w:w w:val="87"/>
              </w:rPr>
              <w:t>(in thousands)</w:t>
            </w: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2"/>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License and other revenue</w:t>
            </w:r>
          </w:p>
        </w:tc>
        <w:tc>
          <w:tcPr>
            <w:tcW w:w="24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4,451</w:t>
            </w:r>
          </w:p>
        </w:tc>
        <w:tc>
          <w:tcPr>
            <w:tcW w:w="16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4,361</w:t>
            </w:r>
          </w:p>
        </w:tc>
        <w:tc>
          <w:tcPr>
            <w:tcW w:w="100" w:type="dxa"/>
            <w:vAlign w:val="bottom"/>
            <w:shd w:val="clear" w:color="auto" w:fill="CFF0FC"/>
          </w:tcPr>
          <w:p>
            <w:pPr>
              <w:spacing w:after="0"/>
              <w:rPr>
                <w:sz w:val="20"/>
                <w:szCs w:val="20"/>
                <w:color w:val="auto"/>
              </w:rPr>
            </w:pPr>
          </w:p>
        </w:tc>
      </w:tr>
      <w:tr>
        <w:trPr>
          <w:trHeight w:val="229"/>
        </w:trPr>
        <w:tc>
          <w:tcPr>
            <w:tcW w:w="4480" w:type="dxa"/>
            <w:vAlign w:val="bottom"/>
          </w:tcPr>
          <w:p>
            <w:pPr>
              <w:spacing w:after="0"/>
              <w:rPr>
                <w:sz w:val="20"/>
                <w:szCs w:val="20"/>
                <w:color w:val="auto"/>
              </w:rPr>
            </w:pPr>
            <w:r>
              <w:rPr>
                <w:rFonts w:ascii="Arial" w:cs="Arial" w:eastAsia="Arial" w:hAnsi="Arial"/>
                <w:sz w:val="18"/>
                <w:szCs w:val="18"/>
                <w:color w:val="auto"/>
              </w:rPr>
              <w:t>Operating expenses:</w:t>
            </w:r>
          </w:p>
        </w:tc>
        <w:tc>
          <w:tcPr>
            <w:tcW w:w="2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11,625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(4,514)</w:t>
            </w:r>
          </w:p>
        </w:tc>
      </w:tr>
      <w:tr>
        <w:trPr>
          <w:trHeight w:val="229"/>
        </w:trPr>
        <w:tc>
          <w:tcPr>
            <w:tcW w:w="448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2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5,733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9,388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(3,655)</w:t>
            </w:r>
          </w:p>
        </w:tc>
      </w:tr>
      <w:tr>
        <w:trPr>
          <w:trHeight w:val="223"/>
        </w:trPr>
        <w:tc>
          <w:tcPr>
            <w:tcW w:w="44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21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12,844</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21,013</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(8,169)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Loss from operations</w:t>
            </w:r>
          </w:p>
        </w:tc>
        <w:tc>
          <w:tcPr>
            <w:tcW w:w="2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(8,393)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(20,923)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12,530</w:t>
            </w:r>
          </w:p>
        </w:tc>
        <w:tc>
          <w:tcPr>
            <w:tcW w:w="100" w:type="dxa"/>
            <w:vAlign w:val="bottom"/>
          </w:tcPr>
          <w:p>
            <w:pPr>
              <w:spacing w:after="0"/>
              <w:rPr>
                <w:sz w:val="19"/>
                <w:szCs w:val="19"/>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Other expense</w:t>
            </w:r>
          </w:p>
        </w:tc>
        <w:tc>
          <w:tcPr>
            <w:tcW w:w="2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(272)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(215)</w:t>
            </w: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(57)</w:t>
            </w: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Net loss</w:t>
            </w:r>
          </w:p>
        </w:tc>
        <w:tc>
          <w:tcPr>
            <w:tcW w:w="2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(8,665)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(21,138)</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12,473</w:t>
            </w:r>
          </w:p>
        </w:tc>
        <w:tc>
          <w:tcPr>
            <w:tcW w:w="100" w:type="dxa"/>
            <w:vAlign w:val="bottom"/>
          </w:tcPr>
          <w:p>
            <w:pPr>
              <w:spacing w:after="0"/>
              <w:rPr>
                <w:sz w:val="19"/>
                <w:szCs w:val="19"/>
                <w:color w:val="auto"/>
              </w:rPr>
            </w:pPr>
          </w:p>
        </w:tc>
      </w:tr>
      <w:tr>
        <w:trPr>
          <w:trHeight w:val="20"/>
        </w:trPr>
        <w:tc>
          <w:tcPr>
            <w:tcW w:w="44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 In the six months ended June 30, 2020, we recognized $4.3 million of revenue associated with our license agreements, primarily as a result</w:t>
      </w:r>
      <w:r>
        <w:rPr>
          <w:rFonts w:ascii="Arial" w:cs="Arial" w:eastAsia="Arial" w:hAnsi="Arial"/>
          <w:sz w:val="18"/>
          <w:szCs w:val="18"/>
          <w:i w:val="1"/>
          <w:iCs w:val="1"/>
          <w:color w:val="auto"/>
        </w:rPr>
        <w:t xml:space="preserve"> </w:t>
      </w:r>
      <w:r>
        <w:rPr>
          <w:rFonts w:ascii="Arial" w:cs="Arial" w:eastAsia="Arial" w:hAnsi="Arial"/>
          <w:sz w:val="18"/>
          <w:szCs w:val="18"/>
          <w:color w:val="auto"/>
        </w:rPr>
        <w:t>of the upfront payment from Arctic Vision in March 2020. In addition, in the six months ended June 30, 2020 and 2019, we recognized $0.2 million and $90,000, respectively, of revenue associated with other agreements.</w:t>
      </w:r>
    </w:p>
    <w:p>
      <w:pPr>
        <w:spacing w:after="0" w:line="76"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Research and development expense decreased by $4.5 million, from $11.6 million for the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2019 to $7.1 million for the six months ended June 30, 2020. This decrease was primarily attributable to the $4.1 million in costs incurred during the six months ended June 30, 2019 to close down the SAPPHIRE and TOPAZ trials. Additionally, there was a $0.8 million decrease in employee-related costs between the periods. These decreases were partially offset by a $0.5 million increase in costs related to device and drug manufacturing, primarily for CLS-AX.</w:t>
      </w:r>
    </w:p>
    <w:p>
      <w:pPr>
        <w:spacing w:after="0" w:line="80" w:lineRule="exact"/>
        <w:rPr>
          <w:sz w:val="20"/>
          <w:szCs w:val="20"/>
          <w:color w:val="auto"/>
        </w:rPr>
      </w:pPr>
    </w:p>
    <w:p>
      <w:pPr>
        <w:ind w:right="260" w:firstLine="510"/>
        <w:spacing w:after="0" w:line="301" w:lineRule="auto"/>
        <w:rPr>
          <w:sz w:val="20"/>
          <w:szCs w:val="20"/>
          <w:color w:val="auto"/>
        </w:rPr>
      </w:pPr>
      <w:r>
        <w:rPr>
          <w:rFonts w:ascii="Arial" w:cs="Arial" w:eastAsia="Arial" w:hAnsi="Arial"/>
          <w:sz w:val="16"/>
          <w:szCs w:val="16"/>
          <w:i w:val="1"/>
          <w:iCs w:val="1"/>
          <w:color w:val="auto"/>
        </w:rPr>
        <w:t>General and administrative</w:t>
      </w:r>
      <w:r>
        <w:rPr>
          <w:rFonts w:ascii="Arial" w:cs="Arial" w:eastAsia="Arial" w:hAnsi="Arial"/>
          <w:sz w:val="16"/>
          <w:szCs w:val="16"/>
          <w:color w:val="auto"/>
        </w:rPr>
        <w:t>. General and administrative expenses decreased by $3.7 million, from $9.4 million for the six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2019 to $5.7 million for the six months ended June 30, 2020. This decrease was primarily attributable to a $2.5 million reduction in marketing-related expenses related to the change of our business strategy to seek partners for XIPERE rather than commercializing XIPERE on our own and a decrease of $1.2 million of employee-related costs due to expenses incurred in the prior year related to the departure of our former chief executive officer.</w:t>
      </w:r>
    </w:p>
    <w:p>
      <w:pPr>
        <w:spacing w:after="0" w:line="49"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i w:val="1"/>
          <w:iCs w:val="1"/>
          <w:color w:val="auto"/>
        </w:rPr>
        <w:t>Other expense</w:t>
      </w:r>
      <w:r>
        <w:rPr>
          <w:rFonts w:ascii="Arial" w:cs="Arial" w:eastAsia="Arial" w:hAnsi="Arial"/>
          <w:sz w:val="18"/>
          <w:szCs w:val="18"/>
          <w:color w:val="auto"/>
        </w:rPr>
        <w:t>. Other expense for each of the six months ended June 30, 2020 and 2019 primarily consisted of interest on long-term debt, the</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of financing costs, the accretion of warrants and the final payment related to our prior loan agreement, offset in part by interest income from our short-term investments.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right="60" w:firstLine="510"/>
        <w:spacing w:after="0" w:line="311" w:lineRule="auto"/>
        <w:rPr>
          <w:sz w:val="20"/>
          <w:szCs w:val="20"/>
          <w:color w:val="auto"/>
        </w:rPr>
      </w:pPr>
      <w:r>
        <w:rPr>
          <w:rFonts w:ascii="Arial" w:cs="Arial" w:eastAsia="Arial" w:hAnsi="Arial"/>
          <w:sz w:val="16"/>
          <w:szCs w:val="16"/>
          <w:color w:val="auto"/>
        </w:rPr>
        <w:t>We have funded our operations primarily through the proceeds of public offerings of our common stock, sales of convertible preferred stock and the issuance of long-term debt. As of June 30, 2020, we had cash and cash equivalents of $15.1 million. We invest any cash in excess of our immediate requirements primarily with a view to liquidity and capital preservation. As of June 30, 2020, our funds were held in cash and money market funds.</w:t>
      </w:r>
    </w:p>
    <w:p>
      <w:pPr>
        <w:spacing w:after="0" w:line="41"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auto"/>
        </w:rPr>
        <w:t>On April 20, 2020, we entered into a loan agreement with Silicon Valley Bank under the terms of which Silicon Valley bank loaned us $1.0 million, or the PPP Loan, pursuant to the Paycheck Protection Program, or PPP, under the Coronavirus Aid, Relief, and Economic Security Act, or CARES Act. In accordance with the requirements of the CARES Act, we have used the proceeds primarily for payroll costs and other eligible expenses. The CARES Act and the PPP provide a mechanism for forgiveness of up to the full amount borrowed. Under the PPP, we intend to apply for forgiveness for the full amount of the PPP Loan, in which case we would not be required to repay the principal amount or accrued interest.</w:t>
      </w:r>
    </w:p>
    <w:p>
      <w:pPr>
        <w:spacing w:after="0" w:line="68" w:lineRule="exact"/>
        <w:rPr>
          <w:sz w:val="20"/>
          <w:szCs w:val="20"/>
          <w:color w:val="auto"/>
        </w:rPr>
      </w:pPr>
    </w:p>
    <w:p>
      <w:pPr>
        <w:jc w:val="both"/>
        <w:ind w:right="240" w:firstLine="510"/>
        <w:spacing w:after="0" w:line="263" w:lineRule="auto"/>
        <w:rPr>
          <w:sz w:val="20"/>
          <w:szCs w:val="20"/>
          <w:color w:val="auto"/>
        </w:rPr>
      </w:pPr>
      <w:r>
        <w:rPr>
          <w:rFonts w:ascii="Arial" w:cs="Arial" w:eastAsia="Arial" w:hAnsi="Arial"/>
          <w:sz w:val="18"/>
          <w:szCs w:val="18"/>
          <w:color w:val="auto"/>
        </w:rPr>
        <w:t>On March 10, 2020, we entered into the Arctic License Agreement. Pursuant to the Arctic License Agreement, we granted an exclusive license to Artic Vision to develop, distribute, promote, market and commercialize XIPERE, subject to specified exceptions, in the Arctic Territory. Pursuant to the Arctic License Agreement, Arctic Vision has agreed to pay us up to a total of $35.5 million.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117" w:lineRule="exact"/>
        <w:rPr>
          <w:sz w:val="20"/>
          <w:szCs w:val="20"/>
          <w:color w:val="auto"/>
        </w:rPr>
      </w:pPr>
    </w:p>
    <w:p>
      <w:pPr>
        <w:jc w:val="both"/>
        <w:ind w:right="240"/>
        <w:spacing w:after="0" w:line="279" w:lineRule="auto"/>
        <w:rPr>
          <w:sz w:val="20"/>
          <w:szCs w:val="20"/>
          <w:color w:val="auto"/>
        </w:rPr>
      </w:pPr>
      <w:r>
        <w:rPr>
          <w:rFonts w:ascii="Arial" w:cs="Arial" w:eastAsia="Arial" w:hAnsi="Arial"/>
          <w:sz w:val="17"/>
          <w:szCs w:val="17"/>
          <w:color w:val="auto"/>
        </w:rPr>
        <w:t>This amount includes an upfront payment of $4.0 million, which we received in March 2020, as well as an aggregate of up to $31.5 million in potential development milestone payments for specified events prior to and including receipt of regulatory approval of XIPERE in the United States and potential sales milestone payments for achievement of specified levels of net sales. Further, during the applicable royalty term, we will also be entitled to receive tiered royalties of 10-12% of net sales in the Arctic Territory, subject to customary reductions.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October 2019, we received $5.0 million pursuant to the Bausch License Agreement.</w:t>
      </w:r>
    </w:p>
    <w:p>
      <w:pPr>
        <w:spacing w:after="0" w:line="117" w:lineRule="exact"/>
        <w:rPr>
          <w:sz w:val="20"/>
          <w:szCs w:val="20"/>
          <w:color w:val="auto"/>
        </w:rPr>
      </w:pPr>
    </w:p>
    <w:p>
      <w:pPr>
        <w:ind w:right="400" w:firstLine="468"/>
        <w:spacing w:after="0" w:line="293" w:lineRule="auto"/>
        <w:rPr>
          <w:sz w:val="20"/>
          <w:szCs w:val="20"/>
          <w:color w:val="auto"/>
        </w:rPr>
      </w:pPr>
      <w:r>
        <w:rPr>
          <w:rFonts w:ascii="Arial" w:cs="Arial" w:eastAsia="Arial" w:hAnsi="Arial"/>
          <w:sz w:val="16"/>
          <w:szCs w:val="16"/>
          <w:color w:val="auto"/>
        </w:rPr>
        <w:t>We previously entered into a loan and security agreement with Silicon Valley Bank and MidCap Financial Services, or collectively the Lenders, under which we borrowed $10.0 million in May 2018. In October 2019, we repaid $5.0 million of the outstanding principal balance. Under the loan agreement, we were required to pay accrued interest only on the $5.0 million remaining outstanding balance through October 31, 2020, followed by consecutive equal monthly payments of principal and interest in arrears continuing through the maturity date of October 1, 2022. We had the option to prepay the outstanding balance in full, subject to a prepayment fee. In May 2020, we elected to prepay in full the outstanding $5.0 million principal balance, plus $0.3 million reflecting a final payment fee and accrued interest. The prepayment fees were waived by the lenders.</w:t>
      </w:r>
    </w:p>
    <w:p>
      <w:pPr>
        <w:spacing w:after="0" w:line="56" w:lineRule="exact"/>
        <w:rPr>
          <w:sz w:val="20"/>
          <w:szCs w:val="20"/>
          <w:color w:val="auto"/>
        </w:rPr>
      </w:pPr>
    </w:p>
    <w:p>
      <w:pPr>
        <w:ind w:right="260" w:firstLine="510"/>
        <w:spacing w:after="0" w:line="257" w:lineRule="auto"/>
        <w:rPr>
          <w:sz w:val="20"/>
          <w:szCs w:val="20"/>
          <w:color w:val="auto"/>
        </w:rPr>
      </w:pPr>
      <w:r>
        <w:rPr>
          <w:rFonts w:ascii="Arial" w:cs="Arial" w:eastAsia="Arial" w:hAnsi="Arial"/>
          <w:sz w:val="18"/>
          <w:szCs w:val="18"/>
          <w:color w:val="auto"/>
        </w:rPr>
        <w:t>We have entered into an at-the-market sales agreement, or the ATM agreement, with Cowen and Company LLC, or Cowen, under which we may offer and sell, from time to time at our sole discretion, shares of our common stock having an aggregate offering price of up to $50.0 million through Cowen acting as our sales agent. During the three and six months ended June 30, 2020, we sold 0.8 million and 1.3 million shares, respectively, of our common stock for net proceeds of $1.6 million and $2.8 million, respectively, under the ATM agreement. As of June 30, 2020, there was $36.5 million available for sales of our common stock under the ATM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Our primary uses of capital are, and we expect will continue to be, compensation and related expenses, ongoing costs related to our NDA submission for XIPERE, research and development costs to build our product candidate pipeline, legal and other regulatory expenses and general overhead costs.</w:t>
      </w:r>
    </w:p>
    <w:p>
      <w:pPr>
        <w:spacing w:after="0" w:line="76"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The successful development of our product candidates is highly uncertain. As such, at this time, we cannot reasonably estimate or know the nature, timing and estimated costs of the efforts that will be necessary to complete the remainder of the development of XIPERE or any future product candidates. We are also unable to predict when, if ever, material net cash inflows will commence from product sales. This is due to the numerous risks and uncertainties associated with developing drugs, including the uncertainty of:</w:t>
      </w:r>
    </w:p>
    <w:p>
      <w:pPr>
        <w:spacing w:after="0" w:line="79" w:lineRule="exact"/>
        <w:rPr>
          <w:sz w:val="20"/>
          <w:szCs w:val="20"/>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launching commercial sales of the products, if and when approved, whether alone or in collaboration with others.</w:t>
      </w:r>
    </w:p>
    <w:p>
      <w:pPr>
        <w:spacing w:after="0" w:line="117"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would significantly change the costs and timing associated with the development of that candidate.</w:t>
      </w:r>
    </w:p>
    <w:p>
      <w:pPr>
        <w:spacing w:after="0" w:line="6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Until such time, if ever, as we can generate substantial product revenue, we expect to finance our cash needs through a combination of equity offerings, debt financings and potential collaboration, license and development agreements. Other than potential payments we may receive under our license and other agreements, we do not currently have any committed external source of funds, though, as described above, we may also be able to sell our common stock under the ATM agreement with Cowen subject to the terms of that agreement and depending on market conditions. We expect that we will require additional capital to fund our ongoing operations. Additional funds may not be available to us on a timely basis, on commercially reasonable terms, or at all. Our ability to raise additional capital may be adversely impacted by potential worsening global economic conditions and the recent disruptions to, and volatility in, the credit and financial markets in the United States and worldwide resulting from the ongoing COVID-19 pandemic.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74"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If we raise funds through additional collaborations, strategic alliances or marketing, distribution or licensing arrangements with third parties, including any future collaboration or licensing arrangement for XIPERE outside of the territories in which we have previously licensed or granted options to license XIPERE, we may be required to relinquish additional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terminate our drug development or future commercialization efforts or grant rights to develop and market product candidates that we would otherwise prefer to develop and market ourselves.</w:t>
      </w:r>
    </w:p>
    <w:p>
      <w:pPr>
        <w:spacing w:after="0" w:line="62" w:lineRule="exact"/>
        <w:rPr>
          <w:sz w:val="20"/>
          <w:szCs w:val="20"/>
          <w:color w:val="auto"/>
        </w:rPr>
      </w:pPr>
    </w:p>
    <w:p>
      <w:pPr>
        <w:jc w:val="both"/>
        <w:ind w:right="600" w:firstLine="510"/>
        <w:spacing w:after="0" w:line="263" w:lineRule="auto"/>
        <w:rPr>
          <w:sz w:val="20"/>
          <w:szCs w:val="20"/>
          <w:color w:val="auto"/>
        </w:rPr>
      </w:pPr>
      <w:r>
        <w:rPr>
          <w:rFonts w:ascii="Arial" w:cs="Arial" w:eastAsia="Arial" w:hAnsi="Arial"/>
          <w:sz w:val="18"/>
          <w:szCs w:val="18"/>
          <w:color w:val="auto"/>
        </w:rPr>
        <w:t>We also incur costs as a public company, including costs and expenses for fees to members of our board of directors, accounting and finance personnel costs, directors and officers insurance premiums, audit and legal fees, investor relations fees and expenses for compliance with reporting requirements under the Exchange Act and rules implemented by the SEC and Nasdaq.</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Outlook</w:t>
      </w:r>
    </w:p>
    <w:p>
      <w:pPr>
        <w:spacing w:after="0" w:line="117"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We have suffered recurring losses and negative cash flows from operations since inception and anticipate incurring additional losses until such time, if ever, that we can obtain FDA approval to market and then generate significant revenue from XIPERE. We will need additional financing to fund our operations. These conditions raise substantial doubt about our ability to continue as a going concern within one year after the date of this report. We have plans to mitigate this going concern risk, which primarily consist of raising additional capital, potentially in a combination of equity or debt financings, and the expected receipt of future milestone payments under our license agreements.</w:t>
      </w:r>
    </w:p>
    <w:p>
      <w:pPr>
        <w:spacing w:after="0" w:line="68" w:lineRule="exact"/>
        <w:rPr>
          <w:sz w:val="20"/>
          <w:szCs w:val="20"/>
          <w:color w:val="auto"/>
        </w:rPr>
      </w:pPr>
    </w:p>
    <w:p>
      <w:pPr>
        <w:ind w:right="120" w:firstLine="749"/>
        <w:spacing w:after="0" w:line="259" w:lineRule="auto"/>
        <w:rPr>
          <w:sz w:val="20"/>
          <w:szCs w:val="20"/>
          <w:color w:val="auto"/>
        </w:rPr>
      </w:pPr>
      <w:r>
        <w:rPr>
          <w:rFonts w:ascii="Arial" w:cs="Arial" w:eastAsia="Arial" w:hAnsi="Arial"/>
          <w:sz w:val="18"/>
          <w:szCs w:val="18"/>
          <w:color w:val="auto"/>
        </w:rPr>
        <w:t>Based on our current plans and forecasted expenses, we expect that our cash and cash equivalents as of June 30, 2020 will enable us to fund our operating expenses and capital expenditure requirements into the second quarter of 2021. This estimate gives effect to additional development milestone payments we expect to receive under our license agreements. However, we have based this estimate on assumptions that may prove to be wrong, and we could exhaust our capital resources sooner than we expect.</w:t>
      </w:r>
    </w:p>
    <w:p>
      <w:pPr>
        <w:spacing w:after="0" w:line="79" w:lineRule="exact"/>
        <w:rPr>
          <w:sz w:val="20"/>
          <w:szCs w:val="20"/>
          <w:color w:val="auto"/>
        </w:rPr>
      </w:pPr>
    </w:p>
    <w:p>
      <w:pPr>
        <w:ind w:firstLine="510"/>
        <w:spacing w:after="0" w:line="311" w:lineRule="auto"/>
        <w:rPr>
          <w:sz w:val="20"/>
          <w:szCs w:val="20"/>
          <w:color w:val="auto"/>
        </w:rPr>
      </w:pPr>
      <w:r>
        <w:rPr>
          <w:rFonts w:ascii="Arial" w:cs="Arial" w:eastAsia="Arial" w:hAnsi="Arial"/>
          <w:sz w:val="16"/>
          <w:szCs w:val="16"/>
          <w:color w:val="auto"/>
        </w:rPr>
        <w:t>Our financial statements have been prepared on a going concern basis, which contemplates the realization of assets and satisfaction of liabilities in the normal course of business. The financial statements do not include any adjustments to reflect the possible future effects on the recoverability and classification of recorded asset amounts or the amounts and classification of liabilities that might result should we be unable to continue as a going concern.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the net cash flows provided by (used in) our operating, investing and financing activities (in thousands):</w:t>
      </w:r>
    </w:p>
    <w:p>
      <w:pPr>
        <w:spacing w:after="0" w:line="131" w:lineRule="exact"/>
        <w:rPr>
          <w:sz w:val="20"/>
          <w:szCs w:val="20"/>
          <w:color w:val="auto"/>
        </w:rPr>
      </w:pPr>
    </w:p>
    <w:tbl>
      <w:tblPr>
        <w:tblLayout w:type="fixed"/>
        <w:tblInd w:w="1400" w:type="dxa"/>
        <w:tblCellMar>
          <w:top w:w="0" w:type="dxa"/>
          <w:left w:w="0" w:type="dxa"/>
          <w:bottom w:w="0" w:type="dxa"/>
          <w:right w:w="0" w:type="dxa"/>
        </w:tblCellMar>
      </w:tblPr>
      <w:tr>
        <w:trPr>
          <w:trHeight w:val="203"/>
        </w:trPr>
        <w:tc>
          <w:tcPr>
            <w:tcW w:w="4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80" w:type="dxa"/>
            <w:vAlign w:val="bottom"/>
            <w:gridSpan w:val="6"/>
          </w:tcPr>
          <w:p>
            <w:pPr>
              <w:jc w:val="right"/>
              <w:ind w:right="820"/>
              <w:spacing w:after="0"/>
              <w:rPr>
                <w:sz w:val="20"/>
                <w:szCs w:val="20"/>
                <w:color w:val="auto"/>
              </w:rPr>
            </w:pPr>
            <w:r>
              <w:rPr>
                <w:rFonts w:ascii="Arial" w:cs="Arial" w:eastAsia="Arial" w:hAnsi="Arial"/>
                <w:sz w:val="16"/>
                <w:szCs w:val="16"/>
                <w:b w:val="1"/>
                <w:bCs w:val="1"/>
                <w:color w:val="auto"/>
              </w:rPr>
              <w:t>Six Months Ended</w:t>
            </w:r>
          </w:p>
        </w:tc>
      </w:tr>
      <w:tr>
        <w:trPr>
          <w:trHeight w:val="213"/>
        </w:trPr>
        <w:tc>
          <w:tcPr>
            <w:tcW w:w="4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6"/>
                <w:szCs w:val="16"/>
                <w:b w:val="1"/>
                <w:bCs w:val="1"/>
                <w:color w:val="auto"/>
              </w:rPr>
              <w:t>June 30,</w:t>
            </w:r>
          </w:p>
        </w:tc>
        <w:tc>
          <w:tcPr>
            <w:tcW w:w="9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4260" w:type="dxa"/>
            <w:vAlign w:val="bottom"/>
            <w:tcBorders>
              <w:bottom w:val="single" w:sz="8" w:color="CFF0FC"/>
            </w:tcBorders>
          </w:tcPr>
          <w:p>
            <w:pPr>
              <w:spacing w:after="0"/>
              <w:rPr>
                <w:sz w:val="18"/>
                <w:szCs w:val="18"/>
                <w:color w:val="auto"/>
              </w:rPr>
            </w:pPr>
          </w:p>
        </w:tc>
        <w:tc>
          <w:tcPr>
            <w:tcW w:w="13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bottom w:val="single" w:sz="8" w:color="CFF0FC"/>
            </w:tcBorders>
          </w:tcPr>
          <w:p>
            <w:pPr>
              <w:spacing w:after="0"/>
              <w:rPr>
                <w:sz w:val="18"/>
                <w:szCs w:val="18"/>
                <w:color w:val="auto"/>
              </w:rPr>
            </w:pPr>
          </w:p>
        </w:tc>
      </w:tr>
      <w:tr>
        <w:trPr>
          <w:trHeight w:val="226"/>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w:t>
            </w: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426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16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(6,023)</w:t>
            </w:r>
          </w:p>
        </w:tc>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(22,710)</w:t>
            </w:r>
          </w:p>
        </w:tc>
      </w:tr>
      <w:tr>
        <w:trPr>
          <w:trHeight w:val="230"/>
        </w:trPr>
        <w:tc>
          <w:tcPr>
            <w:tcW w:w="4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Investing activities</w:t>
            </w: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32,925</w:t>
            </w:r>
          </w:p>
        </w:tc>
        <w:tc>
          <w:tcPr>
            <w:tcW w:w="80" w:type="dxa"/>
            <w:vAlign w:val="bottom"/>
            <w:shd w:val="clear" w:color="auto" w:fill="CFF0FC"/>
          </w:tcPr>
          <w:p>
            <w:pPr>
              <w:spacing w:after="0"/>
              <w:rPr>
                <w:sz w:val="19"/>
                <w:szCs w:val="19"/>
                <w:color w:val="auto"/>
              </w:rPr>
            </w:pPr>
          </w:p>
        </w:tc>
      </w:tr>
      <w:tr>
        <w:trPr>
          <w:trHeight w:val="230"/>
        </w:trPr>
        <w:tc>
          <w:tcPr>
            <w:tcW w:w="4260" w:type="dxa"/>
            <w:vAlign w:val="bottom"/>
          </w:tcPr>
          <w:p>
            <w:pPr>
              <w:ind w:left="240"/>
              <w:spacing w:after="0"/>
              <w:rPr>
                <w:sz w:val="20"/>
                <w:szCs w:val="20"/>
                <w:color w:val="auto"/>
              </w:rPr>
            </w:pPr>
            <w:r>
              <w:rPr>
                <w:rFonts w:ascii="Arial" w:cs="Arial" w:eastAsia="Arial" w:hAnsi="Arial"/>
                <w:sz w:val="18"/>
                <w:szCs w:val="18"/>
                <w:color w:val="auto"/>
              </w:rPr>
              <w:t>Financing activities</w:t>
            </w: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(1,446)</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7,916</w:t>
            </w:r>
          </w:p>
        </w:tc>
        <w:tc>
          <w:tcPr>
            <w:tcW w:w="80" w:type="dxa"/>
            <w:vAlign w:val="bottom"/>
          </w:tcPr>
          <w:p>
            <w:pPr>
              <w:spacing w:after="0"/>
              <w:rPr>
                <w:sz w:val="19"/>
                <w:szCs w:val="19"/>
                <w:color w:val="auto"/>
              </w:rPr>
            </w:pPr>
          </w:p>
        </w:tc>
      </w:tr>
      <w:tr>
        <w:trPr>
          <w:trHeight w:val="223"/>
        </w:trPr>
        <w:tc>
          <w:tcPr>
            <w:tcW w:w="4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change in cash and cash equivalents</w:t>
            </w:r>
          </w:p>
        </w:tc>
        <w:tc>
          <w:tcPr>
            <w:tcW w:w="13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(7,524)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18,131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4"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During the six months ended June 30, 2020 and 2019, our operating activities used net cash of $6.0 million and $22.7 million, respectively. The use of cash in each period primarily resulted from our net losses. The decrease in net loss to $8.7 million for the six months ended June 30, 2020 as compared to $21.1 million for the six months ended June 30, 2019 was primarily attributable to lower research and development expenses as a result of the discontinuation of the SAPPHIRE and TOPAZ trials and ceasing of commercialization activities in 2019. The six months ended June 30, 2019 also included a net cash outflow of $4.6 million primarily from the decrease in our accounts payable balance during that period, which was the result of payments for the winding down of the clinical trials.</w:t>
      </w:r>
    </w:p>
    <w:p>
      <w:pPr>
        <w:spacing w:after="0" w:line="84"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During the six months ended June 30, 2020, our net cash used in investing activities was $55,000 for the purchase of equipment. During the six months ended June 30, 2019, our net cash provided by investing activities was $32.9 million primarily due to maturities of short-term, available-for-sale investments.</w:t>
      </w:r>
    </w:p>
    <w:p>
      <w:pPr>
        <w:spacing w:after="0" w:line="76"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During the six months ended June 30, 2020 our net cash used in financing activities was $1.4 million. This consisted of the full prepayment of the remaining $5.3 million owed under our credit facility, partially offset by $2.8 million of net proceeds from the sale of shares of common stock under the ATM agreement and $1.0 million of proceeds from the PPP Loan. During the six months ended June 30, 2019, our net cash provided by financing activities was $7.9 million, almost exclusively consisting of net proceeds from the sale of shares of common stock under the ATM agreement.</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180" w:firstLine="510"/>
        <w:spacing w:after="0" w:line="308" w:lineRule="auto"/>
        <w:rPr>
          <w:sz w:val="20"/>
          <w:szCs w:val="20"/>
          <w:color w:val="auto"/>
        </w:rPr>
      </w:pPr>
      <w:r>
        <w:rPr>
          <w:rFonts w:ascii="Arial" w:cs="Arial" w:eastAsia="Arial" w:hAnsi="Arial"/>
          <w:sz w:val="17"/>
          <w:szCs w:val="17"/>
          <w:color w:val="auto"/>
        </w:rPr>
        <w:t>As of June 30, 2020, there were no significant changes to our contractual obligations from those presented as of December 31, 2019 in our Annual Report on Form 10-K, except for the May 2020 prepayment in full of amounts outstanding under the Loan Agreement described above.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did not have during the periods presented, and we do not currently have, any off-balance sheet arrangements, as defined under SEC rules.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See Item 1, “Financial Statements – Note 2, Significant Accounting Policies” for a discussion of recent accounting pronouncements and their effect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on 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right="220" w:firstLine="510"/>
        <w:spacing w:after="0" w:line="275"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Section 107(b)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The market risk inherent in our financial instruments and in our financial position represents the potential loss arising from adverse changes in interest rates. As of June 30, 2020 and December 31, 2019, we had cash and cash equivalents of $15.1 million and $22.6 million, respectively. We generally hold our cash in interest-bearing money market accounts. Our primary exposure to market risk is interest rate sensitivity, which is affected by changes in the general level of U.S. interest rates. Due to the short-term maturities of our cash equivalents and the low risk profile of our investments, an immediate 100 basis point change in interest rates would not have a material effect on the fair market value of our cash equivalents and short-term investments.</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foreign currency or other material derivative financial instruments.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The term “disclosure controls and procedures,” as defined in Rules 13a-15(e) and 15d-15(e) under the Securities Exchange Act of 1934, as amended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84"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spacing w:after="0" w:line="58"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has evaluated the effectiveness of our disclosure controls and procedures as of the end of the period covered by this report. Based on that evaluation, our Chief Executive Officer and our Chief Financial Officer concluded that our disclosure controls and procedures were effective as of the end of the period covered by this report at the reasonable assurance level.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June 30, 2020 that has materially affected, or is reasonably likely to materially affect, our internal control over financial reporting. We have not experienced any material impact to our internal control over financial reporting despite the fact that many of our employees are working remotely due to the COVID-19 pandemic. However, we continue to monitor and assess the potential impact of the COVID-19 pandemic on our control environment.</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From time to time, we may be subject to litigation and claims arising in the ordinary course of business. We are not currently a party to any material legal proceedings and we are not aware of any pending or threatened legal proceeding against us that we believe could have a material adverse effect on our business, operating results, cash flows or financial condition.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Our business is subject to risks and events that, if they occur, could adversely affect our financial condition and results of operations and the trading price of our securities. These risks could be amplified by the COVID-19 pandemic and its potential impact on the global economy generally and our business and industry in particular. In addition to the other information set forth in this quarterly report on Form 10-Q, you should carefully consider the factors described below and in “Part I, Item 1A. Risk Factors” of our Annual Report on Form 10-K for the fiscal year ended December 31, 2019, filed with the Securities and Exchange Commission on March 13, 2020. Except as described below, there have been no material changes to the risk factors described in that report.</w:t>
      </w:r>
    </w:p>
    <w:p>
      <w:pPr>
        <w:spacing w:after="0" w:line="192"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b w:val="1"/>
          <w:bCs w:val="1"/>
          <w:i w:val="1"/>
          <w:iCs w:val="1"/>
          <w:color w:val="auto"/>
        </w:rPr>
        <w:t>We have secured a new contract manufacturer for XIPERE to produce data necessary for the resubmission of our NDA for XIPERE. As a result, the timing of regulatory approval for XIPERE is uncertain, and we may never obtain regulatory approval for XIPERE in the United States.</w:t>
      </w:r>
    </w:p>
    <w:p>
      <w:pPr>
        <w:spacing w:after="0" w:line="16" w:lineRule="exact"/>
        <w:rPr>
          <w:sz w:val="20"/>
          <w:szCs w:val="20"/>
          <w:color w:val="auto"/>
        </w:rPr>
      </w:pPr>
    </w:p>
    <w:p>
      <w:pPr>
        <w:ind w:right="160" w:firstLine="568"/>
        <w:spacing w:after="0" w:line="259" w:lineRule="auto"/>
        <w:rPr>
          <w:sz w:val="20"/>
          <w:szCs w:val="20"/>
          <w:color w:val="auto"/>
        </w:rPr>
      </w:pPr>
      <w:r>
        <w:rPr>
          <w:rFonts w:ascii="Arial" w:cs="Arial" w:eastAsia="Arial" w:hAnsi="Arial"/>
          <w:sz w:val="18"/>
          <w:szCs w:val="18"/>
          <w:color w:val="auto"/>
        </w:rPr>
        <w:t>We have secured a new manufacturing partner for XIPERE. Our prior CMO recently notified us that they were no longer willing to serve as our commercial supplier for XIPERE and that they are uncertain about being fully prepared for an FDA pre-approval inspection on our timeline. Given our previously disclosed delays, we had begun evaluating alternative manufactures. In August 2020, we engaged a new CMO to manufacture the registration batches of XIPERE for the resubmission of our NDA.</w:t>
      </w:r>
    </w:p>
    <w:p>
      <w:pPr>
        <w:spacing w:after="0" w:line="79" w:lineRule="exact"/>
        <w:rPr>
          <w:sz w:val="20"/>
          <w:szCs w:val="20"/>
          <w:color w:val="auto"/>
        </w:rPr>
      </w:pPr>
    </w:p>
    <w:p>
      <w:pPr>
        <w:ind w:right="60" w:firstLine="568"/>
        <w:spacing w:after="0" w:line="277" w:lineRule="auto"/>
        <w:rPr>
          <w:sz w:val="20"/>
          <w:szCs w:val="20"/>
          <w:color w:val="auto"/>
        </w:rPr>
      </w:pPr>
      <w:r>
        <w:rPr>
          <w:rFonts w:ascii="Arial" w:cs="Arial" w:eastAsia="Arial" w:hAnsi="Arial"/>
          <w:sz w:val="18"/>
          <w:szCs w:val="18"/>
          <w:color w:val="auto"/>
        </w:rPr>
        <w:t>In connection with the engagement of the new CMO, the technology underlying the manufacturing process is being transferred to the new CMO so that they can begin generating the data required by the FDA.</w:t>
      </w:r>
    </w:p>
    <w:p>
      <w:pPr>
        <w:spacing w:after="0" w:line="62" w:lineRule="exact"/>
        <w:rPr>
          <w:sz w:val="20"/>
          <w:szCs w:val="20"/>
          <w:color w:val="auto"/>
        </w:rPr>
      </w:pPr>
    </w:p>
    <w:p>
      <w:pPr>
        <w:ind w:right="20" w:firstLine="568"/>
        <w:spacing w:after="0" w:line="272" w:lineRule="auto"/>
        <w:rPr>
          <w:sz w:val="20"/>
          <w:szCs w:val="20"/>
          <w:color w:val="auto"/>
        </w:rPr>
      </w:pPr>
      <w:r>
        <w:rPr>
          <w:rFonts w:ascii="Arial" w:cs="Arial" w:eastAsia="Arial" w:hAnsi="Arial"/>
          <w:sz w:val="17"/>
          <w:szCs w:val="17"/>
          <w:color w:val="auto"/>
        </w:rPr>
        <w:t>The timeline for the CMO’s ability to complete the necessary activities is uncertain, and the CMO may be unable to timely complete the technology transfer, implement the manufacturing processes or generate the needed data. While we believe, based on information received from the new CMO, that we will be able resubmit the NDA no later than the first half of 2021, we cannot predict the outcome of any interactions with the FDA nor can we guarantee when, or if, we will be successful in receiving regulatory approval for XIPERE. In addition, the FDA could require supplemental data or information from the new CMO, particularly if the FDA inspects the new CMO’s facilities. As a result, the timing of regulatory approval for XIPERE is uncertain, and we may never obtain regulatory approval for XIPERE in the United States. If we do not obtain regulatory approval for XIPERE or are further delayed in obtaining such approval, it would have a material adverse effect on our operations and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could adversely impact our business, including our clinical trials.</w:t>
      </w:r>
    </w:p>
    <w:p>
      <w:pPr>
        <w:spacing w:after="0" w:line="117" w:lineRule="exact"/>
        <w:rPr>
          <w:sz w:val="20"/>
          <w:szCs w:val="20"/>
          <w:color w:val="auto"/>
        </w:rPr>
      </w:pPr>
    </w:p>
    <w:p>
      <w:pPr>
        <w:ind w:right="80" w:firstLine="568"/>
        <w:spacing w:after="0" w:line="290" w:lineRule="auto"/>
        <w:rPr>
          <w:sz w:val="20"/>
          <w:szCs w:val="20"/>
          <w:color w:val="auto"/>
        </w:rPr>
      </w:pPr>
      <w:r>
        <w:rPr>
          <w:rFonts w:ascii="Arial" w:cs="Arial" w:eastAsia="Arial" w:hAnsi="Arial"/>
          <w:sz w:val="16"/>
          <w:szCs w:val="16"/>
          <w:color w:val="auto"/>
        </w:rPr>
        <w:t>In December 2019, a novel strain of coronavirus, SARS-CoV-2, causing COVID-19, was initially reported and has since been declared a pandemic by the World Health Organization. The COVID-19 pandemic has resulted in continuing travel and other restrictions in order to reduce the spread of the disease, including state and local orders across the country that, among other things, direct businesses and governmental agencies to cease non-essential operations at physical locations, prohibit certain non-essential gatherings, and order cessation of non-essential travel. In response to these public health directives and orders, we have implemented work-from-home policies for our employees. The effects of the executive orders and our work-from-home policies may negatively impact employee productivity, disrupt our business and delay our clinical programs and timelines, the magnitude of which will depend, in part, on the length and severity of the restrictions and other limitations on our ability to conduct our business in the ordinary course. These and similar, and perhaps more severe, disruptions in our operations could negatively impact our business, operating results and financial condition.</w:t>
      </w:r>
    </w:p>
    <w:p>
      <w:pPr>
        <w:spacing w:after="0" w:line="57" w:lineRule="exact"/>
        <w:rPr>
          <w:sz w:val="20"/>
          <w:szCs w:val="20"/>
          <w:color w:val="auto"/>
        </w:rPr>
      </w:pPr>
    </w:p>
    <w:p>
      <w:pPr>
        <w:ind w:right="60" w:firstLine="568"/>
        <w:spacing w:after="0" w:line="291" w:lineRule="auto"/>
        <w:rPr>
          <w:sz w:val="20"/>
          <w:szCs w:val="20"/>
          <w:color w:val="auto"/>
        </w:rPr>
      </w:pPr>
      <w:r>
        <w:rPr>
          <w:rFonts w:ascii="Arial" w:cs="Arial" w:eastAsia="Arial" w:hAnsi="Arial"/>
          <w:sz w:val="16"/>
          <w:szCs w:val="16"/>
          <w:color w:val="auto"/>
        </w:rPr>
        <w:t>Quarantines and similar government orders and employer restrictions related to COVID-19 may adversely impact our business operations and the business operations of third parties on which we rely. In addition, our clinical trials and those of our licensing partners may be affected by the COVID-19 pandemic. For example, clinical site initiation and patient enrollment may be delayed due to prioritization of hospital resources toward the COVID-19 pandemic. Some patients may not be able to comply with clinical trial protocols if quarantines impede patient movement or interrupt healthcare services. Similarly, our ability, or that of our licensing partners, to recruit and retain patients and principal investigators and site staff who, as healthcare providers, may have heightened exposure to COVID-19 may be impaired, which could adversely impact our clinical trial operations or those of our licensing partners and, as a result, negatively affect our ability to receive regulatory and development milestones under our license agreements.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117"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The spread of COVID-19, which has caused a broad impact globally, may materially affect us economically. While the potential economic impact brought by, and the duration of, COVID-19 may be difficult to assess or predict, a continued widespread pandemic could result in significant disruption of global financial markets, reducing our ability to access capital, which could in the future negatively affect our liquidity. In addition, a recession or market correction resulting from the spread of COVID-19 could materially affect our business and the value of our common stock.</w:t>
      </w:r>
    </w:p>
    <w:p>
      <w:pPr>
        <w:spacing w:after="0" w:line="63"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The global pandemic of COVID-19 continues to rapidly evolve. The extent to which the COVID-19 pandemic impacts our business, our clinical development and regulatory efforts and those of our licensing partners will depend on future developments that are highly uncertain and cannot be predicted with confidence, such as the duration of the outbreak, travel restrictions, quarantines, social distancing requirements and business closures in the United States and other countries, and business disruptions, and the effectiveness of actions taken in the United States and other countries to contain and treat the disease. Accordingly, we do not yet know the full extent of potential delays or impacts on our business, our clinical and regulatory activities, healthcare systems or the global economy as a whole.</w:t>
      </w:r>
    </w:p>
    <w:p>
      <w:pPr>
        <w:spacing w:after="0" w:line="300"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b w:val="1"/>
          <w:bCs w:val="1"/>
          <w:i w:val="1"/>
          <w:iCs w:val="1"/>
          <w:color w:val="auto"/>
        </w:rPr>
        <w:t>We have granted an exclusive license to Bausch for the commercialization and development of XIPERE in the United States and Canada. If we are delayed in receiving FDA approval for XIPERE, or we are unable to maintain our partnership with Bausch, or if Bausch fails to successfully commercialize XIPERE, our business and prospects will be materially harmed.</w:t>
      </w:r>
    </w:p>
    <w:p>
      <w:pPr>
        <w:spacing w:after="0" w:line="184" w:lineRule="exact"/>
        <w:rPr>
          <w:sz w:val="20"/>
          <w:szCs w:val="20"/>
          <w:color w:val="auto"/>
        </w:rPr>
      </w:pPr>
    </w:p>
    <w:p>
      <w:pPr>
        <w:ind w:right="60" w:firstLine="849"/>
        <w:spacing w:after="0" w:line="275" w:lineRule="auto"/>
        <w:rPr>
          <w:sz w:val="20"/>
          <w:szCs w:val="20"/>
          <w:color w:val="auto"/>
        </w:rPr>
      </w:pPr>
      <w:r>
        <w:rPr>
          <w:rFonts w:ascii="Arial" w:cs="Arial" w:eastAsia="Arial" w:hAnsi="Arial"/>
          <w:sz w:val="17"/>
          <w:szCs w:val="17"/>
          <w:color w:val="auto"/>
        </w:rPr>
        <w:t>We have granted an exclusive license to Bausch for the commercialization and development of XIPERE in the United States and Canada. Pursuant to our agreement with Bausch, we are entitled to receive payments based on the achievement of specified sales and regulatory milestones and tiered royalties based on annual net sales of XIPERE. The successful or timely achievement of many of these milestones is outside of our control because the relevant activities will be conducted by Bausch. We expect to depend to a large degree on the payments from Bausch and future potential commercialization partners in order to fund our operations, and a failure to receive such payments may cause us to:</w:t>
      </w:r>
    </w:p>
    <w:p>
      <w:pPr>
        <w:spacing w:after="0" w:line="217" w:lineRule="exact"/>
        <w:rPr>
          <w:sz w:val="20"/>
          <w:szCs w:val="20"/>
          <w:color w:val="auto"/>
        </w:rPr>
      </w:pPr>
    </w:p>
    <w:p>
      <w:pPr>
        <w:ind w:left="1040" w:hanging="506"/>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 reduce or terminate certain research and development programs;</w:t>
      </w:r>
    </w:p>
    <w:p>
      <w:pPr>
        <w:spacing w:after="0" w:line="117" w:lineRule="exact"/>
        <w:rPr>
          <w:rFonts w:ascii="Arial" w:cs="Arial" w:eastAsia="Arial" w:hAnsi="Arial"/>
          <w:sz w:val="18"/>
          <w:szCs w:val="18"/>
          <w:color w:val="auto"/>
        </w:rPr>
      </w:pPr>
    </w:p>
    <w:p>
      <w:pPr>
        <w:ind w:left="1040" w:hanging="506"/>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 headcount;</w:t>
      </w:r>
    </w:p>
    <w:p>
      <w:pPr>
        <w:spacing w:after="0" w:line="117" w:lineRule="exact"/>
        <w:rPr>
          <w:rFonts w:ascii="Arial" w:cs="Arial" w:eastAsia="Arial" w:hAnsi="Arial"/>
          <w:sz w:val="18"/>
          <w:szCs w:val="18"/>
          <w:color w:val="auto"/>
        </w:rPr>
      </w:pPr>
    </w:p>
    <w:p>
      <w:pPr>
        <w:ind w:left="1040" w:hanging="506"/>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pursue the raising of additional funds through equity or convertible debt financings that could be dilutive to our stockholders;</w:t>
      </w:r>
    </w:p>
    <w:p>
      <w:pPr>
        <w:spacing w:after="0" w:line="117" w:lineRule="exact"/>
        <w:rPr>
          <w:rFonts w:ascii="Arial" w:cs="Arial" w:eastAsia="Arial" w:hAnsi="Arial"/>
          <w:sz w:val="18"/>
          <w:szCs w:val="18"/>
          <w:color w:val="auto"/>
        </w:rPr>
      </w:pPr>
    </w:p>
    <w:p>
      <w:pPr>
        <w:ind w:left="1040" w:hanging="506"/>
        <w:spacing w:after="0"/>
        <w:tabs>
          <w:tab w:leader="none" w:pos="1040" w:val="left"/>
        </w:tabs>
        <w:numPr>
          <w:ilvl w:val="0"/>
          <w:numId w:val="9"/>
        </w:numPr>
        <w:rPr>
          <w:rFonts w:ascii="Arial" w:cs="Arial" w:eastAsia="Arial" w:hAnsi="Arial"/>
          <w:sz w:val="16"/>
          <w:szCs w:val="16"/>
          <w:color w:val="auto"/>
        </w:rPr>
      </w:pPr>
      <w:r>
        <w:rPr>
          <w:rFonts w:ascii="Arial" w:cs="Arial" w:eastAsia="Arial" w:hAnsi="Arial"/>
          <w:sz w:val="16"/>
          <w:szCs w:val="16"/>
          <w:color w:val="auto"/>
        </w:rPr>
        <w:t>seek funds by entering into agreements that require us to assign rights to technologies or products that we would have otherwise retained;</w:t>
      </w:r>
    </w:p>
    <w:p>
      <w:pPr>
        <w:spacing w:after="0" w:line="140" w:lineRule="exact"/>
        <w:rPr>
          <w:rFonts w:ascii="Arial" w:cs="Arial" w:eastAsia="Arial" w:hAnsi="Arial"/>
          <w:sz w:val="16"/>
          <w:szCs w:val="16"/>
          <w:color w:val="auto"/>
        </w:rPr>
      </w:pPr>
    </w:p>
    <w:p>
      <w:pPr>
        <w:ind w:left="1040" w:hanging="506"/>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 into new arrangements that may be less favorable than those we would have obtained under different circumstances; or</w:t>
      </w:r>
    </w:p>
    <w:p>
      <w:pPr>
        <w:spacing w:after="0" w:line="117" w:lineRule="exact"/>
        <w:rPr>
          <w:rFonts w:ascii="Arial" w:cs="Arial" w:eastAsia="Arial" w:hAnsi="Arial"/>
          <w:sz w:val="18"/>
          <w:szCs w:val="18"/>
          <w:color w:val="auto"/>
        </w:rPr>
      </w:pPr>
    </w:p>
    <w:p>
      <w:pPr>
        <w:ind w:left="1040" w:hanging="506"/>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consider strategic transactions or engaging in a joint venture with a third party.</w:t>
      </w:r>
    </w:p>
    <w:p>
      <w:pPr>
        <w:spacing w:after="0" w:line="266" w:lineRule="exact"/>
        <w:rPr>
          <w:sz w:val="20"/>
          <w:szCs w:val="20"/>
          <w:color w:val="auto"/>
        </w:rPr>
      </w:pPr>
    </w:p>
    <w:p>
      <w:pPr>
        <w:jc w:val="both"/>
        <w:ind w:right="20" w:firstLine="849"/>
        <w:spacing w:after="0" w:line="255" w:lineRule="auto"/>
        <w:rPr>
          <w:sz w:val="20"/>
          <w:szCs w:val="20"/>
          <w:color w:val="auto"/>
        </w:rPr>
      </w:pPr>
      <w:r>
        <w:rPr>
          <w:rFonts w:ascii="Arial" w:cs="Arial" w:eastAsia="Arial" w:hAnsi="Arial"/>
          <w:sz w:val="18"/>
          <w:szCs w:val="18"/>
          <w:color w:val="auto"/>
        </w:rPr>
        <w:t>In addition, Bausch may terminate the License Agreement immediately and have the upfront payment of $5.0 million refunded if the FDA has not approved the XIPERE NDA by August 31, 2021. Based upon our current expectations, we expect that the FDA may not have approved the XIPERE NDA by such date. Therefore, if we are not able to enter into an amendment to the License Agreement or obtain a waiver from Bausch, it is possible that Bausch could terminate the License Agreement and that we would be required to refund the initial $5.0 million upfront payment. If this were to occur, our business prospects would be materially harmed, and we would need to seek a new partner to commercialize XIPERE in the United States and Canada and the Additional Regions.</w:t>
      </w:r>
    </w:p>
    <w:p>
      <w:pPr>
        <w:spacing w:after="0" w:line="19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We may not be entitled to forgiveness of our PPP Loan, and our application for the PPP Loan could in the future be determined to have been impermissible or could result in damage to our reputation.</w:t>
      </w:r>
    </w:p>
    <w:p>
      <w:pPr>
        <w:spacing w:after="0" w:line="62" w:lineRule="exact"/>
        <w:rPr>
          <w:sz w:val="20"/>
          <w:szCs w:val="20"/>
          <w:color w:val="auto"/>
        </w:rPr>
      </w:pPr>
    </w:p>
    <w:p>
      <w:pPr>
        <w:ind w:right="300" w:firstLine="510"/>
        <w:spacing w:after="0" w:line="291" w:lineRule="auto"/>
        <w:rPr>
          <w:sz w:val="20"/>
          <w:szCs w:val="20"/>
          <w:color w:val="auto"/>
        </w:rPr>
      </w:pPr>
      <w:r>
        <w:rPr>
          <w:rFonts w:ascii="Arial" w:cs="Arial" w:eastAsia="Arial" w:hAnsi="Arial"/>
          <w:sz w:val="16"/>
          <w:szCs w:val="16"/>
          <w:color w:val="auto"/>
        </w:rPr>
        <w:t>In April 2020, we received proceeds of $1.0 million from a loan under the PPP of the CARES Act, which we have used to retain employees, maintain payroll and make lease and utility payments as contemplated by the CARES Act. We intend to apply for forgiveness of the full amount of the</w:t>
      </w:r>
    </w:p>
    <w:p>
      <w:pPr>
        <w:ind w:firstLine="8"/>
        <w:spacing w:after="0" w:line="295" w:lineRule="auto"/>
        <w:tabs>
          <w:tab w:leader="none" w:pos="345" w:val="left"/>
        </w:tabs>
        <w:numPr>
          <w:ilvl w:val="0"/>
          <w:numId w:val="10"/>
        </w:numPr>
        <w:rPr>
          <w:rFonts w:ascii="Arial" w:cs="Arial" w:eastAsia="Arial" w:hAnsi="Arial"/>
          <w:sz w:val="16"/>
          <w:szCs w:val="16"/>
          <w:color w:val="auto"/>
        </w:rPr>
      </w:pPr>
      <w:r>
        <w:rPr>
          <w:rFonts w:ascii="Arial" w:cs="Arial" w:eastAsia="Arial" w:hAnsi="Arial"/>
          <w:sz w:val="16"/>
          <w:szCs w:val="16"/>
          <w:color w:val="auto"/>
        </w:rPr>
        <w:t>Loan from the U.S. Small Business Administration, or SBA, as permitted by its terms. While the SBA has issued some guidance around the forgiveness of PPP loans, there remains uncertainty about the timing and process for obtaining forgiveness. We will be required to repay any portion of the outstanding principal that is not forgiven, along with accrued interest. We cannot provide any assurance that we will be eligible for loan forgiveness or that any amount of the PPP Loan will ultimately be forgiven by the SBA.</w:t>
      </w:r>
    </w:p>
    <w:p>
      <w:pPr>
        <w:spacing w:after="0" w:line="53"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In order to obtain the PPP Loan, we were required to certify, among other things, that the economic uncertainty presented by the COVID-19 pandemic made the PPP Loan request necessary to support our ongoing operations. We made this certification in good faith after analyzing, among other things, our financial situation and access to alternative forms of capital, and we believe that we satisfied all eligibility criteria for the PPP Loan and that our receipt of the PPP Loan was consistent with the objectives of the PPP. However, the certification described above does not contain any objective criteria and is subject to interpretation. For example, the SBA issued guidance stating that it was unlikely that a public company with substantial market value and access to capital markets would be able to make the required certification in good faith. The lack of clarity regarding loan eligibility under the PPP has resulted in significant media coverage and controversy with respect to public companies applying for and receiving loans. If, despite our good faith belief that we satisfied all eligible requirements for the PPP Loan, we are later determined to have violated any of the laws or governmental regulations that applied to us in connection with the PPP Loan, such as the False Claims Act, or if it is otherwise determined that we were ineligible to receive the PPP Loan, we may be subject to penalties, including significant civil, criminal and administrative penalties, and we could be required to repay the PPP Loan in its entirety. In addition, our receipt of the PPP Loan may result in adverse publicity and damage to our reputation, and a review or audit by the SBA or other government entity or claims under the False Claims Act could consume significant financial and management resources.</w:t>
      </w:r>
    </w:p>
    <w:p>
      <w:pPr>
        <w:spacing w:after="0" w:line="60"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is the exclusive forum for certain litigation that may be initiated by our stockholders, which could limit our stockholders’ ability to obtain a favorable judicial forum for disputes with us or our directors, officers or employees.</w:t>
      </w:r>
    </w:p>
    <w:p>
      <w:pPr>
        <w:spacing w:after="0" w:line="76" w:lineRule="exact"/>
        <w:rPr>
          <w:sz w:val="20"/>
          <w:szCs w:val="20"/>
          <w:color w:val="auto"/>
        </w:rPr>
      </w:pPr>
    </w:p>
    <w:p>
      <w:pPr>
        <w:ind w:right="20" w:firstLine="510"/>
        <w:spacing w:after="0" w:line="288" w:lineRule="auto"/>
        <w:rPr>
          <w:sz w:val="20"/>
          <w:szCs w:val="20"/>
          <w:color w:val="auto"/>
        </w:rPr>
      </w:pPr>
      <w:r>
        <w:rPr>
          <w:rFonts w:ascii="Arial" w:cs="Arial" w:eastAsia="Arial" w:hAnsi="Arial"/>
          <w:sz w:val="16"/>
          <w:szCs w:val="16"/>
          <w:color w:val="auto"/>
        </w:rPr>
        <w:t>Our amended and restated certificate of incorporation provides that the Court of Chancery of the State of Delaware is the exclusive forum for the following types of actions or proceedings under Delaware statutory or common law: (i) any derivative action or proceeding brought on our behalf, (ii) any action asserting a claim for breach of a fiduciary duty owed by any of our directors, officers or other employees to us or our stockholders, (iii) any action asserting a claim arising pursuant to any provision of the Delaware General Corporation Law, our amended and restated certificate of incorporation or our amended and restated bylaws or (iv) any action asserting a claim governed by the internal affairs doctrine. However, this exclusive forum provision would not apply to suits brought to enforce a duty or liability created by the Securities Act or the Exchange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20" w:right="8400" w:hanging="512"/>
        <w:spacing w:after="0" w:line="402" w:lineRule="auto"/>
        <w:tabs>
          <w:tab w:leader="none" w:pos="51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Sales of Unregistered Securities </w:t>
      </w:r>
      <w:r>
        <w:rPr>
          <w:rFonts w:ascii="Arial" w:cs="Arial" w:eastAsia="Arial" w:hAnsi="Arial"/>
          <w:sz w:val="18"/>
          <w:szCs w:val="18"/>
          <w:color w:val="auto"/>
        </w:rPr>
        <w:t>None.</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10080" w:type="dxa"/>
            <w:vAlign w:val="bottom"/>
            <w:gridSpan w:val="5"/>
          </w:tcPr>
          <w:p>
            <w:pPr>
              <w:spacing w:after="0"/>
              <w:rPr>
                <w:sz w:val="20"/>
                <w:szCs w:val="20"/>
                <w:color w:val="auto"/>
              </w:rPr>
            </w:pPr>
            <w:r>
              <w:rPr>
                <w:rFonts w:ascii="Arial" w:cs="Arial" w:eastAsia="Arial" w:hAnsi="Arial"/>
                <w:sz w:val="18"/>
                <w:szCs w:val="18"/>
                <w:color w:val="auto"/>
              </w:rPr>
              <w:t>Description</w:t>
            </w:r>
          </w:p>
        </w:tc>
      </w:tr>
      <w:tr>
        <w:trPr>
          <w:trHeight w:val="290"/>
        </w:trPr>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24"/>
                <w:szCs w:val="24"/>
                <w:color w:val="auto"/>
              </w:rPr>
            </w:pPr>
          </w:p>
        </w:tc>
        <w:tc>
          <w:tcPr>
            <w:tcW w:w="10080" w:type="dxa"/>
            <w:vAlign w:val="bottom"/>
            <w:tcBorders>
              <w:top w:val="single" w:sz="8" w:color="auto"/>
            </w:tcBorders>
            <w:gridSpan w:val="5"/>
          </w:tcPr>
          <w:p>
            <w:pPr>
              <w:spacing w:after="0"/>
              <w:rPr>
                <w:rFonts w:ascii="Arial" w:cs="Arial" w:eastAsia="Arial" w:hAnsi="Arial"/>
                <w:sz w:val="18"/>
                <w:szCs w:val="18"/>
                <w:color w:val="0000EE"/>
                <w:w w:val="92"/>
              </w:rPr>
            </w:pPr>
            <w:hyperlink r:id="rId54">
              <w:r>
                <w:rPr>
                  <w:rFonts w:ascii="Arial" w:cs="Arial" w:eastAsia="Arial" w:hAnsi="Arial"/>
                  <w:sz w:val="18"/>
                  <w:szCs w:val="18"/>
                  <w:color w:val="0000EE"/>
                  <w:w w:val="92"/>
                </w:rPr>
                <w:t>Amended and Restated Certificate of Incorporation (incorporated herein by reference to Exhibit 3.1 to the Registrant’s Current Report on</w:t>
              </w:r>
            </w:hyperlink>
          </w:p>
        </w:tc>
      </w:tr>
      <w:tr>
        <w:trPr>
          <w:trHeight w:val="196"/>
        </w:trPr>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9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r:id="rId54">
              <w:r>
                <w:rPr>
                  <w:rFonts w:ascii="Arial" w:cs="Arial" w:eastAsia="Arial" w:hAnsi="Arial"/>
                  <w:sz w:val="18"/>
                  <w:szCs w:val="18"/>
                  <w:color w:val="0000EE"/>
                  <w:w w:val="92"/>
                </w:rPr>
                <w:t>Form 8-K (File No. 001-37783) filed with the SEC on June 7, 2016).</w:t>
              </w:r>
            </w:hyperlink>
          </w:p>
        </w:tc>
        <w:tc>
          <w:tcPr>
            <w:tcW w:w="4900" w:type="dxa"/>
            <w:vAlign w:val="bottom"/>
            <w:tcBorders>
              <w:top w:val="single" w:sz="8" w:color="0000EE"/>
            </w:tcBorders>
          </w:tcPr>
          <w:p>
            <w:pPr>
              <w:spacing w:after="0"/>
              <w:rPr>
                <w:sz w:val="17"/>
                <w:szCs w:val="17"/>
                <w:color w:val="auto"/>
              </w:rPr>
            </w:pPr>
          </w:p>
        </w:tc>
        <w:tc>
          <w:tcPr>
            <w:tcW w:w="200" w:type="dxa"/>
            <w:vAlign w:val="bottom"/>
            <w:gridSpan w:val="2"/>
          </w:tcPr>
          <w:p>
            <w:pPr>
              <w:spacing w:after="0"/>
              <w:rPr>
                <w:sz w:val="17"/>
                <w:szCs w:val="17"/>
                <w:color w:val="auto"/>
              </w:rPr>
            </w:pPr>
          </w:p>
        </w:tc>
      </w:tr>
      <w:tr>
        <w:trPr>
          <w:trHeight w:val="331"/>
        </w:trPr>
        <w:tc>
          <w:tcPr>
            <w:tcW w:w="1120" w:type="dxa"/>
            <w:vAlign w:val="bottom"/>
          </w:tcPr>
          <w:p>
            <w:pPr>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24"/>
                <w:szCs w:val="24"/>
                <w:color w:val="auto"/>
              </w:rPr>
            </w:pPr>
          </w:p>
        </w:tc>
        <w:tc>
          <w:tcPr>
            <w:tcW w:w="10080" w:type="dxa"/>
            <w:vAlign w:val="bottom"/>
            <w:gridSpan w:val="5"/>
          </w:tcPr>
          <w:p>
            <w:pPr>
              <w:spacing w:after="0"/>
              <w:rPr>
                <w:rFonts w:ascii="Arial" w:cs="Arial" w:eastAsia="Arial" w:hAnsi="Arial"/>
                <w:sz w:val="18"/>
                <w:szCs w:val="18"/>
                <w:color w:val="0000EE"/>
                <w:w w:val="92"/>
              </w:rPr>
            </w:pPr>
            <w:hyperlink r:id="rId55">
              <w:r>
                <w:rPr>
                  <w:rFonts w:ascii="Arial" w:cs="Arial" w:eastAsia="Arial" w:hAnsi="Arial"/>
                  <w:sz w:val="18"/>
                  <w:szCs w:val="18"/>
                  <w:color w:val="0000EE"/>
                  <w:w w:val="92"/>
                </w:rPr>
                <w:t>Amended and Restated Bylaws (incorporated herein by reference to Exhibit 3.2 to the Registrant’s Current Report on Form 8-K (File No.</w:t>
              </w:r>
            </w:hyperlink>
          </w:p>
        </w:tc>
      </w:tr>
      <w:tr>
        <w:trPr>
          <w:trHeight w:val="196"/>
        </w:trPr>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r:id="rId55">
              <w:r>
                <w:rPr>
                  <w:rFonts w:ascii="Arial" w:cs="Arial" w:eastAsia="Arial" w:hAnsi="Arial"/>
                  <w:sz w:val="18"/>
                  <w:szCs w:val="18"/>
                  <w:color w:val="0000EE"/>
                  <w:w w:val="91"/>
                </w:rPr>
                <w:t>001-37783) filed with the SEC on June 7, 2016).</w:t>
              </w:r>
            </w:hyperlink>
          </w:p>
        </w:tc>
        <w:tc>
          <w:tcPr>
            <w:tcW w:w="6380" w:type="dxa"/>
            <w:vAlign w:val="bottom"/>
            <w:tcBorders>
              <w:top w:val="single" w:sz="8" w:color="0000EE"/>
            </w:tcBorders>
            <w:gridSpan w:val="3"/>
          </w:tcPr>
          <w:p>
            <w:pPr>
              <w:spacing w:after="0"/>
              <w:rPr>
                <w:sz w:val="17"/>
                <w:szCs w:val="17"/>
                <w:color w:val="auto"/>
              </w:rPr>
            </w:pPr>
          </w:p>
        </w:tc>
        <w:tc>
          <w:tcPr>
            <w:tcW w:w="180" w:type="dxa"/>
            <w:vAlign w:val="bottom"/>
          </w:tcPr>
          <w:p>
            <w:pPr>
              <w:spacing w:after="0"/>
              <w:rPr>
                <w:sz w:val="17"/>
                <w:szCs w:val="17"/>
                <w:color w:val="auto"/>
              </w:rPr>
            </w:pPr>
          </w:p>
        </w:tc>
      </w:tr>
      <w:tr>
        <w:trPr>
          <w:trHeight w:val="372"/>
        </w:trPr>
        <w:tc>
          <w:tcPr>
            <w:tcW w:w="1120" w:type="dxa"/>
            <w:vAlign w:val="bottom"/>
          </w:tcPr>
          <w:p>
            <w:pPr>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24"/>
                <w:szCs w:val="24"/>
                <w:color w:val="auto"/>
              </w:rPr>
            </w:pPr>
          </w:p>
        </w:tc>
        <w:tc>
          <w:tcPr>
            <w:tcW w:w="10080" w:type="dxa"/>
            <w:vAlign w:val="bottom"/>
            <w:gridSpan w:val="5"/>
          </w:tcPr>
          <w:p>
            <w:pPr>
              <w:spacing w:after="0"/>
              <w:rPr>
                <w:rFonts w:ascii="Arial" w:cs="Arial" w:eastAsia="Arial" w:hAnsi="Arial"/>
                <w:sz w:val="18"/>
                <w:szCs w:val="18"/>
                <w:color w:val="0000EE"/>
                <w:w w:val="93"/>
              </w:rPr>
            </w:pPr>
            <w:hyperlink w:anchor="page34">
              <w:r>
                <w:rPr>
                  <w:rFonts w:ascii="Arial" w:cs="Arial" w:eastAsia="Arial" w:hAnsi="Arial"/>
                  <w:sz w:val="18"/>
                  <w:szCs w:val="18"/>
                  <w:u w:val="single" w:color="auto"/>
                  <w:color w:val="0000EE"/>
                  <w:w w:val="93"/>
                </w:rPr>
                <w:t>First Amendment to License Agreement, by and between the Registrant and Bausch Health Ireland Limited, dated as of April 27, 2020</w:t>
              </w:r>
              <w:r>
                <w:rPr>
                  <w:rFonts w:ascii="Arial" w:cs="Arial" w:eastAsia="Arial" w:hAnsi="Arial"/>
                  <w:sz w:val="18"/>
                  <w:szCs w:val="18"/>
                  <w:color w:val="0000EE"/>
                  <w:w w:val="93"/>
                </w:rPr>
                <w:t>.</w:t>
              </w:r>
            </w:hyperlink>
          </w:p>
        </w:tc>
      </w:tr>
      <w:tr>
        <w:trPr>
          <w:trHeight w:val="338"/>
        </w:trPr>
        <w:tc>
          <w:tcPr>
            <w:tcW w:w="1120" w:type="dxa"/>
            <w:vAlign w:val="bottom"/>
          </w:tcPr>
          <w:p>
            <w:pPr>
              <w:spacing w:after="0"/>
              <w:rPr>
                <w:sz w:val="20"/>
                <w:szCs w:val="20"/>
                <w:color w:val="auto"/>
              </w:rPr>
            </w:pPr>
            <w:r>
              <w:rPr>
                <w:rFonts w:ascii="Arial" w:cs="Arial" w:eastAsia="Arial" w:hAnsi="Arial"/>
                <w:sz w:val="18"/>
                <w:szCs w:val="18"/>
                <w:color w:val="auto"/>
              </w:rPr>
              <w:t>10.2*</w:t>
            </w:r>
          </w:p>
        </w:tc>
        <w:tc>
          <w:tcPr>
            <w:tcW w:w="40" w:type="dxa"/>
            <w:vAlign w:val="bottom"/>
          </w:tcPr>
          <w:p>
            <w:pPr>
              <w:spacing w:after="0"/>
              <w:rPr>
                <w:sz w:val="24"/>
                <w:szCs w:val="24"/>
                <w:color w:val="auto"/>
              </w:rPr>
            </w:pPr>
          </w:p>
        </w:tc>
        <w:tc>
          <w:tcPr>
            <w:tcW w:w="10080" w:type="dxa"/>
            <w:vAlign w:val="bottom"/>
            <w:gridSpan w:val="5"/>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Executive Employment Agreement, by and between Clearside Biomedical, Inc. and Thomas Ciulla, dated as of June 24, 2019.</w:t>
              </w:r>
            </w:hyperlink>
          </w:p>
        </w:tc>
      </w:tr>
      <w:tr>
        <w:trPr>
          <w:trHeight w:val="364"/>
        </w:trPr>
        <w:tc>
          <w:tcPr>
            <w:tcW w:w="1120" w:type="dxa"/>
            <w:vAlign w:val="bottom"/>
          </w:tcPr>
          <w:p>
            <w:pPr>
              <w:spacing w:after="0"/>
              <w:rPr>
                <w:sz w:val="20"/>
                <w:szCs w:val="20"/>
                <w:color w:val="auto"/>
              </w:rPr>
            </w:pPr>
            <w:r>
              <w:rPr>
                <w:rFonts w:ascii="Arial" w:cs="Arial" w:eastAsia="Arial" w:hAnsi="Arial"/>
                <w:sz w:val="18"/>
                <w:szCs w:val="18"/>
                <w:color w:val="auto"/>
              </w:rPr>
              <w:t>31.1*</w:t>
            </w:r>
          </w:p>
        </w:tc>
        <w:tc>
          <w:tcPr>
            <w:tcW w:w="40" w:type="dxa"/>
            <w:vAlign w:val="bottom"/>
          </w:tcPr>
          <w:p>
            <w:pPr>
              <w:spacing w:after="0"/>
              <w:rPr>
                <w:sz w:val="24"/>
                <w:szCs w:val="24"/>
                <w:color w:val="auto"/>
              </w:rPr>
            </w:pPr>
          </w:p>
        </w:tc>
        <w:tc>
          <w:tcPr>
            <w:tcW w:w="10080" w:type="dxa"/>
            <w:vAlign w:val="bottom"/>
            <w:gridSpan w:val="5"/>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Certification of Principal Executive Officer under Section 302 of the Sarbanes-Oxley Act.</w:t>
              </w:r>
            </w:hyperlink>
          </w:p>
        </w:tc>
      </w:tr>
      <w:tr>
        <w:trPr>
          <w:trHeight w:val="378"/>
        </w:trPr>
        <w:tc>
          <w:tcPr>
            <w:tcW w:w="1120" w:type="dxa"/>
            <w:vAlign w:val="bottom"/>
          </w:tcPr>
          <w:p>
            <w:pPr>
              <w:spacing w:after="0"/>
              <w:rPr>
                <w:sz w:val="20"/>
                <w:szCs w:val="20"/>
                <w:color w:val="auto"/>
              </w:rPr>
            </w:pPr>
            <w:r>
              <w:rPr>
                <w:rFonts w:ascii="Arial" w:cs="Arial" w:eastAsia="Arial" w:hAnsi="Arial"/>
                <w:sz w:val="18"/>
                <w:szCs w:val="18"/>
                <w:color w:val="auto"/>
              </w:rPr>
              <w:t>31.2*</w:t>
            </w:r>
          </w:p>
        </w:tc>
        <w:tc>
          <w:tcPr>
            <w:tcW w:w="40" w:type="dxa"/>
            <w:vAlign w:val="bottom"/>
          </w:tcPr>
          <w:p>
            <w:pPr>
              <w:spacing w:after="0"/>
              <w:rPr>
                <w:sz w:val="24"/>
                <w:szCs w:val="24"/>
                <w:color w:val="auto"/>
              </w:rPr>
            </w:pPr>
          </w:p>
        </w:tc>
        <w:tc>
          <w:tcPr>
            <w:tcW w:w="10080" w:type="dxa"/>
            <w:vAlign w:val="bottom"/>
            <w:gridSpan w:val="5"/>
          </w:tcPr>
          <w:p>
            <w:pPr>
              <w:spacing w:after="0"/>
              <w:rPr>
                <w:rFonts w:ascii="Arial" w:cs="Arial" w:eastAsia="Arial" w:hAnsi="Arial"/>
                <w:sz w:val="18"/>
                <w:szCs w:val="18"/>
                <w:color w:val="0000EE"/>
              </w:rPr>
            </w:pPr>
            <w:hyperlink w:anchor="page52">
              <w:r>
                <w:rPr>
                  <w:rFonts w:ascii="Arial" w:cs="Arial" w:eastAsia="Arial" w:hAnsi="Arial"/>
                  <w:sz w:val="18"/>
                  <w:szCs w:val="18"/>
                  <w:u w:val="single" w:color="auto"/>
                  <w:color w:val="0000EE"/>
                </w:rPr>
                <w:t>Certification of Principal Financial Officer under Section 302 of the Sarbanes-Oxley Act</w:t>
              </w:r>
              <w:r>
                <w:rPr>
                  <w:rFonts w:ascii="Arial" w:cs="Arial" w:eastAsia="Arial" w:hAnsi="Arial"/>
                  <w:sz w:val="18"/>
                  <w:szCs w:val="18"/>
                  <w:color w:val="0000EE"/>
                </w:rPr>
                <w:t>.</w:t>
              </w:r>
            </w:hyperlink>
          </w:p>
        </w:tc>
      </w:tr>
      <w:tr>
        <w:trPr>
          <w:trHeight w:val="338"/>
        </w:trPr>
        <w:tc>
          <w:tcPr>
            <w:tcW w:w="1120" w:type="dxa"/>
            <w:vAlign w:val="bottom"/>
          </w:tcPr>
          <w:p>
            <w:pPr>
              <w:spacing w:after="0"/>
              <w:rPr>
                <w:sz w:val="20"/>
                <w:szCs w:val="20"/>
                <w:color w:val="auto"/>
              </w:rPr>
            </w:pPr>
            <w:r>
              <w:rPr>
                <w:rFonts w:ascii="Arial" w:cs="Arial" w:eastAsia="Arial" w:hAnsi="Arial"/>
                <w:sz w:val="18"/>
                <w:szCs w:val="18"/>
                <w:color w:val="auto"/>
              </w:rPr>
              <w:t>32.1**</w:t>
            </w:r>
          </w:p>
        </w:tc>
        <w:tc>
          <w:tcPr>
            <w:tcW w:w="40" w:type="dxa"/>
            <w:vAlign w:val="bottom"/>
          </w:tcPr>
          <w:p>
            <w:pPr>
              <w:spacing w:after="0"/>
              <w:rPr>
                <w:sz w:val="24"/>
                <w:szCs w:val="24"/>
                <w:color w:val="auto"/>
              </w:rPr>
            </w:pPr>
          </w:p>
        </w:tc>
        <w:tc>
          <w:tcPr>
            <w:tcW w:w="10080" w:type="dxa"/>
            <w:vAlign w:val="bottom"/>
            <w:gridSpan w:val="5"/>
          </w:tcPr>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Certifications of Principal Executive Officer and Principal Financial Officer under Section 906 of the Sarbanes-Oxley Act.</w:t>
              </w:r>
            </w:hyperlink>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080" w:type="dxa"/>
            <w:vAlign w:val="bottom"/>
            <w:gridSpan w:val="5"/>
          </w:tcPr>
          <w:p>
            <w:pPr>
              <w:spacing w:after="0"/>
              <w:rPr>
                <w:sz w:val="20"/>
                <w:szCs w:val="20"/>
                <w:color w:val="auto"/>
              </w:rPr>
            </w:pPr>
            <w:r>
              <w:rPr>
                <w:rFonts w:ascii="Arial" w:cs="Arial" w:eastAsia="Arial" w:hAnsi="Arial"/>
                <w:sz w:val="18"/>
                <w:szCs w:val="18"/>
                <w:color w:val="auto"/>
              </w:rPr>
              <w:t>XBRL Instance Document</w:t>
            </w: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08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08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08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08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08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55"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00" w:right="320" w:hanging="492"/>
        <w:spacing w:after="0" w:line="265" w:lineRule="auto"/>
        <w:tabs>
          <w:tab w:leader="none" w:pos="5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ind w:left="500" w:right="120" w:hanging="492"/>
        <w:spacing w:after="0" w:line="255"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Pursuant to Item 601(b)(10)(iv) of Regulation S-K promulgated by the Securities and Exchange Commission, certain portions of this exhibit have been redacted. The Registrant hereby agrees to furnish supplementally to the Securities and Exchange Commission, upon its request, an unredacted copy of this exhibit.</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11"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Clearside Biomedical, Inc.</w:t>
      </w:r>
    </w:p>
    <w:p>
      <w:pPr>
        <w:sectPr>
          <w:pgSz w:w="11900" w:h="16838" w:orient="portrait"/>
          <w:cols w:equalWidth="0" w:num="1">
            <w:col w:w="10800"/>
          </w:cols>
          <w:pgMar w:left="320" w:top="125" w:right="779" w:bottom="1440" w:gutter="0" w:footer="0" w:header="0"/>
        </w:sect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Date: August 10, 2020</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Charles A. Deignan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-789940</wp:posOffset>
            </wp:positionH>
            <wp:positionV relativeFrom="paragraph">
              <wp:posOffset>29210</wp:posOffset>
            </wp:positionV>
            <wp:extent cx="263144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3">
            <w:col w:w="6040" w:space="720"/>
            <w:col w:w="860" w:space="720"/>
            <w:col w:w="2460"/>
          </w:cols>
          <w:pgMar w:left="320" w:top="125" w:right="779" w:bottom="1440" w:gutter="0" w:footer="0" w:header="0"/>
          <w:type w:val="continuous"/>
        </w:sectPr>
      </w:pPr>
    </w:p>
    <w:p>
      <w:pPr>
        <w:jc w:val="center"/>
        <w:ind w:left="7060"/>
        <w:spacing w:after="0"/>
        <w:rPr>
          <w:sz w:val="20"/>
          <w:szCs w:val="20"/>
          <w:color w:val="auto"/>
        </w:rPr>
      </w:pPr>
      <w:r>
        <w:rPr>
          <w:rFonts w:ascii="Arial" w:cs="Arial" w:eastAsia="Arial" w:hAnsi="Arial"/>
          <w:sz w:val="18"/>
          <w:szCs w:val="18"/>
          <w:color w:val="auto"/>
        </w:rPr>
        <w:t>Charles A. Deignan</w:t>
      </w:r>
    </w:p>
    <w:p>
      <w:pPr>
        <w:spacing w:after="0" w:line="23"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7880"/>
        <w:spacing w:after="0"/>
        <w:rPr>
          <w:sz w:val="20"/>
          <w:szCs w:val="20"/>
          <w:color w:val="auto"/>
        </w:rPr>
      </w:pPr>
      <w:r>
        <w:rPr>
          <w:rFonts w:ascii="Arial" w:cs="Arial" w:eastAsia="Arial" w:hAnsi="Arial"/>
          <w:sz w:val="16"/>
          <w:szCs w:val="16"/>
          <w:color w:val="auto"/>
        </w:rPr>
        <w:t>(On behalf of the Registrant and as</w:t>
      </w:r>
    </w:p>
    <w:p>
      <w:pPr>
        <w:spacing w:after="0" w:line="46"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0800"/>
          </w:cols>
          <w:pgMar w:left="320" w:top="125" w:right="779" w:bottom="1440" w:gutter="0" w:footer="0" w:header="0"/>
          <w:type w:val="continuous"/>
        </w:sectPr>
      </w:pPr>
    </w:p>
    <w:bookmarkStart w:id="33" w:name="page34"/>
    <w:bookmarkEnd w:id="33"/>
    <w:p>
      <w:pPr>
        <w:jc w:val="right"/>
        <w:spacing w:after="0"/>
        <w:rPr>
          <w:sz w:val="20"/>
          <w:szCs w:val="20"/>
          <w:color w:val="auto"/>
        </w:rPr>
      </w:pPr>
      <w:r>
        <w:rPr>
          <w:rFonts w:ascii="Arial" w:cs="Arial" w:eastAsia="Arial" w:hAnsi="Arial"/>
          <w:sz w:val="22"/>
          <w:szCs w:val="22"/>
          <w:b w:val="1"/>
          <w:bCs w:val="1"/>
          <w:color w:val="auto"/>
        </w:rPr>
        <w:t>Exhibit 10.1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FIRST AMENDMENT TO LICENSE AGREEMENT</w:t>
      </w:r>
    </w:p>
    <w:p>
      <w:pPr>
        <w:spacing w:after="0" w:line="188"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This First Amendment to License Agreement (the “</w:t>
      </w:r>
      <w:r>
        <w:rPr>
          <w:rFonts w:ascii="Arial" w:cs="Arial" w:eastAsia="Arial" w:hAnsi="Arial"/>
          <w:sz w:val="22"/>
          <w:szCs w:val="22"/>
          <w:b w:val="1"/>
          <w:bCs w:val="1"/>
          <w:i w:val="1"/>
          <w:iCs w:val="1"/>
          <w:color w:val="auto"/>
        </w:rPr>
        <w:t>Amendment</w:t>
      </w:r>
      <w:r>
        <w:rPr>
          <w:rFonts w:ascii="Arial" w:cs="Arial" w:eastAsia="Arial" w:hAnsi="Arial"/>
          <w:sz w:val="22"/>
          <w:szCs w:val="22"/>
          <w:color w:val="auto"/>
        </w:rPr>
        <w:t>”), effective as of April 27, 2020 (the “</w:t>
      </w:r>
      <w:r>
        <w:rPr>
          <w:rFonts w:ascii="Arial" w:cs="Arial" w:eastAsia="Arial" w:hAnsi="Arial"/>
          <w:sz w:val="22"/>
          <w:szCs w:val="22"/>
          <w:b w:val="1"/>
          <w:bCs w:val="1"/>
          <w:i w:val="1"/>
          <w:iCs w:val="1"/>
          <w:color w:val="auto"/>
        </w:rPr>
        <w:t>Amendment</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by and between Bausch Health Ireland Limited (“</w:t>
      </w:r>
      <w:r>
        <w:rPr>
          <w:rFonts w:ascii="Arial" w:cs="Arial" w:eastAsia="Arial" w:hAnsi="Arial"/>
          <w:sz w:val="22"/>
          <w:szCs w:val="22"/>
          <w:b w:val="1"/>
          <w:bCs w:val="1"/>
          <w:i w:val="1"/>
          <w:iCs w:val="1"/>
          <w:color w:val="auto"/>
        </w:rPr>
        <w:t>Bausch Health</w:t>
      </w:r>
      <w:r>
        <w:rPr>
          <w:rFonts w:ascii="Arial" w:cs="Arial" w:eastAsia="Arial" w:hAnsi="Arial"/>
          <w:sz w:val="22"/>
          <w:szCs w:val="22"/>
          <w:color w:val="auto"/>
        </w:rPr>
        <w:t>”) and Clearside Biomedical, Inc.</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i w:val="1"/>
          <w:iCs w:val="1"/>
          <w:color w:val="auto"/>
        </w:rPr>
        <w:t>Clearside</w:t>
      </w:r>
      <w:r>
        <w:rPr>
          <w:rFonts w:ascii="Arial" w:cs="Arial" w:eastAsia="Arial" w:hAnsi="Arial"/>
          <w:sz w:val="22"/>
          <w:szCs w:val="22"/>
          <w:color w:val="auto"/>
        </w:rPr>
        <w:t>”), amends that certain License Agreement, dated October 22, 2019, by and between Bausch Health and Clearside (the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Each of Bausch and Clearside shall be referred to herein individually as a “</w:t>
      </w:r>
      <w:r>
        <w:rPr>
          <w:rFonts w:ascii="Arial" w:cs="Arial" w:eastAsia="Arial" w:hAnsi="Arial"/>
          <w:sz w:val="22"/>
          <w:szCs w:val="22"/>
          <w:b w:val="1"/>
          <w:bCs w:val="1"/>
          <w:i w:val="1"/>
          <w:iCs w:val="1"/>
          <w:color w:val="auto"/>
        </w:rPr>
        <w:t>Party</w:t>
      </w:r>
      <w:r>
        <w:rPr>
          <w:rFonts w:ascii="Arial" w:cs="Arial" w:eastAsia="Arial" w:hAnsi="Arial"/>
          <w:sz w:val="22"/>
          <w:szCs w:val="22"/>
          <w:color w:val="auto"/>
        </w:rPr>
        <w:t>” and collectively as the “</w:t>
      </w:r>
      <w:r>
        <w:rPr>
          <w:rFonts w:ascii="Arial" w:cs="Arial" w:eastAsia="Arial" w:hAnsi="Arial"/>
          <w:sz w:val="22"/>
          <w:szCs w:val="22"/>
          <w:b w:val="1"/>
          <w:bCs w:val="1"/>
          <w:i w:val="1"/>
          <w:iCs w:val="1"/>
          <w:color w:val="auto"/>
        </w:rPr>
        <w:t>Parties</w:t>
      </w:r>
      <w:r>
        <w:rPr>
          <w:rFonts w:ascii="Arial" w:cs="Arial" w:eastAsia="Arial" w:hAnsi="Arial"/>
          <w:sz w:val="22"/>
          <w:szCs w:val="22"/>
          <w:color w:val="auto"/>
        </w:rPr>
        <w:t>.”</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the mutual promises set forth herein, the Parties hereby agree as follows:</w:t>
      </w:r>
    </w:p>
    <w:p>
      <w:pPr>
        <w:spacing w:after="0" w:line="241" w:lineRule="exact"/>
        <w:rPr>
          <w:sz w:val="20"/>
          <w:szCs w:val="20"/>
          <w:color w:val="auto"/>
        </w:rPr>
      </w:pPr>
    </w:p>
    <w:p>
      <w:pPr>
        <w:ind w:left="3240"/>
        <w:spacing w:after="0"/>
        <w:tabs>
          <w:tab w:leader="none" w:pos="5040" w:val="left"/>
        </w:tabs>
        <w:rPr>
          <w:sz w:val="20"/>
          <w:szCs w:val="20"/>
          <w:color w:val="auto"/>
        </w:rPr>
      </w:pPr>
      <w:r>
        <w:rPr>
          <w:rFonts w:ascii="Arial" w:cs="Arial" w:eastAsia="Arial" w:hAnsi="Arial"/>
          <w:sz w:val="22"/>
          <w:szCs w:val="22"/>
          <w:b w:val="1"/>
          <w:bCs w:val="1"/>
          <w:color w:val="auto"/>
        </w:rPr>
        <w:t>ARTICLE I.</w:t>
      </w:r>
      <w:r>
        <w:rPr>
          <w:sz w:val="20"/>
          <w:szCs w:val="20"/>
          <w:color w:val="auto"/>
        </w:rPr>
        <w:tab/>
      </w:r>
      <w:r>
        <w:rPr>
          <w:rFonts w:ascii="Arial" w:cs="Arial" w:eastAsia="Arial" w:hAnsi="Arial"/>
          <w:sz w:val="22"/>
          <w:szCs w:val="22"/>
          <w:b w:val="1"/>
          <w:bCs w:val="1"/>
          <w:color w:val="auto"/>
        </w:rPr>
        <w:t>AGREEMENT AMENDMENT</w:t>
      </w:r>
    </w:p>
    <w:p>
      <w:pPr>
        <w:spacing w:after="0" w:line="212" w:lineRule="exact"/>
        <w:rPr>
          <w:sz w:val="20"/>
          <w:szCs w:val="20"/>
          <w:color w:val="auto"/>
        </w:rPr>
      </w:pPr>
    </w:p>
    <w:p>
      <w:pPr>
        <w:ind w:left="820" w:hanging="812"/>
        <w:spacing w:after="0"/>
        <w:tabs>
          <w:tab w:leader="none" w:pos="820" w:val="left"/>
        </w:tabs>
        <w:numPr>
          <w:ilvl w:val="0"/>
          <w:numId w:val="15"/>
        </w:numPr>
        <w:rPr>
          <w:rFonts w:ascii="Arial" w:cs="Arial" w:eastAsia="Arial" w:hAnsi="Arial"/>
          <w:sz w:val="21"/>
          <w:szCs w:val="21"/>
          <w:color w:val="auto"/>
        </w:rPr>
      </w:pPr>
      <w:r>
        <w:rPr>
          <w:rFonts w:ascii="Arial" w:cs="Arial" w:eastAsia="Arial" w:hAnsi="Arial"/>
          <w:sz w:val="21"/>
          <w:szCs w:val="21"/>
          <w:u w:val="single" w:color="auto"/>
          <w:color w:val="auto"/>
        </w:rPr>
        <w:t>Section 1.98</w:t>
      </w:r>
      <w:r>
        <w:rPr>
          <w:rFonts w:ascii="Arial" w:cs="Arial" w:eastAsia="Arial" w:hAnsi="Arial"/>
          <w:sz w:val="21"/>
          <w:szCs w:val="21"/>
          <w:color w:val="auto"/>
        </w:rPr>
        <w:t xml:space="preserve"> of the Agreement is hereby amended by deleting in its entirety and replacing it with the following:</w:t>
      </w:r>
    </w:p>
    <w:p>
      <w:pPr>
        <w:spacing w:after="0" w:line="212" w:lineRule="exact"/>
        <w:rPr>
          <w:sz w:val="20"/>
          <w:szCs w:val="20"/>
          <w:color w:val="auto"/>
        </w:rPr>
      </w:pPr>
    </w:p>
    <w:p>
      <w:pPr>
        <w:ind w:firstLine="864"/>
        <w:spacing w:after="0" w:line="28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Territory</w:t>
      </w:r>
      <w:r>
        <w:rPr>
          <w:rFonts w:ascii="Arial" w:cs="Arial" w:eastAsia="Arial" w:hAnsi="Arial"/>
          <w:sz w:val="21"/>
          <w:szCs w:val="21"/>
          <w:color w:val="auto"/>
        </w:rPr>
        <w:t xml:space="preserve">” means, collectively, (a) the Original Territory and (b) any Additional Region for which Bausch Health has exercised its Option pursuant to </w:t>
      </w:r>
      <w:r>
        <w:rPr>
          <w:rFonts w:ascii="Arial" w:cs="Arial" w:eastAsia="Arial" w:hAnsi="Arial"/>
          <w:sz w:val="21"/>
          <w:szCs w:val="21"/>
          <w:u w:val="single" w:color="auto"/>
          <w:color w:val="auto"/>
        </w:rPr>
        <w:t>Section 2.8(a)</w:t>
      </w:r>
      <w:r>
        <w:rPr>
          <w:rFonts w:ascii="Arial" w:cs="Arial" w:eastAsia="Arial" w:hAnsi="Arial"/>
          <w:sz w:val="21"/>
          <w:szCs w:val="21"/>
          <w:color w:val="auto"/>
        </w:rPr>
        <w:t xml:space="preserve"> and which has not been terminated pursuant to </w:t>
      </w:r>
      <w:r>
        <w:rPr>
          <w:rFonts w:ascii="Arial" w:cs="Arial" w:eastAsia="Arial" w:hAnsi="Arial"/>
          <w:sz w:val="21"/>
          <w:szCs w:val="21"/>
          <w:u w:val="single" w:color="auto"/>
          <w:color w:val="auto"/>
        </w:rPr>
        <w:t>Section 2.8(b) or (c)</w:t>
      </w:r>
      <w:r>
        <w:rPr>
          <w:rFonts w:ascii="Arial" w:cs="Arial" w:eastAsia="Arial" w:hAnsi="Arial"/>
          <w:sz w:val="21"/>
          <w:szCs w:val="21"/>
          <w:color w:val="auto"/>
        </w:rPr>
        <w:t>.</w:t>
      </w:r>
    </w:p>
    <w:p>
      <w:pPr>
        <w:spacing w:after="0" w:line="104" w:lineRule="exact"/>
        <w:rPr>
          <w:sz w:val="20"/>
          <w:szCs w:val="20"/>
          <w:color w:val="auto"/>
        </w:rPr>
      </w:pPr>
    </w:p>
    <w:p>
      <w:pPr>
        <w:ind w:left="880" w:hanging="872"/>
        <w:spacing w:after="0"/>
        <w:tabs>
          <w:tab w:leader="none" w:pos="880"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Article 1</w:t>
      </w:r>
      <w:r>
        <w:rPr>
          <w:rFonts w:ascii="Arial" w:cs="Arial" w:eastAsia="Arial" w:hAnsi="Arial"/>
          <w:sz w:val="22"/>
          <w:szCs w:val="22"/>
          <w:color w:val="auto"/>
        </w:rPr>
        <w:t xml:space="preserve"> of the Agreement is hereby amended by adding the following new definitions to that section:</w:t>
      </w:r>
    </w:p>
    <w:p>
      <w:pPr>
        <w:spacing w:after="0" w:line="200"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European Union</w:t>
      </w:r>
      <w:r>
        <w:rPr>
          <w:rFonts w:ascii="Arial" w:cs="Arial" w:eastAsia="Arial" w:hAnsi="Arial"/>
          <w:sz w:val="22"/>
          <w:szCs w:val="22"/>
          <w:color w:val="auto"/>
        </w:rPr>
        <w:t>” means the economic, scientific and political organization of European member states, as its membership may be altered from time to time, and any successor thereto; provided, that for the purposes of this Agreement, the European Union shall always include the United Kingdom.</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Major Market</w:t>
      </w:r>
      <w:r>
        <w:rPr>
          <w:rFonts w:ascii="Arial" w:cs="Arial" w:eastAsia="Arial" w:hAnsi="Arial"/>
          <w:sz w:val="22"/>
          <w:szCs w:val="22"/>
          <w:color w:val="auto"/>
        </w:rPr>
        <w:t>” means [***].</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Original Territory</w:t>
      </w:r>
      <w:r>
        <w:rPr>
          <w:rFonts w:ascii="Arial" w:cs="Arial" w:eastAsia="Arial" w:hAnsi="Arial"/>
          <w:sz w:val="22"/>
          <w:szCs w:val="22"/>
          <w:color w:val="auto"/>
        </w:rPr>
        <w:t>” means Canada and the U.S.</w:t>
      </w:r>
    </w:p>
    <w:p>
      <w:pPr>
        <w:spacing w:after="0" w:line="172" w:lineRule="exact"/>
        <w:rPr>
          <w:sz w:val="20"/>
          <w:szCs w:val="20"/>
          <w:color w:val="auto"/>
        </w:rPr>
      </w:pPr>
    </w:p>
    <w:p>
      <w:pPr>
        <w:ind w:left="820" w:hanging="812"/>
        <w:spacing w:after="0"/>
        <w:tabs>
          <w:tab w:leader="none" w:pos="820" w:val="left"/>
        </w:tabs>
        <w:numPr>
          <w:ilvl w:val="0"/>
          <w:numId w:val="17"/>
        </w:numPr>
        <w:rPr>
          <w:rFonts w:ascii="Arial" w:cs="Arial" w:eastAsia="Arial" w:hAnsi="Arial"/>
          <w:sz w:val="22"/>
          <w:szCs w:val="22"/>
          <w:color w:val="auto"/>
        </w:rPr>
      </w:pPr>
      <w:r>
        <w:rPr>
          <w:rFonts w:ascii="Arial" w:cs="Arial" w:eastAsia="Arial" w:hAnsi="Arial"/>
          <w:sz w:val="22"/>
          <w:szCs w:val="22"/>
          <w:color w:val="auto"/>
        </w:rPr>
        <w:t xml:space="preserve">The following shall be added to the Agreement as </w:t>
      </w:r>
      <w:r>
        <w:rPr>
          <w:rFonts w:ascii="Arial" w:cs="Arial" w:eastAsia="Arial" w:hAnsi="Arial"/>
          <w:sz w:val="22"/>
          <w:szCs w:val="22"/>
          <w:u w:val="single" w:color="auto"/>
          <w:color w:val="auto"/>
        </w:rPr>
        <w:t>Section 2.8</w:t>
      </w:r>
      <w:r>
        <w:rPr>
          <w:rFonts w:ascii="Arial" w:cs="Arial" w:eastAsia="Arial" w:hAnsi="Arial"/>
          <w:sz w:val="22"/>
          <w:szCs w:val="22"/>
          <w:color w:val="auto"/>
        </w:rPr>
        <w:t>:</w:t>
      </w:r>
    </w:p>
    <w:p>
      <w:pPr>
        <w:spacing w:after="0" w:line="173" w:lineRule="exact"/>
        <w:rPr>
          <w:rFonts w:ascii="Arial" w:cs="Arial" w:eastAsia="Arial" w:hAnsi="Arial"/>
          <w:sz w:val="22"/>
          <w:szCs w:val="22"/>
          <w:color w:val="auto"/>
        </w:rPr>
      </w:pPr>
    </w:p>
    <w:p>
      <w:pPr>
        <w:ind w:left="880"/>
        <w:spacing w:after="0"/>
        <w:rPr>
          <w:rFonts w:ascii="Arial" w:cs="Arial" w:eastAsia="Arial" w:hAnsi="Arial"/>
          <w:sz w:val="22"/>
          <w:szCs w:val="22"/>
          <w:color w:val="auto"/>
        </w:rPr>
      </w:pPr>
      <w:r>
        <w:rPr>
          <w:rFonts w:ascii="Arial" w:cs="Arial" w:eastAsia="Arial" w:hAnsi="Arial"/>
          <w:sz w:val="22"/>
          <w:szCs w:val="22"/>
          <w:color w:val="auto"/>
        </w:rPr>
        <w:t>2.8</w:t>
      </w:r>
      <w:r>
        <w:rPr>
          <w:rFonts w:ascii="Arial" w:cs="Arial" w:eastAsia="Arial" w:hAnsi="Arial"/>
          <w:sz w:val="19"/>
          <w:szCs w:val="19"/>
          <w:b w:val="1"/>
          <w:bCs w:val="1"/>
          <w:color w:val="auto"/>
        </w:rPr>
        <w:t>Bausch Health’s Option</w:t>
      </w:r>
      <w:r>
        <w:rPr>
          <w:rFonts w:ascii="Arial" w:cs="Arial" w:eastAsia="Arial" w:hAnsi="Arial"/>
          <w:sz w:val="19"/>
          <w:szCs w:val="19"/>
          <w:color w:val="auto"/>
        </w:rPr>
        <w:t>.</w:t>
      </w:r>
    </w:p>
    <w:p>
      <w:pPr>
        <w:spacing w:after="0" w:line="171" w:lineRule="exact"/>
        <w:rPr>
          <w:rFonts w:ascii="Arial" w:cs="Arial" w:eastAsia="Arial" w:hAnsi="Arial"/>
          <w:sz w:val="22"/>
          <w:szCs w:val="22"/>
          <w:color w:val="auto"/>
        </w:rPr>
      </w:pPr>
    </w:p>
    <w:p>
      <w:pPr>
        <w:jc w:val="both"/>
        <w:ind w:firstLine="872"/>
        <w:spacing w:after="0" w:line="277" w:lineRule="auto"/>
        <w:tabs>
          <w:tab w:leader="none" w:pos="1751" w:val="left"/>
        </w:tabs>
        <w:numPr>
          <w:ilvl w:val="1"/>
          <w:numId w:val="17"/>
        </w:numPr>
        <w:rPr>
          <w:rFonts w:ascii="Arial" w:cs="Arial" w:eastAsia="Arial" w:hAnsi="Arial"/>
          <w:sz w:val="19"/>
          <w:szCs w:val="19"/>
          <w:color w:val="auto"/>
        </w:rPr>
      </w:pPr>
      <w:r>
        <w:rPr>
          <w:rFonts w:ascii="Arial" w:cs="Arial" w:eastAsia="Arial" w:hAnsi="Arial"/>
          <w:sz w:val="19"/>
          <w:szCs w:val="19"/>
          <w:color w:val="auto"/>
        </w:rPr>
        <w:t>Clearside hereby grants to Bausch Health an exclusive option to add one (1) or more of the following regions to the definition of “Territory” under this Agreement, solely in connection with Bausch Health’s rights or obligations with respect to XIPERE Product(s): (i) European Union, (ii) Australia and New Zealand and (iii) South America and Mexico (each, an “</w:t>
      </w:r>
      <w:r>
        <w:rPr>
          <w:rFonts w:ascii="Arial" w:cs="Arial" w:eastAsia="Arial" w:hAnsi="Arial"/>
          <w:sz w:val="19"/>
          <w:szCs w:val="19"/>
          <w:b w:val="1"/>
          <w:bCs w:val="1"/>
          <w:i w:val="1"/>
          <w:iCs w:val="1"/>
          <w:color w:val="auto"/>
        </w:rPr>
        <w:t>Additional Region</w:t>
      </w:r>
      <w:r>
        <w:rPr>
          <w:rFonts w:ascii="Arial" w:cs="Arial" w:eastAsia="Arial" w:hAnsi="Arial"/>
          <w:sz w:val="19"/>
          <w:szCs w:val="19"/>
          <w:color w:val="auto"/>
        </w:rPr>
        <w:t>”; collectively, the “</w:t>
      </w:r>
      <w:r>
        <w:rPr>
          <w:rFonts w:ascii="Arial" w:cs="Arial" w:eastAsia="Arial" w:hAnsi="Arial"/>
          <w:sz w:val="19"/>
          <w:szCs w:val="19"/>
          <w:b w:val="1"/>
          <w:bCs w:val="1"/>
          <w:i w:val="1"/>
          <w:iCs w:val="1"/>
          <w:color w:val="auto"/>
        </w:rPr>
        <w:t>Additional Regions</w:t>
      </w:r>
      <w:r>
        <w:rPr>
          <w:rFonts w:ascii="Arial" w:cs="Arial" w:eastAsia="Arial" w:hAnsi="Arial"/>
          <w:sz w:val="19"/>
          <w:szCs w:val="19"/>
          <w:color w:val="auto"/>
        </w:rPr>
        <w:t>”; such option, the “</w:t>
      </w:r>
      <w:r>
        <w:rPr>
          <w:rFonts w:ascii="Arial" w:cs="Arial" w:eastAsia="Arial" w:hAnsi="Arial"/>
          <w:sz w:val="19"/>
          <w:szCs w:val="19"/>
          <w:b w:val="1"/>
          <w:bCs w:val="1"/>
          <w:i w:val="1"/>
          <w:iCs w:val="1"/>
          <w:color w:val="auto"/>
        </w:rPr>
        <w:t>Option</w:t>
      </w:r>
      <w:r>
        <w:rPr>
          <w:rFonts w:ascii="Arial" w:cs="Arial" w:eastAsia="Arial" w:hAnsi="Arial"/>
          <w:sz w:val="19"/>
          <w:szCs w:val="19"/>
          <w:color w:val="auto"/>
        </w:rPr>
        <w:t>”). The Option shall commence on the Amendment Effective Date and continue until the earlier of (i) the date of FDA Regulatory Approval of Product and (ii) August 31, 2021 (such period, the “</w:t>
      </w:r>
      <w:r>
        <w:rPr>
          <w:rFonts w:ascii="Arial" w:cs="Arial" w:eastAsia="Arial" w:hAnsi="Arial"/>
          <w:sz w:val="19"/>
          <w:szCs w:val="19"/>
          <w:b w:val="1"/>
          <w:bCs w:val="1"/>
          <w:i w:val="1"/>
          <w:iCs w:val="1"/>
          <w:color w:val="auto"/>
        </w:rPr>
        <w:t>Option Term</w:t>
      </w:r>
      <w:r>
        <w:rPr>
          <w:rFonts w:ascii="Arial" w:cs="Arial" w:eastAsia="Arial" w:hAnsi="Arial"/>
          <w:sz w:val="19"/>
          <w:szCs w:val="19"/>
          <w:color w:val="auto"/>
        </w:rPr>
        <w:t>”; the end date, the “</w:t>
      </w:r>
      <w:r>
        <w:rPr>
          <w:rFonts w:ascii="Arial" w:cs="Arial" w:eastAsia="Arial" w:hAnsi="Arial"/>
          <w:sz w:val="19"/>
          <w:szCs w:val="19"/>
          <w:b w:val="1"/>
          <w:bCs w:val="1"/>
          <w:i w:val="1"/>
          <w:iCs w:val="1"/>
          <w:color w:val="auto"/>
        </w:rPr>
        <w:t>Option End Date</w:t>
      </w:r>
      <w:r>
        <w:rPr>
          <w:rFonts w:ascii="Arial" w:cs="Arial" w:eastAsia="Arial" w:hAnsi="Arial"/>
          <w:sz w:val="19"/>
          <w:szCs w:val="19"/>
          <w:color w:val="auto"/>
        </w:rPr>
        <w:t>”). Bausch Health may exercise the Option with respect to each Additional Region by delivering a written exercise notice to Clearside. With respect to</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12" w:lineRule="exact"/>
        <w:rPr>
          <w:sz w:val="20"/>
          <w:szCs w:val="20"/>
          <w:color w:val="auto"/>
        </w:rPr>
      </w:pPr>
    </w:p>
    <w:p>
      <w:pPr>
        <w:ind w:right="860"/>
        <w:spacing w:after="0" w:line="226" w:lineRule="auto"/>
        <w:rPr>
          <w:sz w:val="20"/>
          <w:szCs w:val="20"/>
          <w:color w:val="auto"/>
        </w:rPr>
      </w:pPr>
      <w:r>
        <w:rPr>
          <w:rFonts w:ascii="Arial" w:cs="Arial" w:eastAsia="Arial" w:hAnsi="Arial"/>
          <w:sz w:val="18"/>
          <w:szCs w:val="18"/>
          <w:color w:val="auto"/>
        </w:rPr>
        <w:t>Certain information has been excluded from this agreement (indicated by “[***]”) because such information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4" w:name="page35"/>
    <w:bookmarkEnd w:id="34"/>
    <w:p>
      <w:pPr>
        <w:jc w:val="both"/>
        <w:spacing w:after="0" w:line="271" w:lineRule="auto"/>
        <w:rPr>
          <w:sz w:val="20"/>
          <w:szCs w:val="20"/>
          <w:color w:val="auto"/>
        </w:rPr>
      </w:pPr>
      <w:r>
        <w:rPr>
          <w:rFonts w:ascii="Arial" w:cs="Arial" w:eastAsia="Arial" w:hAnsi="Arial"/>
          <w:sz w:val="19"/>
          <w:szCs w:val="19"/>
          <w:color w:val="auto"/>
        </w:rPr>
        <w:t xml:space="preserve">each Additional Region, if Bausch Health fails to exercise its Option before the Option End Date, then Clearside shall have the right to exploit the XIPERE Products in such Additional Regions, either on its own or in collaboration with a Third Party, with no further obligations owed to Bausch Health. In the event that Bausch Health timely exercises its Option for a given Additional Region, such Additional Region shall be automatically added to the Territory as of the date of the exercise of such Option and the terms of the Agreement (including the license grant in Section 2.1) shall apply to such Additional Region as part of the Territory (except to the extent expressly stated in Section 7 below). In addition, in the event that Bausch Health timely exercises its Option for a given Additional Region, the Parties shall add applicable Licensed Patents and Licensed Marks to </w:t>
      </w:r>
      <w:r>
        <w:rPr>
          <w:rFonts w:ascii="Arial" w:cs="Arial" w:eastAsia="Arial" w:hAnsi="Arial"/>
          <w:sz w:val="19"/>
          <w:szCs w:val="19"/>
          <w:u w:val="single" w:color="auto"/>
          <w:color w:val="auto"/>
        </w:rPr>
        <w:t>Exhibit 1.64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Exhibit</w:t>
      </w:r>
      <w:r>
        <w:rPr>
          <w:rFonts w:ascii="Arial" w:cs="Arial" w:eastAsia="Arial" w:hAnsi="Arial"/>
          <w:sz w:val="19"/>
          <w:szCs w:val="19"/>
          <w:color w:val="auto"/>
        </w:rPr>
        <w:t xml:space="preserve"> </w:t>
      </w:r>
      <w:r>
        <w:rPr>
          <w:rFonts w:ascii="Arial" w:cs="Arial" w:eastAsia="Arial" w:hAnsi="Arial"/>
          <w:sz w:val="19"/>
          <w:szCs w:val="19"/>
          <w:u w:val="single" w:color="auto"/>
          <w:color w:val="auto"/>
        </w:rPr>
        <w:t>1.63</w:t>
      </w:r>
      <w:r>
        <w:rPr>
          <w:rFonts w:ascii="Arial" w:cs="Arial" w:eastAsia="Arial" w:hAnsi="Arial"/>
          <w:sz w:val="19"/>
          <w:szCs w:val="19"/>
          <w:color w:val="auto"/>
        </w:rPr>
        <w:t>, respectively, as well as discuss in good faith the disclosure and transfer of any Licensed Know-How and Regulatory Submissions (including any Regulatory Approvals) relevant to the Additional Regions (which disclosure and/or transfer shall occur within a commercially reasonable time after Bausch Health’s exercise of the Option). In addition, in the event that Bausch Health timely exercises its Option for a given Additional Region, the Parties shall discuss and negotiate, in good faith and acting reasonably, any necessary or desired changes to the Safety Agreement resulting from the addition of any Additional Regions. For the avoidance of doubt, Clearside does not, and nothing herein shall be deemed to, grant Bausch Health any license or right to Develop, Manufacture, have Manufactured, Commercialize or otherwise use or exploit Other Products in any Additional Region.</w:t>
      </w:r>
    </w:p>
    <w:p>
      <w:pPr>
        <w:spacing w:after="0" w:line="124" w:lineRule="exact"/>
        <w:rPr>
          <w:sz w:val="20"/>
          <w:szCs w:val="20"/>
          <w:color w:val="auto"/>
        </w:rPr>
      </w:pPr>
    </w:p>
    <w:p>
      <w:pPr>
        <w:jc w:val="both"/>
        <w:ind w:firstLine="872"/>
        <w:spacing w:after="0" w:line="282" w:lineRule="auto"/>
        <w:tabs>
          <w:tab w:leader="none" w:pos="1183" w:val="left"/>
        </w:tabs>
        <w:numPr>
          <w:ilvl w:val="0"/>
          <w:numId w:val="18"/>
        </w:numPr>
        <w:rPr>
          <w:rFonts w:ascii="Arial" w:cs="Arial" w:eastAsia="Arial" w:hAnsi="Arial"/>
          <w:sz w:val="19"/>
          <w:szCs w:val="19"/>
          <w:color w:val="auto"/>
        </w:rPr>
      </w:pPr>
      <w:r>
        <w:rPr>
          <w:rFonts w:ascii="Arial" w:cs="Arial" w:eastAsia="Arial" w:hAnsi="Arial"/>
          <w:sz w:val="19"/>
          <w:szCs w:val="19"/>
          <w:color w:val="auto"/>
        </w:rPr>
        <w:t xml:space="preserve">For each Additional Region for which Bausch Health exercises its Option, Bausch Health shall use Commercially Reasonable Efforts to Develop and to obtain Regulatory Approval for at least [***] in at least [***] in such Additional Region, [***]. If [***], then, as Clearside’s sole remedy [***], all rights granted to Bausch Health with respect to such Additional Region shall automatically terminate and shall promptly revert to Clearside on a fully paid-up and royalty-free basis, and the effects of termination set forth in </w:t>
      </w:r>
      <w:r>
        <w:rPr>
          <w:rFonts w:ascii="Arial" w:cs="Arial" w:eastAsia="Arial" w:hAnsi="Arial"/>
          <w:sz w:val="19"/>
          <w:szCs w:val="19"/>
          <w:u w:val="single" w:color="auto"/>
          <w:color w:val="auto"/>
        </w:rPr>
        <w:t>Section 13.3</w:t>
      </w:r>
      <w:r>
        <w:rPr>
          <w:rFonts w:ascii="Arial" w:cs="Arial" w:eastAsia="Arial" w:hAnsi="Arial"/>
          <w:sz w:val="19"/>
          <w:szCs w:val="19"/>
          <w:color w:val="auto"/>
        </w:rPr>
        <w:t xml:space="preserve"> shall thereafter apply with respect to such Additional Region.</w:t>
      </w:r>
    </w:p>
    <w:p>
      <w:pPr>
        <w:spacing w:after="0" w:line="120" w:lineRule="exact"/>
        <w:rPr>
          <w:rFonts w:ascii="Arial" w:cs="Arial" w:eastAsia="Arial" w:hAnsi="Arial"/>
          <w:sz w:val="19"/>
          <w:szCs w:val="19"/>
          <w:color w:val="auto"/>
        </w:rPr>
      </w:pPr>
    </w:p>
    <w:p>
      <w:pPr>
        <w:jc w:val="both"/>
        <w:ind w:firstLine="872"/>
        <w:spacing w:after="0"/>
        <w:tabs>
          <w:tab w:leader="none" w:pos="1201" w:val="left"/>
        </w:tabs>
        <w:numPr>
          <w:ilvl w:val="0"/>
          <w:numId w:val="18"/>
        </w:numPr>
        <w:rPr>
          <w:rFonts w:ascii="Arial" w:cs="Arial" w:eastAsia="Arial" w:hAnsi="Arial"/>
          <w:sz w:val="22"/>
          <w:szCs w:val="22"/>
          <w:color w:val="auto"/>
        </w:rPr>
      </w:pPr>
      <w:r>
        <w:rPr>
          <w:rFonts w:ascii="Arial" w:cs="Arial" w:eastAsia="Arial" w:hAnsi="Arial"/>
          <w:sz w:val="22"/>
          <w:szCs w:val="22"/>
          <w:color w:val="auto"/>
        </w:rPr>
        <w:t xml:space="preserve">If [***], then all rights granted to Bausch Health with respect to such Additional Region shall automatically terminate and shall revert to Clearside on a fully paid-up and royalty-free basis, and the effects of termination set forth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13.3</w:t>
      </w:r>
      <w:r>
        <w:rPr>
          <w:rFonts w:ascii="Arial" w:cs="Arial" w:eastAsia="Arial" w:hAnsi="Arial"/>
          <w:sz w:val="22"/>
          <w:szCs w:val="22"/>
          <w:color w:val="auto"/>
        </w:rPr>
        <w:t xml:space="preserve"> shall thereafter apply with respect to such Additional Region.</w:t>
      </w:r>
    </w:p>
    <w:p>
      <w:pPr>
        <w:spacing w:after="0" w:line="145" w:lineRule="exact"/>
        <w:rPr>
          <w:rFonts w:ascii="Arial" w:cs="Arial" w:eastAsia="Arial" w:hAnsi="Arial"/>
          <w:sz w:val="22"/>
          <w:szCs w:val="22"/>
          <w:color w:val="auto"/>
        </w:rPr>
      </w:pPr>
    </w:p>
    <w:p>
      <w:pPr>
        <w:ind w:left="1180" w:hanging="308"/>
        <w:spacing w:after="0"/>
        <w:tabs>
          <w:tab w:leader="none" w:pos="1180" w:val="left"/>
        </w:tabs>
        <w:numPr>
          <w:ilvl w:val="0"/>
          <w:numId w:val="18"/>
        </w:numPr>
        <w:rPr>
          <w:rFonts w:ascii="Arial" w:cs="Arial" w:eastAsia="Arial" w:hAnsi="Arial"/>
          <w:sz w:val="22"/>
          <w:szCs w:val="22"/>
          <w:color w:val="auto"/>
        </w:rPr>
      </w:pP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jc w:val="both"/>
        <w:ind w:firstLine="872"/>
        <w:spacing w:after="0" w:line="249" w:lineRule="auto"/>
        <w:tabs>
          <w:tab w:leader="none" w:pos="1161" w:val="left"/>
        </w:tabs>
        <w:numPr>
          <w:ilvl w:val="0"/>
          <w:numId w:val="18"/>
        </w:numPr>
        <w:rPr>
          <w:rFonts w:ascii="Arial" w:cs="Arial" w:eastAsia="Arial" w:hAnsi="Arial"/>
          <w:sz w:val="21"/>
          <w:szCs w:val="21"/>
          <w:color w:val="auto"/>
        </w:rPr>
      </w:pPr>
      <w:r>
        <w:rPr>
          <w:rFonts w:ascii="Arial" w:cs="Arial" w:eastAsia="Arial" w:hAnsi="Arial"/>
          <w:sz w:val="21"/>
          <w:szCs w:val="21"/>
          <w:color w:val="auto"/>
        </w:rPr>
        <w:t>During the Option Term, on reasonable request from Bausch Health but no more than once during the Option Term, representatives of Clearside and Bausch Health shall meet with each other in-person, by video or telephonically, for the purposes of Clearside providing Bausch Health with an update on the current status of the XIPERE Product in each of the Additional Regions, answering any reasonable questions of Bausch Health respecting the XIPERE Product in the Additional Regions and providing Bausch Health with any reasonable documentation or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5" w:name="page36"/>
    <w:bookmarkEnd w:id="35"/>
    <w:p>
      <w:pPr>
        <w:spacing w:after="0" w:line="250" w:lineRule="auto"/>
        <w:rPr>
          <w:sz w:val="20"/>
          <w:szCs w:val="20"/>
          <w:color w:val="auto"/>
        </w:rPr>
      </w:pPr>
      <w:r>
        <w:rPr>
          <w:rFonts w:ascii="Arial" w:cs="Arial" w:eastAsia="Arial" w:hAnsi="Arial"/>
          <w:sz w:val="22"/>
          <w:szCs w:val="22"/>
          <w:color w:val="auto"/>
        </w:rPr>
        <w:t>information reasonably requested by Bausch Health, excluding, for clarity, the data and information contained in the Device Master File.</w:t>
      </w:r>
    </w:p>
    <w:p>
      <w:pPr>
        <w:spacing w:after="0" w:line="377" w:lineRule="exact"/>
        <w:rPr>
          <w:sz w:val="20"/>
          <w:szCs w:val="20"/>
          <w:color w:val="auto"/>
        </w:rPr>
      </w:pPr>
    </w:p>
    <w:p>
      <w:pPr>
        <w:ind w:left="820" w:hanging="812"/>
        <w:spacing w:after="0"/>
        <w:tabs>
          <w:tab w:leader="none" w:pos="820"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Section 8.1(b)</w:t>
      </w:r>
      <w:r>
        <w:rPr>
          <w:rFonts w:ascii="Arial" w:cs="Arial" w:eastAsia="Arial" w:hAnsi="Arial"/>
          <w:sz w:val="22"/>
          <w:szCs w:val="22"/>
          <w:color w:val="auto"/>
        </w:rPr>
        <w:t xml:space="preserve"> of the Agreement is hereby amended by revising it as follows:</w:t>
      </w:r>
    </w:p>
    <w:p>
      <w:pPr>
        <w:spacing w:after="0" w:line="179" w:lineRule="exact"/>
        <w:rPr>
          <w:rFonts w:ascii="Arial" w:cs="Arial" w:eastAsia="Arial" w:hAnsi="Arial"/>
          <w:sz w:val="22"/>
          <w:szCs w:val="22"/>
          <w:color w:val="auto"/>
        </w:rPr>
      </w:pPr>
    </w:p>
    <w:p>
      <w:pPr>
        <w:ind w:left="1160" w:hanging="288"/>
        <w:spacing w:after="0"/>
        <w:tabs>
          <w:tab w:leader="none" w:pos="1160" w:val="left"/>
        </w:tabs>
        <w:numPr>
          <w:ilvl w:val="1"/>
          <w:numId w:val="19"/>
        </w:numPr>
        <w:rPr>
          <w:rFonts w:ascii="Arial" w:cs="Arial" w:eastAsia="Arial" w:hAnsi="Arial"/>
          <w:sz w:val="22"/>
          <w:szCs w:val="22"/>
          <w:color w:val="auto"/>
        </w:rPr>
      </w:pPr>
      <w:r>
        <w:rPr>
          <w:rFonts w:ascii="Arial" w:cs="Arial" w:eastAsia="Arial" w:hAnsi="Arial"/>
          <w:sz w:val="22"/>
          <w:szCs w:val="22"/>
          <w:color w:val="auto"/>
        </w:rPr>
        <w:t>deleting the following milestones in their entirety, together with their associated payments: [***]; and</w:t>
      </w:r>
    </w:p>
    <w:p>
      <w:pPr>
        <w:spacing w:after="0" w:line="165" w:lineRule="exact"/>
        <w:rPr>
          <w:rFonts w:ascii="Arial" w:cs="Arial" w:eastAsia="Arial" w:hAnsi="Arial"/>
          <w:sz w:val="22"/>
          <w:szCs w:val="22"/>
          <w:color w:val="auto"/>
        </w:rPr>
      </w:pPr>
    </w:p>
    <w:p>
      <w:pPr>
        <w:jc w:val="both"/>
        <w:ind w:firstLine="872"/>
        <w:spacing w:after="0"/>
        <w:tabs>
          <w:tab w:leader="none" w:pos="1173" w:val="left"/>
        </w:tabs>
        <w:numPr>
          <w:ilvl w:val="1"/>
          <w:numId w:val="19"/>
        </w:numPr>
        <w:rPr>
          <w:rFonts w:ascii="Arial" w:cs="Arial" w:eastAsia="Arial" w:hAnsi="Arial"/>
          <w:sz w:val="22"/>
          <w:szCs w:val="22"/>
          <w:color w:val="auto"/>
        </w:rPr>
      </w:pPr>
      <w:r>
        <w:rPr>
          <w:rFonts w:ascii="Arial" w:cs="Arial" w:eastAsia="Arial" w:hAnsi="Arial"/>
          <w:sz w:val="22"/>
          <w:szCs w:val="22"/>
          <w:color w:val="auto"/>
        </w:rPr>
        <w:t>adding the following milestones to the end of the milestone table: (i) [***]; and (ii) [***]. For clarity, the milestone payments set forth in subsections (i) and (ii) of this subsection (b) shall be payable only in the event Bausch Health exercises its Option with respect to the European Union.</w:t>
      </w:r>
    </w:p>
    <w:p>
      <w:pPr>
        <w:spacing w:after="0" w:line="145" w:lineRule="exact"/>
        <w:rPr>
          <w:rFonts w:ascii="Arial" w:cs="Arial" w:eastAsia="Arial" w:hAnsi="Arial"/>
          <w:sz w:val="22"/>
          <w:szCs w:val="22"/>
          <w:color w:val="auto"/>
        </w:rPr>
      </w:pPr>
    </w:p>
    <w:p>
      <w:pPr>
        <w:ind w:left="820" w:hanging="812"/>
        <w:spacing w:after="0"/>
        <w:tabs>
          <w:tab w:leader="none" w:pos="820"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Section 8.2(a)</w:t>
      </w:r>
      <w:r>
        <w:rPr>
          <w:rFonts w:ascii="Arial" w:cs="Arial" w:eastAsia="Arial" w:hAnsi="Arial"/>
          <w:sz w:val="22"/>
          <w:szCs w:val="22"/>
          <w:color w:val="auto"/>
        </w:rPr>
        <w:t xml:space="preserve"> shall be deleted in its entirety and replaced with the following:</w:t>
      </w:r>
    </w:p>
    <w:p>
      <w:pPr>
        <w:spacing w:after="0" w:line="173" w:lineRule="exact"/>
        <w:rPr>
          <w:rFonts w:ascii="Arial" w:cs="Arial" w:eastAsia="Arial" w:hAnsi="Arial"/>
          <w:sz w:val="22"/>
          <w:szCs w:val="22"/>
          <w:color w:val="auto"/>
        </w:rPr>
      </w:pPr>
    </w:p>
    <w:p>
      <w:pPr>
        <w:jc w:val="both"/>
        <w:ind w:firstLine="1735"/>
        <w:spacing w:after="0" w:line="244" w:lineRule="auto"/>
        <w:tabs>
          <w:tab w:leader="none" w:pos="2615" w:val="left"/>
        </w:tabs>
        <w:numPr>
          <w:ilvl w:val="2"/>
          <w:numId w:val="19"/>
        </w:numPr>
        <w:rPr>
          <w:rFonts w:ascii="Arial" w:cs="Arial" w:eastAsia="Arial" w:hAnsi="Arial"/>
          <w:sz w:val="21"/>
          <w:szCs w:val="21"/>
          <w:color w:val="auto"/>
        </w:rPr>
      </w:pPr>
      <w:r>
        <w:rPr>
          <w:rFonts w:ascii="Arial" w:cs="Arial" w:eastAsia="Arial" w:hAnsi="Arial"/>
          <w:sz w:val="21"/>
          <w:szCs w:val="21"/>
          <w:b w:val="1"/>
          <w:bCs w:val="1"/>
          <w:color w:val="auto"/>
        </w:rPr>
        <w:t xml:space="preserve">Earned Royalties. </w:t>
      </w:r>
      <w:r>
        <w:rPr>
          <w:rFonts w:ascii="Arial" w:cs="Arial" w:eastAsia="Arial" w:hAnsi="Arial"/>
          <w:sz w:val="21"/>
          <w:szCs w:val="21"/>
          <w:color w:val="auto"/>
        </w:rPr>
        <w:t>During the applicable Royalty Term, Bausch Health shall make quarterly non-refundable, non-creditable (provided that specified costs incurred by Bausch Health pursuant to Section 4.1(a), Section 4.3 or Section 8.2(e) may be credited against such payments, as described in Section 4.1(a), Section 4.3 or Section 8.2(e), as the case may be) royalty payments to Clearside on Net Sales of all Products sold in the Original Territory or the Additional Regions, as applicable, during the applicable Calendar Quarter, as calculated by multiplying the applicable royalty rate set forth below by the corresponding amount of Net Sales of all such Products sold in the Original Territory or the Additional Regions, as applicable, for such Calendar Quarter. Notwithstanding the foregoing, no such royalties shall be due or payable by Bausch Health on the first Forty-Five Million Dollars ($45,000,000) of aggregate Net Sales of all Products in the Original Territory, calculated on a cumulative (and not annual) basis. Once cumulative Net Sales on all Products in the Original Territory achieves Forty-Five Million Dollars ($45,000,000), royalties will then be calculated as follows with respect to Net Sales of Products in the Original Territory: (i) on Net Sales of each XIPERE Product in the Original Territory, and the applicable royalty rates below for XIPERE Products will be applied, and (ii) on Net Sales of each Other Product in the Original Territory, and the royalty rate below for Other Products will be applied.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133985</wp:posOffset>
            </wp:positionV>
            <wp:extent cx="6917690" cy="16287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6917690" cy="1628775"/>
                    </a:xfrm>
                    <a:prstGeom prst="rect">
                      <a:avLst/>
                    </a:prstGeom>
                    <a:noFill/>
                  </pic:spPr>
                </pic:pic>
              </a:graphicData>
            </a:graphic>
          </wp:anchor>
        </w:drawing>
      </w:r>
    </w:p>
    <w:p>
      <w:pPr>
        <w:spacing w:after="0" w:line="171" w:lineRule="exact"/>
        <w:rPr>
          <w:sz w:val="20"/>
          <w:szCs w:val="20"/>
          <w:color w:val="auto"/>
        </w:rPr>
      </w:pPr>
    </w:p>
    <w:tbl>
      <w:tblPr>
        <w:tblLayout w:type="fixed"/>
        <w:tblInd w:w="120" w:type="dxa"/>
        <w:tblCellMar>
          <w:top w:w="0" w:type="dxa"/>
          <w:left w:w="0" w:type="dxa"/>
          <w:bottom w:w="0" w:type="dxa"/>
          <w:right w:w="0" w:type="dxa"/>
        </w:tblCellMar>
      </w:tblPr>
      <w:tr>
        <w:trPr>
          <w:trHeight w:val="370"/>
        </w:trPr>
        <w:tc>
          <w:tcPr>
            <w:tcW w:w="8440" w:type="dxa"/>
            <w:vAlign w:val="bottom"/>
            <w:tcBorders>
              <w:top w:val="single" w:sz="8" w:color="auto"/>
              <w:bottom w:val="single" w:sz="8" w:color="C6D9F1"/>
              <w:right w:val="single" w:sz="8" w:color="auto"/>
            </w:tcBorders>
            <w:shd w:val="clear" w:color="auto" w:fill="C6D9F1"/>
          </w:tcPr>
          <w:p>
            <w:pPr>
              <w:ind w:left="2720"/>
              <w:spacing w:after="0"/>
              <w:rPr>
                <w:sz w:val="20"/>
                <w:szCs w:val="20"/>
                <w:color w:val="auto"/>
              </w:rPr>
            </w:pPr>
            <w:r>
              <w:rPr>
                <w:rFonts w:ascii="Arial" w:cs="Arial" w:eastAsia="Arial" w:hAnsi="Arial"/>
                <w:sz w:val="22"/>
                <w:szCs w:val="22"/>
                <w:b w:val="1"/>
                <w:bCs w:val="1"/>
                <w:color w:val="auto"/>
              </w:rPr>
              <w:t>Annual Net Sales in the Territory</w:t>
            </w:r>
          </w:p>
        </w:tc>
        <w:tc>
          <w:tcPr>
            <w:tcW w:w="2460" w:type="dxa"/>
            <w:vAlign w:val="bottom"/>
            <w:tcBorders>
              <w:top w:val="single" w:sz="8" w:color="auto"/>
              <w:bottom w:val="single" w:sz="8" w:color="C6D9F1"/>
            </w:tcBorders>
            <w:shd w:val="clear" w:color="auto" w:fill="C6D9F1"/>
          </w:tcPr>
          <w:p>
            <w:pPr>
              <w:ind w:left="620"/>
              <w:spacing w:after="0"/>
              <w:rPr>
                <w:sz w:val="20"/>
                <w:szCs w:val="20"/>
                <w:color w:val="auto"/>
              </w:rPr>
            </w:pPr>
            <w:r>
              <w:rPr>
                <w:rFonts w:ascii="Arial" w:cs="Arial" w:eastAsia="Arial" w:hAnsi="Arial"/>
                <w:sz w:val="22"/>
                <w:szCs w:val="22"/>
                <w:b w:val="1"/>
                <w:bCs w:val="1"/>
                <w:color w:val="auto"/>
              </w:rPr>
              <w:t>Royalty Rate</w:t>
            </w:r>
          </w:p>
        </w:tc>
      </w:tr>
      <w:tr>
        <w:trPr>
          <w:trHeight w:val="300"/>
        </w:trPr>
        <w:tc>
          <w:tcPr>
            <w:tcW w:w="8440" w:type="dxa"/>
            <w:vAlign w:val="bottom"/>
            <w:tcBorders>
              <w:top w:val="single" w:sz="8" w:color="auto"/>
            </w:tcBorders>
          </w:tcPr>
          <w:p>
            <w:pPr>
              <w:ind w:left="120"/>
              <w:spacing w:after="0"/>
              <w:rPr>
                <w:sz w:val="20"/>
                <w:szCs w:val="20"/>
                <w:color w:val="auto"/>
              </w:rPr>
            </w:pPr>
            <w:r>
              <w:rPr>
                <w:rFonts w:ascii="Arial" w:cs="Arial" w:eastAsia="Arial" w:hAnsi="Arial"/>
                <w:sz w:val="22"/>
                <w:szCs w:val="22"/>
                <w:b w:val="1"/>
                <w:bCs w:val="1"/>
                <w:color w:val="auto"/>
              </w:rPr>
              <w:t>Annual Net Sales of XIPERE Products in the Original Territory</w:t>
            </w:r>
          </w:p>
        </w:tc>
        <w:tc>
          <w:tcPr>
            <w:tcW w:w="2460" w:type="dxa"/>
            <w:vAlign w:val="bottom"/>
            <w:tcBorders>
              <w:top w:val="single" w:sz="8" w:color="auto"/>
            </w:tcBorders>
          </w:tcPr>
          <w:p>
            <w:pPr>
              <w:spacing w:after="0"/>
              <w:rPr>
                <w:sz w:val="24"/>
                <w:szCs w:val="24"/>
                <w:color w:val="auto"/>
              </w:rPr>
            </w:pPr>
          </w:p>
        </w:tc>
      </w:tr>
    </w:tbl>
    <w:p>
      <w:pPr>
        <w:spacing w:after="0" w:line="90" w:lineRule="exact"/>
        <w:rPr>
          <w:sz w:val="20"/>
          <w:szCs w:val="20"/>
          <w:color w:val="auto"/>
        </w:rPr>
      </w:pPr>
    </w:p>
    <w:p>
      <w:pPr>
        <w:sectPr>
          <w:pgSz w:w="11900" w:h="16838" w:orient="portrait"/>
          <w:cols w:equalWidth="0" w:num="1">
            <w:col w:w="11240"/>
          </w:cols>
          <w:pgMar w:left="320" w:top="334" w:right="339" w:bottom="1440" w:gutter="0" w:footer="0" w:header="0"/>
        </w:sectPr>
      </w:pPr>
    </w:p>
    <w:p>
      <w:pPr>
        <w:ind w:left="240"/>
        <w:spacing w:after="0"/>
        <w:rPr>
          <w:sz w:val="20"/>
          <w:szCs w:val="20"/>
          <w:color w:val="auto"/>
        </w:rPr>
      </w:pPr>
      <w:r>
        <w:rPr>
          <w:rFonts w:ascii="Arial" w:cs="Arial" w:eastAsia="Arial" w:hAnsi="Arial"/>
          <w:sz w:val="22"/>
          <w:szCs w:val="22"/>
          <w:color w:val="auto"/>
        </w:rPr>
        <w:t>Portion of annual Net Sales up to and including [***]</w:t>
      </w:r>
    </w:p>
    <w:p>
      <w:pPr>
        <w:spacing w:after="0" w:line="112"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Portion of annual Net Sales above [***]</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21"/>
          <w:szCs w:val="21"/>
          <w:b w:val="1"/>
          <w:bCs w:val="1"/>
          <w:color w:val="auto"/>
        </w:rPr>
        <w:t>Annual Net Sales of Other Products in the Original Territory</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auto"/>
        </w:rPr>
        <w:t>Annual Net Sales of XIPERE Products in the Additional Regions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476" w:lineRule="exact"/>
        <w:rPr>
          <w:sz w:val="20"/>
          <w:szCs w:val="20"/>
          <w:color w:val="auto"/>
        </w:rPr>
      </w:pPr>
    </w:p>
    <w:p>
      <w:pPr>
        <w:sectPr>
          <w:pgSz w:w="11900" w:h="16838" w:orient="portrait"/>
          <w:cols w:equalWidth="0" w:num="2">
            <w:col w:w="8740" w:space="720"/>
            <w:col w:w="1780"/>
          </w:cols>
          <w:pgMar w:left="320" w:top="334" w:right="339" w:bottom="1440" w:gutter="0" w:footer="0" w:header="0"/>
          <w:type w:val="continuous"/>
        </w:sectPr>
      </w:pPr>
    </w:p>
    <w:p>
      <w:pPr>
        <w:ind w:left="240"/>
        <w:spacing w:after="0"/>
        <w:rPr>
          <w:sz w:val="20"/>
          <w:szCs w:val="20"/>
          <w:color w:val="auto"/>
        </w:rPr>
      </w:pPr>
      <w:r>
        <w:rPr>
          <w:rFonts w:ascii="Arial" w:cs="Arial" w:eastAsia="Arial" w:hAnsi="Arial"/>
          <w:sz w:val="19"/>
          <w:szCs w:val="19"/>
          <w:color w:val="auto"/>
        </w:rPr>
        <w:t>Portion of annual Net Sales up to and including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ectPr>
          <w:pgSz w:w="11900" w:h="16838" w:orient="portrait"/>
          <w:cols w:equalWidth="0" w:num="2">
            <w:col w:w="8740" w:space="720"/>
            <w:col w:w="1780"/>
          </w:cols>
          <w:pgMar w:left="320" w:top="334" w:right="339" w:bottom="1440" w:gutter="0" w:footer="0" w:header="0"/>
          <w:type w:val="continuous"/>
        </w:sectPr>
      </w:pPr>
    </w:p>
    <w:p>
      <w:pPr>
        <w:spacing w:after="0" w:line="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type w:val="continuous"/>
        </w:sectPr>
      </w:pPr>
    </w:p>
    <w:bookmarkStart w:id="36" w:name="page37"/>
    <w:bookmarkEnd w:id="36"/>
    <w:p>
      <w:pPr>
        <w:ind w:left="24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285115</wp:posOffset>
            </wp:positionH>
            <wp:positionV relativeFrom="page">
              <wp:posOffset>226060</wp:posOffset>
            </wp:positionV>
            <wp:extent cx="6917690" cy="2400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6917690" cy="240030"/>
                    </a:xfrm>
                    <a:prstGeom prst="rect">
                      <a:avLst/>
                    </a:prstGeom>
                    <a:noFill/>
                  </pic:spPr>
                </pic:pic>
              </a:graphicData>
            </a:graphic>
          </wp:anchor>
        </w:drawing>
        <w:t>Portion of annual Net Sales above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ectPr>
          <w:pgSz w:w="11900" w:h="16838" w:orient="portrait"/>
          <w:cols w:equalWidth="0" w:num="2">
            <w:col w:w="8740" w:space="720"/>
            <w:col w:w="1780"/>
          </w:cols>
          <w:pgMar w:left="320" w:top="402" w:right="339" w:bottom="1440" w:gutter="0" w:footer="0" w:header="0"/>
        </w:sectPr>
      </w:pPr>
    </w:p>
    <w:p>
      <w:pPr>
        <w:spacing w:after="0" w:line="74"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Notwithstanding the above, for the Calendar Year in which the cumulative Net Sales on all Products in the Original Territory first achieves Forty-Five Million Dollars ($45,000,000), the calculation of annual Net Sales for the purposes of determining the royalty rate on XIPERE Products for such Calendar Year shall be calculated commencing with the first dollar after the achievement of such cumulative Net Sales of Forty-Five Million Dollars ($45,000,000). In addition, for XIPERE Products, each royalty rate set forth in the table immediately above shall only be applied to the annual Net Sales of the XIPERE Product within the applicable royalty range. For example, royalties due to Clearside for annual Net Sales of the XIPERE Product in the Original Territory of [***] would be calculated as follows:</w:t>
      </w:r>
    </w:p>
    <w:p>
      <w:pPr>
        <w:spacing w:after="0" w:line="70" w:lineRule="exact"/>
        <w:rPr>
          <w:sz w:val="20"/>
          <w:szCs w:val="20"/>
          <w:color w:val="auto"/>
        </w:rPr>
      </w:pPr>
    </w:p>
    <w:p>
      <w:pPr>
        <w:ind w:left="2920"/>
        <w:spacing w:after="0"/>
        <w:tabs>
          <w:tab w:leader="none" w:pos="5120" w:val="left"/>
          <w:tab w:leader="none" w:pos="7620" w:val="left"/>
        </w:tabs>
        <w:rPr>
          <w:sz w:val="20"/>
          <w:szCs w:val="20"/>
          <w:color w:val="auto"/>
        </w:rPr>
      </w:pPr>
      <w:r>
        <w:rPr>
          <w:rFonts w:ascii="Arial" w:cs="Arial" w:eastAsia="Arial" w:hAnsi="Arial"/>
          <w:sz w:val="22"/>
          <w:szCs w:val="22"/>
          <w:b w:val="1"/>
          <w:bCs w:val="1"/>
          <w:color w:val="auto"/>
        </w:rPr>
        <w:t xml:space="preserve">Royalty </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 =</w:t>
      </w:r>
      <w:r>
        <w:rPr>
          <w:sz w:val="20"/>
          <w:szCs w:val="20"/>
          <w:color w:val="auto"/>
        </w:rPr>
        <w:tab/>
      </w:r>
      <w:r>
        <w:rPr>
          <w:rFonts w:ascii="Arial" w:cs="Arial" w:eastAsia="Arial" w:hAnsi="Arial"/>
          <w:sz w:val="22"/>
          <w:szCs w:val="22"/>
          <w:color w:val="auto"/>
        </w:rPr>
        <w:t>[***]</w:t>
      </w:r>
    </w:p>
    <w:p>
      <w:pPr>
        <w:spacing w:after="0" w:line="172" w:lineRule="exact"/>
        <w:rPr>
          <w:sz w:val="20"/>
          <w:szCs w:val="20"/>
          <w:color w:val="auto"/>
        </w:rPr>
      </w:pPr>
    </w:p>
    <w:p>
      <w:pPr>
        <w:ind w:left="5140"/>
        <w:spacing w:after="0"/>
        <w:tabs>
          <w:tab w:leader="none" w:pos="7620" w:val="left"/>
        </w:tabs>
        <w:rPr>
          <w:sz w:val="20"/>
          <w:szCs w:val="20"/>
          <w:color w:val="auto"/>
        </w:rPr>
      </w:pPr>
      <w:r>
        <w:rPr>
          <w:rFonts w:ascii="Arial" w:cs="Arial" w:eastAsia="Arial" w:hAnsi="Arial"/>
          <w:sz w:val="22"/>
          <w:szCs w:val="22"/>
          <w:color w:val="auto"/>
        </w:rPr>
        <w:t>[***] =</w:t>
      </w:r>
      <w:r>
        <w:rPr>
          <w:sz w:val="20"/>
          <w:szCs w:val="20"/>
          <w:color w:val="auto"/>
        </w:rPr>
        <w:tab/>
      </w:r>
      <w:r>
        <w:rPr>
          <w:rFonts w:ascii="Arial" w:cs="Arial" w:eastAsia="Arial" w:hAnsi="Arial"/>
          <w:sz w:val="22"/>
          <w:szCs w:val="22"/>
          <w:color w:val="auto"/>
        </w:rPr>
        <w:t>[***]</w:t>
      </w:r>
    </w:p>
    <w:p>
      <w:pPr>
        <w:spacing w:after="0" w:line="98" w:lineRule="exact"/>
        <w:rPr>
          <w:sz w:val="20"/>
          <w:szCs w:val="20"/>
          <w:color w:val="auto"/>
        </w:rPr>
      </w:pPr>
    </w:p>
    <w:p>
      <w:pPr>
        <w:ind w:left="7640"/>
        <w:spacing w:after="0"/>
        <w:rPr>
          <w:sz w:val="20"/>
          <w:szCs w:val="20"/>
          <w:color w:val="auto"/>
        </w:rPr>
      </w:pPr>
      <w:r>
        <w:rPr>
          <w:rFonts w:ascii="Arial" w:cs="Arial" w:eastAsia="Arial" w:hAnsi="Arial"/>
          <w:sz w:val="22"/>
          <w:szCs w:val="22"/>
          <w:color w:val="auto"/>
        </w:rPr>
        <w:t>[***]</w:t>
      </w:r>
    </w:p>
    <w:p>
      <w:pPr>
        <w:spacing w:after="0" w:line="8" w:lineRule="exact"/>
        <w:rPr>
          <w:sz w:val="20"/>
          <w:szCs w:val="20"/>
          <w:color w:val="auto"/>
        </w:rPr>
      </w:pPr>
    </w:p>
    <w:p>
      <w:pPr>
        <w:ind w:left="820" w:hanging="812"/>
        <w:spacing w:after="0"/>
        <w:tabs>
          <w:tab w:leader="none" w:pos="820"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Section 13.2(a)</w:t>
      </w:r>
      <w:r>
        <w:rPr>
          <w:rFonts w:ascii="Arial" w:cs="Arial" w:eastAsia="Arial" w:hAnsi="Arial"/>
          <w:sz w:val="22"/>
          <w:szCs w:val="22"/>
          <w:color w:val="auto"/>
        </w:rPr>
        <w:t xml:space="preserve"> of the Agreement shall be deleted in its entirety and replaced with the following:</w:t>
      </w:r>
    </w:p>
    <w:p>
      <w:pPr>
        <w:spacing w:after="0" w:line="182" w:lineRule="exact"/>
        <w:rPr>
          <w:sz w:val="20"/>
          <w:szCs w:val="20"/>
          <w:color w:val="auto"/>
        </w:rPr>
      </w:pPr>
    </w:p>
    <w:p>
      <w:pPr>
        <w:jc w:val="both"/>
        <w:ind w:left="1700" w:hanging="850"/>
        <w:spacing w:after="0" w:line="239" w:lineRule="auto"/>
        <w:tabs>
          <w:tab w:leader="none" w:pos="1680" w:val="left"/>
        </w:tabs>
        <w:rPr>
          <w:sz w:val="20"/>
          <w:szCs w:val="20"/>
          <w:color w:val="auto"/>
        </w:rPr>
      </w:pPr>
      <w:r>
        <w:rPr>
          <w:rFonts w:ascii="Arial" w:cs="Arial" w:eastAsia="Arial" w:hAnsi="Arial"/>
          <w:sz w:val="22"/>
          <w:szCs w:val="22"/>
          <w:b w:val="1"/>
          <w:bCs w:val="1"/>
          <w:color w:val="auto"/>
        </w:rPr>
        <w:t>13.2</w:t>
      </w:r>
      <w:r>
        <w:rPr>
          <w:sz w:val="20"/>
          <w:szCs w:val="20"/>
          <w:color w:val="auto"/>
        </w:rPr>
        <w:tab/>
      </w:r>
      <w:r>
        <w:rPr>
          <w:rFonts w:ascii="Arial" w:cs="Arial" w:eastAsia="Arial" w:hAnsi="Arial"/>
          <w:sz w:val="22"/>
          <w:szCs w:val="22"/>
          <w:b w:val="1"/>
          <w:bCs w:val="1"/>
          <w:color w:val="auto"/>
        </w:rPr>
        <w:t>Termination for Failure to Receive Approval</w:t>
      </w:r>
      <w:r>
        <w:rPr>
          <w:rFonts w:ascii="Arial" w:cs="Arial" w:eastAsia="Arial" w:hAnsi="Arial"/>
          <w:sz w:val="22"/>
          <w:szCs w:val="22"/>
          <w:color w:val="auto"/>
        </w:rPr>
        <w:t>. Bausch Health may terminate the Agreement immediately</w:t>
      </w:r>
      <w:r>
        <w:rPr>
          <w:rFonts w:ascii="Arial" w:cs="Arial" w:eastAsia="Arial" w:hAnsi="Arial"/>
          <w:sz w:val="22"/>
          <w:szCs w:val="22"/>
          <w:b w:val="1"/>
          <w:bCs w:val="1"/>
          <w:color w:val="auto"/>
        </w:rPr>
        <w:t xml:space="preserve"> </w:t>
      </w:r>
      <w:r>
        <w:rPr>
          <w:rFonts w:ascii="Arial" w:cs="Arial" w:eastAsia="Arial" w:hAnsi="Arial"/>
          <w:sz w:val="22"/>
          <w:szCs w:val="22"/>
          <w:color w:val="auto"/>
        </w:rPr>
        <w:t>upon written notice to Clearside if the FDA has not approved the XIPERE NDA by August 31, 2021; provided that, such termination right shall expire on the earlier of (i) the approval of the XIPERE NDA or (ii) [***].</w:t>
      </w:r>
    </w:p>
    <w:p>
      <w:pPr>
        <w:spacing w:after="0" w:line="146" w:lineRule="exact"/>
        <w:rPr>
          <w:sz w:val="20"/>
          <w:szCs w:val="20"/>
          <w:color w:val="auto"/>
        </w:rPr>
      </w:pPr>
    </w:p>
    <w:p>
      <w:pPr>
        <w:ind w:left="820" w:hanging="812"/>
        <w:spacing w:after="0"/>
        <w:tabs>
          <w:tab w:leader="none" w:pos="820"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Section 15.8</w:t>
      </w:r>
      <w:r>
        <w:rPr>
          <w:rFonts w:ascii="Arial" w:cs="Arial" w:eastAsia="Arial" w:hAnsi="Arial"/>
          <w:sz w:val="22"/>
          <w:szCs w:val="22"/>
          <w:color w:val="auto"/>
        </w:rPr>
        <w:t xml:space="preserve"> of the Agreement is hereby amended by adding the following to the end of that section:</w:t>
      </w:r>
    </w:p>
    <w:p>
      <w:pPr>
        <w:spacing w:after="0" w:line="166" w:lineRule="exact"/>
        <w:rPr>
          <w:sz w:val="20"/>
          <w:szCs w:val="20"/>
          <w:color w:val="auto"/>
        </w:rPr>
      </w:pPr>
    </w:p>
    <w:p>
      <w:pPr>
        <w:ind w:left="880"/>
        <w:spacing w:after="0" w:line="250" w:lineRule="auto"/>
        <w:rPr>
          <w:sz w:val="20"/>
          <w:szCs w:val="20"/>
          <w:color w:val="auto"/>
        </w:rPr>
      </w:pPr>
      <w:r>
        <w:rPr>
          <w:rFonts w:ascii="Arial" w:cs="Arial" w:eastAsia="Arial" w:hAnsi="Arial"/>
          <w:sz w:val="22"/>
          <w:szCs w:val="22"/>
          <w:color w:val="auto"/>
        </w:rPr>
        <w:t>Notwithstanding anything to the contrary in this Agreement, all references to “Territory” shall mean the “Original Territory” in the following provisions: [***].</w:t>
      </w:r>
    </w:p>
    <w:p>
      <w:pPr>
        <w:spacing w:after="0" w:line="142" w:lineRule="exact"/>
        <w:rPr>
          <w:sz w:val="20"/>
          <w:szCs w:val="20"/>
          <w:color w:val="auto"/>
        </w:rPr>
      </w:pPr>
    </w:p>
    <w:p>
      <w:pPr>
        <w:ind w:left="3720"/>
        <w:spacing w:after="0"/>
        <w:tabs>
          <w:tab w:leader="none" w:pos="5600" w:val="left"/>
        </w:tabs>
        <w:rPr>
          <w:sz w:val="20"/>
          <w:szCs w:val="20"/>
          <w:color w:val="auto"/>
        </w:rPr>
      </w:pPr>
      <w:r>
        <w:rPr>
          <w:rFonts w:ascii="Arial" w:cs="Arial" w:eastAsia="Arial" w:hAnsi="Arial"/>
          <w:sz w:val="22"/>
          <w:szCs w:val="22"/>
          <w:b w:val="1"/>
          <w:bCs w:val="1"/>
          <w:color w:val="auto"/>
        </w:rPr>
        <w:t>ARTICLE II.</w:t>
      </w:r>
      <w:r>
        <w:rPr>
          <w:sz w:val="20"/>
          <w:szCs w:val="20"/>
          <w:color w:val="auto"/>
        </w:rPr>
        <w:tab/>
      </w:r>
      <w:r>
        <w:rPr>
          <w:rFonts w:ascii="Arial" w:cs="Arial" w:eastAsia="Arial" w:hAnsi="Arial"/>
          <w:sz w:val="21"/>
          <w:szCs w:val="21"/>
          <w:b w:val="1"/>
          <w:bCs w:val="1"/>
          <w:color w:val="auto"/>
        </w:rPr>
        <w:t>MISCELLANEOUS</w:t>
      </w:r>
    </w:p>
    <w:p>
      <w:pPr>
        <w:spacing w:after="0" w:line="212" w:lineRule="exact"/>
        <w:rPr>
          <w:sz w:val="20"/>
          <w:szCs w:val="20"/>
          <w:color w:val="auto"/>
        </w:rPr>
      </w:pPr>
    </w:p>
    <w:p>
      <w:pPr>
        <w:ind w:left="820" w:hanging="812"/>
        <w:spacing w:after="0"/>
        <w:tabs>
          <w:tab w:leader="none" w:pos="820" w:val="left"/>
        </w:tabs>
        <w:numPr>
          <w:ilvl w:val="0"/>
          <w:numId w:val="22"/>
        </w:numPr>
        <w:rPr>
          <w:rFonts w:ascii="Arial" w:cs="Arial" w:eastAsia="Arial" w:hAnsi="Arial"/>
          <w:sz w:val="22"/>
          <w:szCs w:val="22"/>
          <w:color w:val="auto"/>
        </w:rPr>
      </w:pPr>
      <w:r>
        <w:rPr>
          <w:rFonts w:ascii="Arial" w:cs="Arial" w:eastAsia="Arial" w:hAnsi="Arial"/>
          <w:sz w:val="22"/>
          <w:szCs w:val="22"/>
          <w:color w:val="auto"/>
        </w:rPr>
        <w:t>Capitalized terms not defined herein shall have the same meanings as set forth in the Agreement.</w:t>
      </w:r>
    </w:p>
    <w:p>
      <w:pPr>
        <w:spacing w:after="0" w:line="206" w:lineRule="exact"/>
        <w:rPr>
          <w:rFonts w:ascii="Arial" w:cs="Arial" w:eastAsia="Arial" w:hAnsi="Arial"/>
          <w:sz w:val="22"/>
          <w:szCs w:val="22"/>
          <w:color w:val="auto"/>
        </w:rPr>
      </w:pPr>
    </w:p>
    <w:p>
      <w:pPr>
        <w:ind w:left="820" w:hanging="812"/>
        <w:spacing w:after="0"/>
        <w:tabs>
          <w:tab w:leader="none" w:pos="820" w:val="left"/>
        </w:tabs>
        <w:numPr>
          <w:ilvl w:val="0"/>
          <w:numId w:val="22"/>
        </w:numPr>
        <w:rPr>
          <w:rFonts w:ascii="Arial" w:cs="Arial" w:eastAsia="Arial" w:hAnsi="Arial"/>
          <w:sz w:val="21"/>
          <w:szCs w:val="21"/>
          <w:color w:val="auto"/>
        </w:rPr>
      </w:pPr>
      <w:r>
        <w:rPr>
          <w:rFonts w:ascii="Arial" w:cs="Arial" w:eastAsia="Arial" w:hAnsi="Arial"/>
          <w:sz w:val="21"/>
          <w:szCs w:val="21"/>
          <w:color w:val="auto"/>
        </w:rPr>
        <w:t>Except as set forth herein, all other terms and conditions of the Agreement shall remain in full force and effect.</w:t>
      </w:r>
    </w:p>
    <w:p>
      <w:pPr>
        <w:spacing w:after="0" w:line="217" w:lineRule="exact"/>
        <w:rPr>
          <w:rFonts w:ascii="Arial" w:cs="Arial" w:eastAsia="Arial" w:hAnsi="Arial"/>
          <w:sz w:val="21"/>
          <w:szCs w:val="21"/>
          <w:color w:val="auto"/>
        </w:rPr>
      </w:pPr>
    </w:p>
    <w:p>
      <w:pPr>
        <w:jc w:val="both"/>
        <w:ind w:firstLine="8"/>
        <w:spacing w:after="0"/>
        <w:tabs>
          <w:tab w:leader="none" w:pos="810"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This Amendment may be signed in counterparts, each of which shall be an original, with the same effect as if the signatures were upon the same instrument. This Amendment shall become binding when each Party shall have received a counterpart of such agreement signed by the other Parties.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signature page follows</w:t>
      </w:r>
      <w:r>
        <w:rPr>
          <w:rFonts w:ascii="Arial" w:cs="Arial" w:eastAsia="Arial" w:hAnsi="Arial"/>
          <w:sz w:val="22"/>
          <w:szCs w:val="22"/>
          <w:b w:val="1"/>
          <w:bCs w:val="1"/>
          <w:color w:val="auto"/>
        </w:rPr>
        <w: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type w:val="continuous"/>
        </w:sectPr>
      </w:pPr>
    </w:p>
    <w:bookmarkStart w:id="37" w:name="page38"/>
    <w:bookmarkEnd w:id="37"/>
    <w:p>
      <w:pPr>
        <w:ind w:firstLine="864"/>
        <w:spacing w:after="0" w:line="256" w:lineRule="auto"/>
        <w:rPr>
          <w:sz w:val="20"/>
          <w:szCs w:val="20"/>
          <w:color w:val="auto"/>
        </w:rPr>
      </w:pPr>
      <w:r>
        <w:rPr>
          <w:rFonts w:ascii="Arial" w:cs="Arial" w:eastAsia="Arial" w:hAnsi="Arial"/>
          <w:sz w:val="22"/>
          <w:szCs w:val="22"/>
          <w:b w:val="1"/>
          <w:bCs w:val="1"/>
          <w:color w:val="auto"/>
        </w:rPr>
        <w:t xml:space="preserve">THIS FIRST AMENDMENT TO LICENSE AGREEMENT IS EXECUTED </w:t>
      </w:r>
      <w:r>
        <w:rPr>
          <w:rFonts w:ascii="Arial" w:cs="Arial" w:eastAsia="Arial" w:hAnsi="Arial"/>
          <w:sz w:val="22"/>
          <w:szCs w:val="22"/>
          <w:color w:val="auto"/>
        </w:rPr>
        <w:t>by the authorized representatives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 as of the Amendment Effective Date.</w:t>
      </w:r>
    </w:p>
    <w:p>
      <w:pPr>
        <w:sectPr>
          <w:pgSz w:w="11900" w:h="16838" w:orient="portrait"/>
          <w:cols w:equalWidth="0" w:num="1">
            <w:col w:w="11080"/>
          </w:cols>
          <w:pgMar w:left="320" w:top="328" w:right="499" w:bottom="1440" w:gutter="0" w:footer="0" w:header="0"/>
        </w:sectPr>
      </w:pP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CLEARSIDE BIOMEDICAL, INC.</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BAUSCH HEALTH IRELAND LIMITED</w:t>
      </w:r>
    </w:p>
    <w:p>
      <w:pPr>
        <w:spacing w:after="0" w:line="200" w:lineRule="exact"/>
        <w:rPr>
          <w:sz w:val="20"/>
          <w:szCs w:val="20"/>
          <w:color w:val="auto"/>
        </w:rPr>
      </w:pPr>
    </w:p>
    <w:p>
      <w:pPr>
        <w:sectPr>
          <w:pgSz w:w="11900" w:h="16838" w:orient="portrait"/>
          <w:cols w:equalWidth="0" w:num="2">
            <w:col w:w="5340" w:space="720"/>
            <w:col w:w="5020"/>
          </w:cols>
          <w:pgMar w:left="320" w:top="328" w:right="499" w:bottom="1440" w:gutter="0" w:footer="0" w:header="0"/>
          <w:type w:val="continuous"/>
        </w:sectPr>
      </w:pPr>
    </w:p>
    <w:p>
      <w:pPr>
        <w:spacing w:after="0" w:line="200" w:lineRule="exact"/>
        <w:rPr>
          <w:sz w:val="20"/>
          <w:szCs w:val="20"/>
          <w:color w:val="auto"/>
        </w:rPr>
      </w:pPr>
    </w:p>
    <w:p>
      <w:pPr>
        <w:spacing w:after="0" w:line="271" w:lineRule="exact"/>
        <w:rPr>
          <w:sz w:val="20"/>
          <w:szCs w:val="20"/>
          <w:color w:val="auto"/>
        </w:rPr>
      </w:pPr>
    </w:p>
    <w:p>
      <w:pPr>
        <w:spacing w:after="0"/>
        <w:tabs>
          <w:tab w:leader="none" w:pos="3280" w:val="left"/>
        </w:tabs>
        <w:rPr>
          <w:sz w:val="20"/>
          <w:szCs w:val="20"/>
          <w:color w:val="auto"/>
        </w:rPr>
      </w:pPr>
      <w:r>
        <w:rPr>
          <w:rFonts w:ascii="Arial" w:cs="Arial" w:eastAsia="Arial" w:hAnsi="Arial"/>
          <w:sz w:val="22"/>
          <w:szCs w:val="22"/>
          <w:color w:val="auto"/>
        </w:rPr>
        <w:t>Signature:/s/ George Lasezkay</w:t>
      </w:r>
      <w:r>
        <w:rPr>
          <w:sz w:val="20"/>
          <w:szCs w:val="20"/>
          <w:color w:val="auto"/>
        </w:rPr>
        <w:tab/>
      </w:r>
      <w:r>
        <w:rPr>
          <w:rFonts w:ascii="Arial" w:cs="Arial" w:eastAsia="Arial" w:hAnsi="Arial"/>
          <w:sz w:val="19"/>
          <w:szCs w:val="19"/>
          <w:color w:val="auto"/>
        </w:rPr>
        <w:t>Signature: /s/ Graham Jackson</w:t>
      </w:r>
    </w:p>
    <w:p>
      <w:pPr>
        <w:spacing w:after="0" w:line="206" w:lineRule="exact"/>
        <w:rPr>
          <w:sz w:val="20"/>
          <w:szCs w:val="20"/>
          <w:color w:val="auto"/>
        </w:rPr>
      </w:pPr>
    </w:p>
    <w:p>
      <w:pPr>
        <w:spacing w:after="0"/>
        <w:tabs>
          <w:tab w:leader="none" w:pos="2760" w:val="left"/>
        </w:tabs>
        <w:rPr>
          <w:sz w:val="20"/>
          <w:szCs w:val="20"/>
          <w:color w:val="auto"/>
        </w:rPr>
      </w:pPr>
      <w:r>
        <w:rPr>
          <w:rFonts w:ascii="Arial" w:cs="Arial" w:eastAsia="Arial" w:hAnsi="Arial"/>
          <w:sz w:val="22"/>
          <w:szCs w:val="22"/>
          <w:color w:val="auto"/>
        </w:rPr>
        <w:t>Name: George Lasezkay</w:t>
      </w:r>
      <w:r>
        <w:rPr>
          <w:sz w:val="20"/>
          <w:szCs w:val="20"/>
          <w:color w:val="auto"/>
        </w:rPr>
        <w:tab/>
      </w:r>
      <w:r>
        <w:rPr>
          <w:rFonts w:ascii="Arial" w:cs="Arial" w:eastAsia="Arial" w:hAnsi="Arial"/>
          <w:sz w:val="19"/>
          <w:szCs w:val="19"/>
          <w:color w:val="auto"/>
        </w:rPr>
        <w:t>Name:Graham Jackson</w:t>
      </w:r>
    </w:p>
    <w:p>
      <w:pPr>
        <w:spacing w:after="0" w:line="206" w:lineRule="exact"/>
        <w:rPr>
          <w:sz w:val="20"/>
          <w:szCs w:val="20"/>
          <w:color w:val="auto"/>
        </w:rPr>
      </w:pPr>
    </w:p>
    <w:p>
      <w:pPr>
        <w:spacing w:after="0"/>
        <w:tabs>
          <w:tab w:leader="none" w:pos="1580" w:val="left"/>
        </w:tabs>
        <w:rPr>
          <w:sz w:val="20"/>
          <w:szCs w:val="20"/>
          <w:color w:val="auto"/>
        </w:rPr>
      </w:pPr>
      <w:r>
        <w:rPr>
          <w:rFonts w:ascii="Arial" w:cs="Arial" w:eastAsia="Arial" w:hAnsi="Arial"/>
          <w:sz w:val="22"/>
          <w:szCs w:val="22"/>
          <w:color w:val="auto"/>
        </w:rPr>
        <w:t>Title: CEO</w:t>
      </w:r>
      <w:r>
        <w:rPr>
          <w:sz w:val="20"/>
          <w:szCs w:val="20"/>
          <w:color w:val="auto"/>
        </w:rPr>
        <w:tab/>
      </w:r>
      <w:r>
        <w:rPr>
          <w:rFonts w:ascii="Arial" w:cs="Arial" w:eastAsia="Arial" w:hAnsi="Arial"/>
          <w:sz w:val="19"/>
          <w:szCs w:val="19"/>
          <w:color w:val="auto"/>
        </w:rPr>
        <w:t>Title: Director</w:t>
      </w:r>
    </w:p>
    <w:p>
      <w:pPr>
        <w:spacing w:after="0" w:line="206" w:lineRule="exact"/>
        <w:rPr>
          <w:sz w:val="20"/>
          <w:szCs w:val="20"/>
          <w:color w:val="auto"/>
        </w:rPr>
      </w:pPr>
    </w:p>
    <w:p>
      <w:pPr>
        <w:spacing w:after="0"/>
        <w:tabs>
          <w:tab w:leader="none" w:pos="2420" w:val="left"/>
        </w:tabs>
        <w:rPr>
          <w:sz w:val="20"/>
          <w:szCs w:val="20"/>
          <w:color w:val="auto"/>
        </w:rPr>
      </w:pPr>
      <w:r>
        <w:rPr>
          <w:rFonts w:ascii="Arial" w:cs="Arial" w:eastAsia="Arial" w:hAnsi="Arial"/>
          <w:sz w:val="22"/>
          <w:szCs w:val="22"/>
          <w:color w:val="auto"/>
        </w:rPr>
        <w:t>Date: April 27, 2020</w:t>
      </w:r>
      <w:r>
        <w:rPr>
          <w:sz w:val="20"/>
          <w:szCs w:val="20"/>
          <w:color w:val="auto"/>
        </w:rPr>
        <w:tab/>
      </w:r>
      <w:r>
        <w:rPr>
          <w:rFonts w:ascii="Arial" w:cs="Arial" w:eastAsia="Arial" w:hAnsi="Arial"/>
          <w:sz w:val="19"/>
          <w:szCs w:val="19"/>
          <w:color w:val="auto"/>
        </w:rPr>
        <w:t>Date: April 27, 2020</w:t>
      </w:r>
    </w:p>
    <w:p>
      <w:pPr>
        <w:spacing w:after="0" w:line="2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80"/>
          </w:cols>
          <w:pgMar w:left="320" w:top="328" w:right="499" w:bottom="1440" w:gutter="0" w:footer="0" w:header="0"/>
          <w:type w:val="continuous"/>
        </w:sectPr>
      </w:pPr>
    </w:p>
    <w:bookmarkStart w:id="38" w:name="page39"/>
    <w:bookmarkEnd w:id="38"/>
    <w:p>
      <w:pPr>
        <w:jc w:val="right"/>
        <w:spacing w:after="0"/>
        <w:rPr>
          <w:sz w:val="20"/>
          <w:szCs w:val="20"/>
          <w:color w:val="auto"/>
        </w:rPr>
      </w:pPr>
      <w:r>
        <w:rPr>
          <w:rFonts w:ascii="Arial" w:cs="Arial" w:eastAsia="Arial" w:hAnsi="Arial"/>
          <w:sz w:val="22"/>
          <w:szCs w:val="22"/>
          <w:b w:val="1"/>
          <w:bCs w:val="1"/>
          <w:color w:val="auto"/>
        </w:rPr>
        <w:t>Exhibit 10.2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EMPLOYMENT AGREEMENT</w:t>
      </w:r>
    </w:p>
    <w:p>
      <w:pPr>
        <w:spacing w:after="0" w:line="182"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THIS EXECUTIVE EMPLOYMENT AGREEMENT (the “</w:t>
      </w:r>
      <w:r>
        <w:rPr>
          <w:rFonts w:ascii="Arial" w:cs="Arial" w:eastAsia="Arial" w:hAnsi="Arial"/>
          <w:sz w:val="22"/>
          <w:szCs w:val="22"/>
          <w:b w:val="1"/>
          <w:bCs w:val="1"/>
          <w:color w:val="auto"/>
        </w:rPr>
        <w:t>Agreement</w:t>
      </w:r>
      <w:r>
        <w:rPr>
          <w:rFonts w:ascii="Arial" w:cs="Arial" w:eastAsia="Arial" w:hAnsi="Arial"/>
          <w:sz w:val="22"/>
          <w:szCs w:val="22"/>
          <w:color w:val="auto"/>
        </w:rPr>
        <w:t>”), is entered into effective as of June 24, 2019, (the “</w:t>
      </w:r>
      <w:r>
        <w:rPr>
          <w:rFonts w:ascii="Arial" w:cs="Arial" w:eastAsia="Arial" w:hAnsi="Arial"/>
          <w:sz w:val="22"/>
          <w:szCs w:val="22"/>
          <w:b w:val="1"/>
          <w:bCs w:val="1"/>
          <w:color w:val="auto"/>
        </w:rPr>
        <w:t>Effective Date</w:t>
      </w:r>
      <w:r>
        <w:rPr>
          <w:rFonts w:ascii="Arial" w:cs="Arial" w:eastAsia="Arial" w:hAnsi="Arial"/>
          <w:sz w:val="22"/>
          <w:szCs w:val="22"/>
          <w:color w:val="auto"/>
        </w:rPr>
        <w:t>”), by and between Clearside Biomedical, Inc.,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and Thomas Ciulla (the “</w:t>
      </w:r>
      <w:r>
        <w:rPr>
          <w:rFonts w:ascii="Arial" w:cs="Arial" w:eastAsia="Arial" w:hAnsi="Arial"/>
          <w:sz w:val="22"/>
          <w:szCs w:val="22"/>
          <w:b w:val="1"/>
          <w:bCs w:val="1"/>
          <w:color w:val="auto"/>
        </w:rPr>
        <w:t>Executive</w:t>
      </w:r>
      <w:r>
        <w:rPr>
          <w:rFonts w:ascii="Arial" w:cs="Arial" w:eastAsia="Arial" w:hAnsi="Arial"/>
          <w:sz w:val="22"/>
          <w:szCs w:val="22"/>
          <w:color w:val="auto"/>
        </w:rPr>
        <w:t>”), an individual residing in Indiana.</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WITNESSETH:</w:t>
      </w:r>
    </w:p>
    <w:p>
      <w:pPr>
        <w:spacing w:after="0" w:line="20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WHEREAS, the Company and Executive desire to set forth the terms and conditions of the Executive’s employment from and after the Effective Date.</w:t>
      </w:r>
    </w:p>
    <w:p>
      <w:pPr>
        <w:spacing w:after="0" w:line="175" w:lineRule="exact"/>
        <w:rPr>
          <w:sz w:val="20"/>
          <w:szCs w:val="20"/>
          <w:color w:val="auto"/>
        </w:rPr>
      </w:pPr>
    </w:p>
    <w:p>
      <w:pPr>
        <w:jc w:val="right"/>
        <w:spacing w:after="0" w:line="271" w:lineRule="auto"/>
        <w:rPr>
          <w:sz w:val="20"/>
          <w:szCs w:val="20"/>
          <w:color w:val="auto"/>
        </w:rPr>
      </w:pPr>
      <w:r>
        <w:rPr>
          <w:rFonts w:ascii="Arial" w:cs="Arial" w:eastAsia="Arial" w:hAnsi="Arial"/>
          <w:sz w:val="19"/>
          <w:szCs w:val="19"/>
          <w:color w:val="auto"/>
        </w:rPr>
        <w:t>NOW, THEREFORE, in consideration of the foregoing, of the mutual promises herein, and of other good and valuable consideration, including the employment of the Executive by the Company and the compensation to be received by the Executive from the Company from time to time, and specifically the compensation to be received by the Executive pursuant to Section 4 hereof, the receipt and sufficiency of which are hereby acknowledged, the parties hereto, intending legally to be bound, hereby</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agree as follows:</w:t>
      </w:r>
    </w:p>
    <w:p>
      <w:pPr>
        <w:spacing w:after="0" w:line="188" w:lineRule="exact"/>
        <w:rPr>
          <w:sz w:val="20"/>
          <w:szCs w:val="20"/>
          <w:color w:val="auto"/>
        </w:rPr>
      </w:pPr>
    </w:p>
    <w:p>
      <w:pPr>
        <w:ind w:right="20" w:firstLine="872"/>
        <w:spacing w:after="0" w:line="250" w:lineRule="auto"/>
        <w:tabs>
          <w:tab w:leader="none" w:pos="1674"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Employment</w:t>
      </w:r>
      <w:r>
        <w:rPr>
          <w:rFonts w:ascii="Arial" w:cs="Arial" w:eastAsia="Arial" w:hAnsi="Arial"/>
          <w:sz w:val="22"/>
          <w:szCs w:val="22"/>
          <w:color w:val="auto"/>
        </w:rPr>
        <w:t>. The Company hereby employs the Executive and the Executive hereby accepts employment as the Chief Medical Officer of the Company upon the terms and conditions of this Agreement.</w:t>
      </w:r>
    </w:p>
    <w:p>
      <w:pPr>
        <w:spacing w:after="0" w:line="174" w:lineRule="exact"/>
        <w:rPr>
          <w:rFonts w:ascii="Arial" w:cs="Arial" w:eastAsia="Arial" w:hAnsi="Arial"/>
          <w:sz w:val="22"/>
          <w:szCs w:val="22"/>
          <w:color w:val="auto"/>
        </w:rPr>
      </w:pPr>
    </w:p>
    <w:p>
      <w:pPr>
        <w:jc w:val="both"/>
        <w:ind w:firstLine="872"/>
        <w:spacing w:after="0" w:line="244" w:lineRule="auto"/>
        <w:tabs>
          <w:tab w:leader="none" w:pos="1674" w:val="left"/>
        </w:tabs>
        <w:numPr>
          <w:ilvl w:val="0"/>
          <w:numId w:val="23"/>
        </w:numPr>
        <w:rPr>
          <w:rFonts w:ascii="Arial" w:cs="Arial" w:eastAsia="Arial" w:hAnsi="Arial"/>
          <w:sz w:val="21"/>
          <w:szCs w:val="21"/>
          <w:color w:val="auto"/>
        </w:rPr>
      </w:pPr>
      <w:r>
        <w:rPr>
          <w:rFonts w:ascii="Arial" w:cs="Arial" w:eastAsia="Arial" w:hAnsi="Arial"/>
          <w:sz w:val="21"/>
          <w:szCs w:val="21"/>
          <w:u w:val="single" w:color="auto"/>
          <w:color w:val="auto"/>
        </w:rPr>
        <w:t>Duties</w:t>
      </w:r>
      <w:r>
        <w:rPr>
          <w:rFonts w:ascii="Arial" w:cs="Arial" w:eastAsia="Arial" w:hAnsi="Arial"/>
          <w:sz w:val="21"/>
          <w:szCs w:val="21"/>
          <w:color w:val="auto"/>
        </w:rPr>
        <w:t>. The Executive shall faithfully perform all duties of the Company related to the position or positions held by the Executive, including but not limited to all duties set forth in this Agreement and/or in the Bylaws of the Company related to the position or positions held by the Executive and all additional duties that are prescribed from time to time by the Chief Executive Officer of the Company. The Executive shall devote the Executive’s full time and attention to the performance of the Executive’s duties and responsibilities on behalf of the Company and in furtherance of its best interests; provided, however, that the Executive, subject to the Executive’s obligations hereunder, shall also be permitted to continue to practice medicine &lt;15% work-week, make personal investments, perform reasonable volunteer services and, with the prior consent of the Company, serve on outside boards of directors for non-profit corporations. The Executive shall comply with all Company policies, standards, rules and regulations (the “</w:t>
      </w:r>
      <w:r>
        <w:rPr>
          <w:rFonts w:ascii="Arial" w:cs="Arial" w:eastAsia="Arial" w:hAnsi="Arial"/>
          <w:sz w:val="21"/>
          <w:szCs w:val="21"/>
          <w:b w:val="1"/>
          <w:bCs w:val="1"/>
          <w:color w:val="auto"/>
        </w:rPr>
        <w:t>Company Policies</w:t>
      </w:r>
      <w:r>
        <w:rPr>
          <w:rFonts w:ascii="Arial" w:cs="Arial" w:eastAsia="Arial" w:hAnsi="Arial"/>
          <w:sz w:val="21"/>
          <w:szCs w:val="21"/>
          <w:color w:val="auto"/>
        </w:rPr>
        <w:t>”) and all applicable government laws, rules and regulations that are now or hereafter in effect. The Executive acknowledges receipt of copies of all written Company Policies that are in effect as of the date of this Agreement.</w:t>
      </w:r>
    </w:p>
    <w:p>
      <w:pPr>
        <w:spacing w:after="0" w:line="188" w:lineRule="exact"/>
        <w:rPr>
          <w:rFonts w:ascii="Arial" w:cs="Arial" w:eastAsia="Arial" w:hAnsi="Arial"/>
          <w:sz w:val="21"/>
          <w:szCs w:val="21"/>
          <w:color w:val="auto"/>
        </w:rPr>
      </w:pPr>
    </w:p>
    <w:p>
      <w:pPr>
        <w:jc w:val="both"/>
        <w:ind w:firstLine="872"/>
        <w:spacing w:after="0" w:line="282" w:lineRule="auto"/>
        <w:tabs>
          <w:tab w:leader="none" w:pos="1674"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Unless earlier terminated as provided herein, the initial term of this Agreement shall commence on the Effective Date and shall continue until December 31, 2019. Thereafter, this Agreement shall automatically renew on a year-to-year basis on the same terms and conditions set forth herein unless: (a) earlier terminated or amended as provided herein or (b) either party gives written notice of non-renewal at least sixty (60) days prior to the end of the initial term or any renewal term of this Agreement. The initial term of this Agreement and all renewals thereof are referred to herein as the “</w:t>
      </w:r>
      <w:r>
        <w:rPr>
          <w:rFonts w:ascii="Arial" w:cs="Arial" w:eastAsia="Arial" w:hAnsi="Arial"/>
          <w:sz w:val="19"/>
          <w:szCs w:val="19"/>
          <w:b w:val="1"/>
          <w:bCs w:val="1"/>
          <w:color w:val="auto"/>
        </w:rPr>
        <w:t>Term</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450215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9" w:name="page40"/>
    <w:bookmarkEnd w:id="39"/>
    <w:p>
      <w:pPr>
        <w:ind w:firstLine="872"/>
        <w:spacing w:after="0" w:line="328" w:lineRule="auto"/>
        <w:tabs>
          <w:tab w:leader="none" w:pos="1674"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Compensation</w:t>
      </w:r>
      <w:r>
        <w:rPr>
          <w:rFonts w:ascii="Arial" w:cs="Arial" w:eastAsia="Arial" w:hAnsi="Arial"/>
          <w:sz w:val="19"/>
          <w:szCs w:val="19"/>
          <w:color w:val="auto"/>
        </w:rPr>
        <w:t>. During the Term, as compensation for the services rendered by the Executive under this Agreement, the Executive shall be entitled to receive the following (all payments are subject to applicable withholdings):</w:t>
      </w:r>
    </w:p>
    <w:p>
      <w:pPr>
        <w:spacing w:after="0" w:line="104" w:lineRule="exact"/>
        <w:rPr>
          <w:rFonts w:ascii="Arial" w:cs="Arial" w:eastAsia="Arial" w:hAnsi="Arial"/>
          <w:sz w:val="19"/>
          <w:szCs w:val="19"/>
          <w:color w:val="auto"/>
        </w:rPr>
      </w:pPr>
    </w:p>
    <w:p>
      <w:pPr>
        <w:jc w:val="both"/>
        <w:ind w:firstLine="1735"/>
        <w:spacing w:after="0" w:line="297" w:lineRule="auto"/>
        <w:tabs>
          <w:tab w:leader="none" w:pos="2615" w:val="left"/>
        </w:tabs>
        <w:numPr>
          <w:ilvl w:val="1"/>
          <w:numId w:val="24"/>
        </w:numPr>
        <w:rPr>
          <w:rFonts w:ascii="Arial" w:cs="Arial" w:eastAsia="Arial" w:hAnsi="Arial"/>
          <w:sz w:val="19"/>
          <w:szCs w:val="19"/>
          <w:color w:val="auto"/>
        </w:rPr>
      </w:pPr>
      <w:r>
        <w:rPr>
          <w:rFonts w:ascii="Arial" w:cs="Arial" w:eastAsia="Arial" w:hAnsi="Arial"/>
          <w:sz w:val="19"/>
          <w:szCs w:val="19"/>
          <w:u w:val="single" w:color="auto"/>
          <w:color w:val="auto"/>
        </w:rPr>
        <w:t>Base Salary</w:t>
      </w:r>
      <w:r>
        <w:rPr>
          <w:rFonts w:ascii="Arial" w:cs="Arial" w:eastAsia="Arial" w:hAnsi="Arial"/>
          <w:sz w:val="19"/>
          <w:szCs w:val="19"/>
          <w:color w:val="auto"/>
        </w:rPr>
        <w:t>. The Executive shall receive a monthly salary at a rate of $27,083.33 (equal to an annual salary rate of $325,000) payable in accordance with the then-current payroll schedule of the Company (the “</w:t>
      </w:r>
      <w:r>
        <w:rPr>
          <w:rFonts w:ascii="Arial" w:cs="Arial" w:eastAsia="Arial" w:hAnsi="Arial"/>
          <w:sz w:val="19"/>
          <w:szCs w:val="19"/>
          <w:b w:val="1"/>
          <w:bCs w:val="1"/>
          <w:color w:val="auto"/>
        </w:rPr>
        <w:t>Base</w:t>
      </w:r>
      <w:r>
        <w:rPr>
          <w:rFonts w:ascii="Arial" w:cs="Arial" w:eastAsia="Arial" w:hAnsi="Arial"/>
          <w:sz w:val="19"/>
          <w:szCs w:val="19"/>
          <w:color w:val="auto"/>
        </w:rPr>
        <w:t xml:space="preserve"> </w:t>
      </w:r>
      <w:r>
        <w:rPr>
          <w:rFonts w:ascii="Arial" w:cs="Arial" w:eastAsia="Arial" w:hAnsi="Arial"/>
          <w:sz w:val="19"/>
          <w:szCs w:val="19"/>
          <w:b w:val="1"/>
          <w:bCs w:val="1"/>
          <w:color w:val="auto"/>
        </w:rPr>
        <w:t>Salary</w:t>
      </w:r>
      <w:r>
        <w:rPr>
          <w:rFonts w:ascii="Arial" w:cs="Arial" w:eastAsia="Arial" w:hAnsi="Arial"/>
          <w:sz w:val="19"/>
          <w:szCs w:val="19"/>
          <w:color w:val="auto"/>
        </w:rPr>
        <w:t>”). The Executive's salary may be increased from time to time by the Board of Directors of the Company (the “</w:t>
      </w:r>
      <w:r>
        <w:rPr>
          <w:rFonts w:ascii="Arial" w:cs="Arial" w:eastAsia="Arial" w:hAnsi="Arial"/>
          <w:sz w:val="19"/>
          <w:szCs w:val="19"/>
          <w:b w:val="1"/>
          <w:bCs w:val="1"/>
          <w:color w:val="auto"/>
        </w:rPr>
        <w:t>Board</w:t>
      </w:r>
      <w:r>
        <w:rPr>
          <w:rFonts w:ascii="Arial" w:cs="Arial" w:eastAsia="Arial" w:hAnsi="Arial"/>
          <w:sz w:val="19"/>
          <w:szCs w:val="19"/>
          <w:color w:val="auto"/>
        </w:rPr>
        <w:t>”).</w:t>
      </w:r>
    </w:p>
    <w:p>
      <w:pPr>
        <w:spacing w:after="0" w:line="133" w:lineRule="exact"/>
        <w:rPr>
          <w:rFonts w:ascii="Arial" w:cs="Arial" w:eastAsia="Arial" w:hAnsi="Arial"/>
          <w:sz w:val="19"/>
          <w:szCs w:val="19"/>
          <w:color w:val="auto"/>
        </w:rPr>
      </w:pPr>
    </w:p>
    <w:p>
      <w:pPr>
        <w:jc w:val="both"/>
        <w:ind w:firstLine="1735"/>
        <w:spacing w:after="0" w:line="234" w:lineRule="auto"/>
        <w:tabs>
          <w:tab w:leader="none" w:pos="2627" w:val="left"/>
        </w:tabs>
        <w:numPr>
          <w:ilvl w:val="1"/>
          <w:numId w:val="24"/>
        </w:numPr>
        <w:rPr>
          <w:rFonts w:ascii="Arial" w:cs="Arial" w:eastAsia="Arial" w:hAnsi="Arial"/>
          <w:sz w:val="22"/>
          <w:szCs w:val="22"/>
          <w:color w:val="auto"/>
        </w:rPr>
      </w:pPr>
      <w:r>
        <w:rPr>
          <w:rFonts w:ascii="Arial" w:cs="Arial" w:eastAsia="Arial" w:hAnsi="Arial"/>
          <w:sz w:val="22"/>
          <w:szCs w:val="22"/>
          <w:u w:val="single" w:color="auto"/>
          <w:color w:val="auto"/>
        </w:rPr>
        <w:t>Bonuses</w:t>
      </w:r>
      <w:r>
        <w:rPr>
          <w:rFonts w:ascii="Arial" w:cs="Arial" w:eastAsia="Arial" w:hAnsi="Arial"/>
          <w:sz w:val="22"/>
          <w:szCs w:val="22"/>
          <w:color w:val="auto"/>
        </w:rPr>
        <w:t>. The Executive shall be eligible to participate in all bonus or similar incentive plans adopted by the Board. The amount awarded, if any, to the Executive under any bonus or incentive plan shall be in the discretion of the Board or any committee administering such plan, based on its assessment of the Executive’s and the Company’s performance during the relevant period, but it is the expectation of the Company that any such bonus would be up to 35% of the Executive’s then-current annual Base Salary (the “</w:t>
      </w:r>
      <w:r>
        <w:rPr>
          <w:rFonts w:ascii="Arial" w:cs="Arial" w:eastAsia="Arial" w:hAnsi="Arial"/>
          <w:sz w:val="22"/>
          <w:szCs w:val="22"/>
          <w:b w:val="1"/>
          <w:bCs w:val="1"/>
          <w:color w:val="auto"/>
        </w:rPr>
        <w:t>Target Bonus</w:t>
      </w:r>
      <w:r>
        <w:rPr>
          <w:rFonts w:ascii="Arial" w:cs="Arial" w:eastAsia="Arial" w:hAnsi="Arial"/>
          <w:sz w:val="22"/>
          <w:szCs w:val="22"/>
          <w:color w:val="auto"/>
        </w:rPr>
        <w:t>”). If a bonus is awarded, unless otherwise specifically provided by the Board or committee administering such plan, it shall be paid between January 1 and March 15 of the year following the year in which such bonus was earned.</w:t>
      </w:r>
    </w:p>
    <w:p>
      <w:pPr>
        <w:spacing w:after="0" w:line="190" w:lineRule="exact"/>
        <w:rPr>
          <w:rFonts w:ascii="Arial" w:cs="Arial" w:eastAsia="Arial" w:hAnsi="Arial"/>
          <w:sz w:val="22"/>
          <w:szCs w:val="22"/>
          <w:color w:val="auto"/>
        </w:rPr>
      </w:pPr>
    </w:p>
    <w:p>
      <w:pPr>
        <w:jc w:val="both"/>
        <w:ind w:firstLine="1735"/>
        <w:spacing w:after="0" w:line="248" w:lineRule="auto"/>
        <w:tabs>
          <w:tab w:leader="none" w:pos="2615" w:val="left"/>
        </w:tabs>
        <w:numPr>
          <w:ilvl w:val="1"/>
          <w:numId w:val="24"/>
        </w:numPr>
        <w:rPr>
          <w:rFonts w:ascii="Arial" w:cs="Arial" w:eastAsia="Arial" w:hAnsi="Arial"/>
          <w:sz w:val="21"/>
          <w:szCs w:val="21"/>
          <w:color w:val="auto"/>
        </w:rPr>
      </w:pPr>
      <w:r>
        <w:rPr>
          <w:rFonts w:ascii="Arial" w:cs="Arial" w:eastAsia="Arial" w:hAnsi="Arial"/>
          <w:sz w:val="21"/>
          <w:szCs w:val="21"/>
          <w:u w:val="single" w:color="auto"/>
          <w:color w:val="auto"/>
        </w:rPr>
        <w:t>Options</w:t>
      </w:r>
      <w:r>
        <w:rPr>
          <w:rFonts w:ascii="Arial" w:cs="Arial" w:eastAsia="Arial" w:hAnsi="Arial"/>
          <w:sz w:val="21"/>
          <w:szCs w:val="21"/>
          <w:color w:val="auto"/>
        </w:rPr>
        <w:t>. In connection with the Executive’s employment, the Company has issued to the Executive options to purchase 120,000 shares of the common stock of the Company (the “</w:t>
      </w:r>
      <w:r>
        <w:rPr>
          <w:rFonts w:ascii="Arial" w:cs="Arial" w:eastAsia="Arial" w:hAnsi="Arial"/>
          <w:sz w:val="21"/>
          <w:szCs w:val="21"/>
          <w:b w:val="1"/>
          <w:bCs w:val="1"/>
          <w:color w:val="auto"/>
        </w:rPr>
        <w:t>Options</w:t>
      </w:r>
      <w:r>
        <w:rPr>
          <w:rFonts w:ascii="Arial" w:cs="Arial" w:eastAsia="Arial" w:hAnsi="Arial"/>
          <w:sz w:val="21"/>
          <w:szCs w:val="21"/>
          <w:color w:val="auto"/>
        </w:rPr>
        <w:t>”). The Options shall vest over a four year period as set forth in greater detail in a stock option agreement. During the Term of this Agreement, Executive will be eligible to receive additional stock options, restricted stock grants, or other equity incentive awards under or outside of any current or successor equity incentive plans of the Company, as the Board in its sole discretion determines to be appropriate (any such awards, collectively with the Options, “</w:t>
      </w:r>
      <w:r>
        <w:rPr>
          <w:rFonts w:ascii="Arial" w:cs="Arial" w:eastAsia="Arial" w:hAnsi="Arial"/>
          <w:sz w:val="21"/>
          <w:szCs w:val="21"/>
          <w:b w:val="1"/>
          <w:bCs w:val="1"/>
          <w:color w:val="auto"/>
        </w:rPr>
        <w:t>Equity Awards</w:t>
      </w:r>
      <w:r>
        <w:rPr>
          <w:rFonts w:ascii="Arial" w:cs="Arial" w:eastAsia="Arial" w:hAnsi="Arial"/>
          <w:sz w:val="21"/>
          <w:szCs w:val="21"/>
          <w:color w:val="auto"/>
        </w:rPr>
        <w:t>”).</w:t>
      </w:r>
    </w:p>
    <w:p>
      <w:pPr>
        <w:spacing w:after="0" w:line="176" w:lineRule="exact"/>
        <w:rPr>
          <w:rFonts w:ascii="Arial" w:cs="Arial" w:eastAsia="Arial" w:hAnsi="Arial"/>
          <w:sz w:val="21"/>
          <w:szCs w:val="21"/>
          <w:color w:val="auto"/>
        </w:rPr>
      </w:pPr>
    </w:p>
    <w:p>
      <w:pPr>
        <w:jc w:val="both"/>
        <w:ind w:firstLine="1735"/>
        <w:spacing w:after="0" w:line="287" w:lineRule="auto"/>
        <w:tabs>
          <w:tab w:leader="none" w:pos="2627" w:val="left"/>
        </w:tabs>
        <w:numPr>
          <w:ilvl w:val="1"/>
          <w:numId w:val="24"/>
        </w:numPr>
        <w:rPr>
          <w:rFonts w:ascii="Arial" w:cs="Arial" w:eastAsia="Arial" w:hAnsi="Arial"/>
          <w:sz w:val="19"/>
          <w:szCs w:val="19"/>
          <w:color w:val="auto"/>
        </w:rPr>
      </w:pPr>
      <w:r>
        <w:rPr>
          <w:rFonts w:ascii="Arial" w:cs="Arial" w:eastAsia="Arial" w:hAnsi="Arial"/>
          <w:sz w:val="19"/>
          <w:szCs w:val="19"/>
          <w:u w:val="single" w:color="auto"/>
          <w:color w:val="auto"/>
        </w:rPr>
        <w:t>Benefits</w:t>
      </w:r>
      <w:r>
        <w:rPr>
          <w:rFonts w:ascii="Arial" w:cs="Arial" w:eastAsia="Arial" w:hAnsi="Arial"/>
          <w:sz w:val="19"/>
          <w:szCs w:val="19"/>
          <w:color w:val="auto"/>
        </w:rPr>
        <w:t>. The Executive shall be entitled to receive those benefits provided from time to time to other executive employees of the Company, in accordance with the terms and conditions of the applicable plan documents, provided that the Executive meets the eligibility requirements thereof. All such benefits are subject to amendment or termination from time to time by the Company without the consent of the Executive or any other employee of the Company.</w:t>
      </w:r>
    </w:p>
    <w:p>
      <w:pPr>
        <w:spacing w:after="0" w:line="142" w:lineRule="exact"/>
        <w:rPr>
          <w:rFonts w:ascii="Arial" w:cs="Arial" w:eastAsia="Arial" w:hAnsi="Arial"/>
          <w:sz w:val="19"/>
          <w:szCs w:val="19"/>
          <w:color w:val="auto"/>
        </w:rPr>
      </w:pPr>
    </w:p>
    <w:p>
      <w:pPr>
        <w:jc w:val="both"/>
        <w:ind w:firstLine="1735"/>
        <w:spacing w:after="0" w:line="249" w:lineRule="auto"/>
        <w:tabs>
          <w:tab w:leader="none" w:pos="2615" w:val="left"/>
        </w:tabs>
        <w:numPr>
          <w:ilvl w:val="1"/>
          <w:numId w:val="24"/>
        </w:numPr>
        <w:rPr>
          <w:rFonts w:ascii="Arial" w:cs="Arial" w:eastAsia="Arial" w:hAnsi="Arial"/>
          <w:sz w:val="21"/>
          <w:szCs w:val="21"/>
          <w:color w:val="auto"/>
        </w:rPr>
      </w:pPr>
      <w:r>
        <w:rPr>
          <w:rFonts w:ascii="Arial" w:cs="Arial" w:eastAsia="Arial" w:hAnsi="Arial"/>
          <w:sz w:val="21"/>
          <w:szCs w:val="21"/>
          <w:u w:val="single" w:color="auto"/>
          <w:color w:val="auto"/>
        </w:rPr>
        <w:t>Vacation</w:t>
      </w:r>
      <w:r>
        <w:rPr>
          <w:rFonts w:ascii="Arial" w:cs="Arial" w:eastAsia="Arial" w:hAnsi="Arial"/>
          <w:sz w:val="21"/>
          <w:szCs w:val="21"/>
          <w:color w:val="auto"/>
        </w:rPr>
        <w:t xml:space="preserve">. The Executive shall be entitled to four (4) weeks paid vacation per calendar year (with the vacation for any partial year being prorated) and shall be entitled to carry over one-half of the total Vacation days earned in one calendar year to the subsequent calendar year;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in no event may the Executive carry over more than two (2) weeks of paid vacation into a subsequent year. Upon the termination of the Executive’s employment with the Company, no cash shall be paid in lieu of accrued but unused vacation.</w:t>
      </w:r>
    </w:p>
    <w:p>
      <w:pPr>
        <w:spacing w:after="0" w:line="178" w:lineRule="exact"/>
        <w:rPr>
          <w:rFonts w:ascii="Arial" w:cs="Arial" w:eastAsia="Arial" w:hAnsi="Arial"/>
          <w:sz w:val="21"/>
          <w:szCs w:val="21"/>
          <w:color w:val="auto"/>
        </w:rPr>
      </w:pPr>
    </w:p>
    <w:p>
      <w:pPr>
        <w:ind w:left="2720" w:hanging="985"/>
        <w:spacing w:after="0"/>
        <w:tabs>
          <w:tab w:leader="none" w:pos="2720" w:val="left"/>
        </w:tabs>
        <w:numPr>
          <w:ilvl w:val="1"/>
          <w:numId w:val="24"/>
        </w:numPr>
        <w:rPr>
          <w:rFonts w:ascii="Arial" w:cs="Arial" w:eastAsia="Arial" w:hAnsi="Arial"/>
          <w:sz w:val="21"/>
          <w:szCs w:val="21"/>
          <w:color w:val="auto"/>
        </w:rPr>
      </w:pPr>
      <w:r>
        <w:rPr>
          <w:rFonts w:ascii="Arial" w:cs="Arial" w:eastAsia="Arial" w:hAnsi="Arial"/>
          <w:sz w:val="21"/>
          <w:szCs w:val="21"/>
          <w:u w:val="single" w:color="auto"/>
          <w:color w:val="auto"/>
        </w:rPr>
        <w:t>Annual Physical Exam</w:t>
      </w:r>
      <w:r>
        <w:rPr>
          <w:rFonts w:ascii="Arial" w:cs="Arial" w:eastAsia="Arial" w:hAnsi="Arial"/>
          <w:sz w:val="21"/>
          <w:szCs w:val="21"/>
          <w:color w:val="auto"/>
        </w:rPr>
        <w:t>. The Company shall bear the cost of one comprehensive physical</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examination per calendar year.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H#628229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40" w:name="page41"/>
    <w:bookmarkEnd w:id="40"/>
    <w:p>
      <w:pPr>
        <w:jc w:val="both"/>
        <w:ind w:firstLine="1735"/>
        <w:spacing w:after="0" w:line="238" w:lineRule="auto"/>
        <w:tabs>
          <w:tab w:leader="none" w:pos="2627" w:val="left"/>
        </w:tabs>
        <w:numPr>
          <w:ilvl w:val="1"/>
          <w:numId w:val="25"/>
        </w:numPr>
        <w:rPr>
          <w:rFonts w:ascii="Arial" w:cs="Arial" w:eastAsia="Arial" w:hAnsi="Arial"/>
          <w:sz w:val="22"/>
          <w:szCs w:val="22"/>
          <w:color w:val="auto"/>
        </w:rPr>
      </w:pPr>
      <w:r>
        <w:rPr>
          <w:rFonts w:ascii="Arial" w:cs="Arial" w:eastAsia="Arial" w:hAnsi="Arial"/>
          <w:sz w:val="22"/>
          <w:szCs w:val="22"/>
          <w:u w:val="single" w:color="auto"/>
          <w:color w:val="auto"/>
        </w:rPr>
        <w:t>Business Expenses</w:t>
      </w:r>
      <w:r>
        <w:rPr>
          <w:rFonts w:ascii="Arial" w:cs="Arial" w:eastAsia="Arial" w:hAnsi="Arial"/>
          <w:sz w:val="22"/>
          <w:szCs w:val="22"/>
          <w:color w:val="auto"/>
        </w:rPr>
        <w:t>. The Company shall pay, or reimburse the Executive for, all reasonable expenses incurred by the Executive directly related to conduct of the business of the Company; provided that, the Executive complies with the Company’s policies for the reimbursement or advancement of business expenses that are now or hereafter in effect.</w:t>
      </w:r>
    </w:p>
    <w:p>
      <w:pPr>
        <w:spacing w:after="0" w:line="184" w:lineRule="exact"/>
        <w:rPr>
          <w:rFonts w:ascii="Arial" w:cs="Arial" w:eastAsia="Arial" w:hAnsi="Arial"/>
          <w:sz w:val="22"/>
          <w:szCs w:val="22"/>
          <w:color w:val="auto"/>
        </w:rPr>
      </w:pPr>
    </w:p>
    <w:p>
      <w:pPr>
        <w:jc w:val="both"/>
        <w:ind w:firstLine="1735"/>
        <w:spacing w:after="0"/>
        <w:tabs>
          <w:tab w:leader="none" w:pos="2627" w:val="left"/>
        </w:tabs>
        <w:numPr>
          <w:ilvl w:val="1"/>
          <w:numId w:val="25"/>
        </w:numPr>
        <w:rPr>
          <w:rFonts w:ascii="Arial" w:cs="Arial" w:eastAsia="Arial" w:hAnsi="Arial"/>
          <w:sz w:val="22"/>
          <w:szCs w:val="22"/>
          <w:color w:val="auto"/>
        </w:rPr>
      </w:pPr>
      <w:r>
        <w:rPr>
          <w:rFonts w:ascii="Arial" w:cs="Arial" w:eastAsia="Arial" w:hAnsi="Arial"/>
          <w:sz w:val="22"/>
          <w:szCs w:val="22"/>
          <w:u w:val="single" w:color="auto"/>
          <w:color w:val="auto"/>
        </w:rPr>
        <w:t>Expense Reimbursement for Travel. In connection with the anticipated attendance at the corporate office three weeks each month, the Company shall reimburse the Executive up to $25,000.00 per calendar year under the Company’s Travel and Expense Policy.</w:t>
      </w:r>
    </w:p>
    <w:p>
      <w:pPr>
        <w:spacing w:after="0" w:line="186" w:lineRule="exact"/>
        <w:rPr>
          <w:rFonts w:ascii="Arial" w:cs="Arial" w:eastAsia="Arial" w:hAnsi="Arial"/>
          <w:sz w:val="22"/>
          <w:szCs w:val="22"/>
          <w:color w:val="auto"/>
        </w:rPr>
      </w:pPr>
    </w:p>
    <w:p>
      <w:pPr>
        <w:ind w:firstLine="872"/>
        <w:spacing w:after="0" w:line="250" w:lineRule="auto"/>
        <w:tabs>
          <w:tab w:leader="none" w:pos="1674"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This Agreement and the Executive’s employment by the Company shall or may be terminated, as the case may be, as follows:</w:t>
      </w:r>
    </w:p>
    <w:p>
      <w:pPr>
        <w:spacing w:after="0" w:line="174" w:lineRule="exact"/>
        <w:rPr>
          <w:rFonts w:ascii="Arial" w:cs="Arial" w:eastAsia="Arial" w:hAnsi="Arial"/>
          <w:sz w:val="22"/>
          <w:szCs w:val="22"/>
          <w:color w:val="auto"/>
        </w:rPr>
      </w:pPr>
    </w:p>
    <w:p>
      <w:pPr>
        <w:ind w:firstLine="1735"/>
        <w:spacing w:after="0" w:line="250" w:lineRule="auto"/>
        <w:tabs>
          <w:tab w:leader="none" w:pos="2615" w:val="left"/>
        </w:tabs>
        <w:numPr>
          <w:ilvl w:val="1"/>
          <w:numId w:val="26"/>
        </w:numPr>
        <w:rPr>
          <w:rFonts w:ascii="Arial" w:cs="Arial" w:eastAsia="Arial" w:hAnsi="Arial"/>
          <w:sz w:val="22"/>
          <w:szCs w:val="22"/>
          <w:color w:val="auto"/>
        </w:rPr>
      </w:pPr>
      <w:r>
        <w:rPr>
          <w:rFonts w:ascii="Arial" w:cs="Arial" w:eastAsia="Arial" w:hAnsi="Arial"/>
          <w:sz w:val="22"/>
          <w:szCs w:val="22"/>
          <w:u w:val="single" w:color="auto"/>
          <w:color w:val="auto"/>
        </w:rPr>
        <w:t>Termination upon Expiration of the Term</w:t>
      </w:r>
      <w:r>
        <w:rPr>
          <w:rFonts w:ascii="Arial" w:cs="Arial" w:eastAsia="Arial" w:hAnsi="Arial"/>
          <w:sz w:val="22"/>
          <w:szCs w:val="22"/>
          <w:color w:val="auto"/>
        </w:rPr>
        <w:t>. This Agreement and the Executive’s employment by the Company shall terminate upon the expiration of the Term, unless renewed.</w:t>
      </w:r>
    </w:p>
    <w:p>
      <w:pPr>
        <w:spacing w:after="0" w:line="174" w:lineRule="exact"/>
        <w:rPr>
          <w:rFonts w:ascii="Arial" w:cs="Arial" w:eastAsia="Arial" w:hAnsi="Arial"/>
          <w:sz w:val="22"/>
          <w:szCs w:val="22"/>
          <w:color w:val="auto"/>
        </w:rPr>
      </w:pPr>
    </w:p>
    <w:p>
      <w:pPr>
        <w:ind w:left="2640" w:hanging="905"/>
        <w:spacing w:after="0"/>
        <w:tabs>
          <w:tab w:leader="none" w:pos="2640" w:val="left"/>
        </w:tabs>
        <w:numPr>
          <w:ilvl w:val="1"/>
          <w:numId w:val="26"/>
        </w:numPr>
        <w:rPr>
          <w:rFonts w:ascii="Arial" w:cs="Arial" w:eastAsia="Arial" w:hAnsi="Arial"/>
          <w:sz w:val="19"/>
          <w:szCs w:val="19"/>
          <w:color w:val="auto"/>
        </w:rPr>
      </w:pPr>
      <w:r>
        <w:rPr>
          <w:rFonts w:ascii="Arial" w:cs="Arial" w:eastAsia="Arial" w:hAnsi="Arial"/>
          <w:sz w:val="19"/>
          <w:szCs w:val="19"/>
          <w:u w:val="single" w:color="auto"/>
          <w:color w:val="auto"/>
        </w:rPr>
        <w:t>Termination by the Executive</w:t>
      </w:r>
      <w:r>
        <w:rPr>
          <w:rFonts w:ascii="Arial" w:cs="Arial" w:eastAsia="Arial" w:hAnsi="Arial"/>
          <w:sz w:val="19"/>
          <w:szCs w:val="19"/>
          <w:color w:val="auto"/>
        </w:rPr>
        <w:t>.  The Executive may terminate this Agreement and Executive’s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employment by the Company:</w:t>
      </w:r>
    </w:p>
    <w:p>
      <w:pPr>
        <w:spacing w:after="0" w:line="182" w:lineRule="exact"/>
        <w:rPr>
          <w:rFonts w:ascii="Arial" w:cs="Arial" w:eastAsia="Arial" w:hAnsi="Arial"/>
          <w:sz w:val="19"/>
          <w:szCs w:val="19"/>
          <w:color w:val="auto"/>
        </w:rPr>
      </w:pPr>
    </w:p>
    <w:p>
      <w:pPr>
        <w:jc w:val="both"/>
        <w:ind w:firstLine="2600"/>
        <w:spacing w:after="0" w:line="274" w:lineRule="auto"/>
        <w:tabs>
          <w:tab w:leader="none" w:pos="3552" w:val="left"/>
        </w:tabs>
        <w:numPr>
          <w:ilvl w:val="2"/>
          <w:numId w:val="26"/>
        </w:numPr>
        <w:rPr>
          <w:rFonts w:ascii="Arial" w:cs="Arial" w:eastAsia="Arial" w:hAnsi="Arial"/>
          <w:sz w:val="19"/>
          <w:szCs w:val="19"/>
          <w:color w:val="auto"/>
        </w:rPr>
      </w:pPr>
      <w:r>
        <w:rPr>
          <w:rFonts w:ascii="Arial" w:cs="Arial" w:eastAsia="Arial" w:hAnsi="Arial"/>
          <w:sz w:val="19"/>
          <w:szCs w:val="19"/>
          <w:color w:val="auto"/>
        </w:rPr>
        <w:t>for “Good Reason” (as defined herein). For purposes of this Agreement, “</w:t>
      </w:r>
      <w:r>
        <w:rPr>
          <w:rFonts w:ascii="Arial" w:cs="Arial" w:eastAsia="Arial" w:hAnsi="Arial"/>
          <w:sz w:val="19"/>
          <w:szCs w:val="19"/>
          <w:b w:val="1"/>
          <w:bCs w:val="1"/>
          <w:color w:val="auto"/>
        </w:rPr>
        <w:t>Good</w:t>
      </w:r>
      <w:r>
        <w:rPr>
          <w:rFonts w:ascii="Arial" w:cs="Arial" w:eastAsia="Arial" w:hAnsi="Arial"/>
          <w:sz w:val="19"/>
          <w:szCs w:val="19"/>
          <w:color w:val="auto"/>
        </w:rPr>
        <w:t xml:space="preserve"> </w:t>
      </w:r>
      <w:r>
        <w:rPr>
          <w:rFonts w:ascii="Arial" w:cs="Arial" w:eastAsia="Arial" w:hAnsi="Arial"/>
          <w:sz w:val="19"/>
          <w:szCs w:val="19"/>
          <w:b w:val="1"/>
          <w:bCs w:val="1"/>
          <w:color w:val="auto"/>
        </w:rPr>
        <w:t>Reason</w:t>
      </w:r>
      <w:r>
        <w:rPr>
          <w:rFonts w:ascii="Arial" w:cs="Arial" w:eastAsia="Arial" w:hAnsi="Arial"/>
          <w:sz w:val="19"/>
          <w:szCs w:val="19"/>
          <w:color w:val="auto"/>
        </w:rPr>
        <w:t>” shall mean, the existence, without the consent of the Executive, of any of the following events: (A) the Executive’s</w:t>
      </w:r>
      <w:r>
        <w:rPr>
          <w:rFonts w:ascii="Arial" w:cs="Arial" w:eastAsia="Arial" w:hAnsi="Arial"/>
          <w:sz w:val="19"/>
          <w:szCs w:val="19"/>
          <w:b w:val="1"/>
          <w:bCs w:val="1"/>
          <w:color w:val="auto"/>
        </w:rPr>
        <w:t xml:space="preserve"> </w:t>
      </w:r>
      <w:r>
        <w:rPr>
          <w:rFonts w:ascii="Arial" w:cs="Arial" w:eastAsia="Arial" w:hAnsi="Arial"/>
          <w:sz w:val="19"/>
          <w:szCs w:val="19"/>
          <w:color w:val="auto"/>
        </w:rPr>
        <w:t>duties and responsibilities or salary are substantially reduced or diminished; (B) the Company materially breaches its obligations under this Agreement; or (C) the Executive’s place of employment is relocated by more than fifty (50) miles. In addition to any requirements set forth above, in order for any of the above events to constitute “Good Reason”, the Executive must (X) provide written notice to the CEO or the Board of the existence of the event within thirty (30) days of the initial existence of the event, after which date the Company shall have sixty (60) days to cure the event which otherwise would constitute “Good Reason” hereunder, and (Y) notify Company in writing and with specificity if the Company’s cure was insufficient, and if such notice is provided, the Executive must terminate the Executive’s employment with the Company for such “Good Reason” no later than sixty (60) days after the end of the Company’s cure period set forth in (X), above.</w:t>
      </w:r>
    </w:p>
    <w:p>
      <w:pPr>
        <w:spacing w:after="0" w:line="157" w:lineRule="exact"/>
        <w:rPr>
          <w:rFonts w:ascii="Arial" w:cs="Arial" w:eastAsia="Arial" w:hAnsi="Arial"/>
          <w:sz w:val="19"/>
          <w:szCs w:val="19"/>
          <w:color w:val="auto"/>
        </w:rPr>
      </w:pPr>
    </w:p>
    <w:p>
      <w:pPr>
        <w:ind w:left="3520" w:hanging="920"/>
        <w:spacing w:after="0"/>
        <w:tabs>
          <w:tab w:leader="none" w:pos="3520" w:val="left"/>
        </w:tabs>
        <w:numPr>
          <w:ilvl w:val="2"/>
          <w:numId w:val="26"/>
        </w:numPr>
        <w:rPr>
          <w:rFonts w:ascii="Arial" w:cs="Arial" w:eastAsia="Arial" w:hAnsi="Arial"/>
          <w:sz w:val="22"/>
          <w:szCs w:val="22"/>
          <w:color w:val="auto"/>
        </w:rPr>
      </w:pPr>
      <w:r>
        <w:rPr>
          <w:rFonts w:ascii="Arial" w:cs="Arial" w:eastAsia="Arial" w:hAnsi="Arial"/>
          <w:sz w:val="22"/>
          <w:szCs w:val="22"/>
          <w:color w:val="auto"/>
        </w:rPr>
        <w:t>Other than for Good Reason thirty (30) days after notice to the Company.</w:t>
      </w:r>
    </w:p>
    <w:p>
      <w:pPr>
        <w:spacing w:after="0" w:line="206" w:lineRule="exact"/>
        <w:rPr>
          <w:rFonts w:ascii="Arial" w:cs="Arial" w:eastAsia="Arial" w:hAnsi="Arial"/>
          <w:sz w:val="22"/>
          <w:szCs w:val="22"/>
          <w:color w:val="auto"/>
        </w:rPr>
      </w:pPr>
    </w:p>
    <w:p>
      <w:pPr>
        <w:ind w:firstLine="1735"/>
        <w:spacing w:after="0" w:line="250" w:lineRule="auto"/>
        <w:tabs>
          <w:tab w:leader="none" w:pos="2615" w:val="left"/>
        </w:tabs>
        <w:numPr>
          <w:ilvl w:val="1"/>
          <w:numId w:val="26"/>
        </w:numPr>
        <w:rPr>
          <w:rFonts w:ascii="Arial" w:cs="Arial" w:eastAsia="Arial" w:hAnsi="Arial"/>
          <w:sz w:val="22"/>
          <w:szCs w:val="22"/>
          <w:color w:val="auto"/>
        </w:rPr>
      </w:pPr>
      <w:r>
        <w:rPr>
          <w:rFonts w:ascii="Arial" w:cs="Arial" w:eastAsia="Arial" w:hAnsi="Arial"/>
          <w:sz w:val="22"/>
          <w:szCs w:val="22"/>
          <w:u w:val="single" w:color="auto"/>
          <w:color w:val="auto"/>
        </w:rPr>
        <w:t>Termination by the Company</w:t>
      </w:r>
      <w:r>
        <w:rPr>
          <w:rFonts w:ascii="Arial" w:cs="Arial" w:eastAsia="Arial" w:hAnsi="Arial"/>
          <w:sz w:val="22"/>
          <w:szCs w:val="22"/>
          <w:color w:val="auto"/>
        </w:rPr>
        <w:t>. The Company may terminate this Agreement and the Executive’s employment by the Company upon notice to the Executive (or Executive’s personal representative):</w:t>
      </w:r>
    </w:p>
    <w:p>
      <w:pPr>
        <w:spacing w:after="0" w:line="174" w:lineRule="exact"/>
        <w:rPr>
          <w:rFonts w:ascii="Arial" w:cs="Arial" w:eastAsia="Arial" w:hAnsi="Arial"/>
          <w:sz w:val="22"/>
          <w:szCs w:val="22"/>
          <w:color w:val="auto"/>
        </w:rPr>
      </w:pPr>
    </w:p>
    <w:p>
      <w:pPr>
        <w:ind w:left="3460" w:hanging="860"/>
        <w:spacing w:after="0"/>
        <w:tabs>
          <w:tab w:leader="none" w:pos="3460" w:val="left"/>
        </w:tabs>
        <w:numPr>
          <w:ilvl w:val="2"/>
          <w:numId w:val="26"/>
        </w:numPr>
        <w:rPr>
          <w:rFonts w:ascii="Arial" w:cs="Arial" w:eastAsia="Arial" w:hAnsi="Arial"/>
          <w:sz w:val="22"/>
          <w:szCs w:val="22"/>
          <w:color w:val="auto"/>
        </w:rPr>
      </w:pPr>
      <w:r>
        <w:rPr>
          <w:rFonts w:ascii="Arial" w:cs="Arial" w:eastAsia="Arial" w:hAnsi="Arial"/>
          <w:sz w:val="22"/>
          <w:szCs w:val="22"/>
          <w:color w:val="auto"/>
        </w:rPr>
        <w:t>at any time and for any reason;</w:t>
      </w:r>
    </w:p>
    <w:p>
      <w:pPr>
        <w:spacing w:after="0" w:line="206" w:lineRule="exact"/>
        <w:rPr>
          <w:rFonts w:ascii="Arial" w:cs="Arial" w:eastAsia="Arial" w:hAnsi="Arial"/>
          <w:sz w:val="22"/>
          <w:szCs w:val="22"/>
          <w:color w:val="auto"/>
        </w:rPr>
      </w:pPr>
    </w:p>
    <w:p>
      <w:pPr>
        <w:jc w:val="both"/>
        <w:ind w:firstLine="2600"/>
        <w:spacing w:after="0"/>
        <w:tabs>
          <w:tab w:leader="none" w:pos="3493" w:val="left"/>
        </w:tabs>
        <w:numPr>
          <w:ilvl w:val="2"/>
          <w:numId w:val="26"/>
        </w:numPr>
        <w:rPr>
          <w:rFonts w:ascii="Arial" w:cs="Arial" w:eastAsia="Arial" w:hAnsi="Arial"/>
          <w:sz w:val="22"/>
          <w:szCs w:val="22"/>
          <w:color w:val="auto"/>
        </w:rPr>
      </w:pPr>
      <w:r>
        <w:rPr>
          <w:rFonts w:ascii="Arial" w:cs="Arial" w:eastAsia="Arial" w:hAnsi="Arial"/>
          <w:sz w:val="22"/>
          <w:szCs w:val="22"/>
          <w:color w:val="auto"/>
        </w:rPr>
        <w:t>upon the death of the Executive, in which case this Agreement shall terminate immediately; provided that, such termination shall not prejudice any benefits payable to the Executive’s spouse or beneficiaries which are fully vested as of the date of death;</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H#628229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41" w:name="page42"/>
    <w:bookmarkEnd w:id="41"/>
    <w:p>
      <w:pPr>
        <w:jc w:val="both"/>
        <w:ind w:firstLine="2600"/>
        <w:spacing w:after="0" w:line="269" w:lineRule="auto"/>
        <w:tabs>
          <w:tab w:leader="none" w:pos="3550" w:val="left"/>
        </w:tabs>
        <w:numPr>
          <w:ilvl w:val="1"/>
          <w:numId w:val="27"/>
        </w:numPr>
        <w:rPr>
          <w:rFonts w:ascii="Arial" w:cs="Arial" w:eastAsia="Arial" w:hAnsi="Arial"/>
          <w:sz w:val="19"/>
          <w:szCs w:val="19"/>
          <w:color w:val="auto"/>
        </w:rPr>
      </w:pPr>
      <w:r>
        <w:rPr>
          <w:rFonts w:ascii="Arial" w:cs="Arial" w:eastAsia="Arial" w:hAnsi="Arial"/>
          <w:sz w:val="19"/>
          <w:szCs w:val="19"/>
          <w:color w:val="auto"/>
        </w:rPr>
        <w:t>if the Executive is “permanently disabled” (as defined herein), in which case this Agreement shall terminate immediately; provided that, such termination shall not prejudice any benefits payable to the Executive, the Executive’s spouse or beneficiaries which are fully vested as of the date of the termination of this Agreement. For purposes of this Agreement, the Executive shall be considered “</w:t>
      </w:r>
      <w:r>
        <w:rPr>
          <w:rFonts w:ascii="Arial" w:cs="Arial" w:eastAsia="Arial" w:hAnsi="Arial"/>
          <w:sz w:val="19"/>
          <w:szCs w:val="19"/>
          <w:b w:val="1"/>
          <w:bCs w:val="1"/>
          <w:color w:val="auto"/>
        </w:rPr>
        <w:t>permanently disabled</w:t>
      </w:r>
      <w:r>
        <w:rPr>
          <w:rFonts w:ascii="Arial" w:cs="Arial" w:eastAsia="Arial" w:hAnsi="Arial"/>
          <w:sz w:val="19"/>
          <w:szCs w:val="19"/>
          <w:color w:val="auto"/>
        </w:rPr>
        <w:t>” when a qualified medical doctor mutually acceptable to the Company and the Executive or the Executive’s personal representative shall have certified in writing that: (A) the Executive is unable, because of a medically determinable physical or mental disability, to perform substantially all of the Executive’s duties, with or without a reasonable accommodation, for more than one hundred and eighty (180) calendar days measured from the last full day of work; or (B) by reason of mental or physical disability, it is unlikely that the Executive will be able, within one hundred and eighty</w:t>
      </w:r>
    </w:p>
    <w:p>
      <w:pPr>
        <w:spacing w:after="0" w:line="2" w:lineRule="exact"/>
        <w:rPr>
          <w:rFonts w:ascii="Arial" w:cs="Arial" w:eastAsia="Arial" w:hAnsi="Arial"/>
          <w:sz w:val="19"/>
          <w:szCs w:val="19"/>
          <w:color w:val="auto"/>
        </w:rPr>
      </w:pPr>
    </w:p>
    <w:p>
      <w:pPr>
        <w:ind w:firstLine="8"/>
        <w:spacing w:after="0" w:line="256" w:lineRule="auto"/>
        <w:tabs>
          <w:tab w:leader="none" w:pos="520" w:val="left"/>
        </w:tabs>
        <w:numPr>
          <w:ilvl w:val="0"/>
          <w:numId w:val="28"/>
        </w:numPr>
        <w:rPr>
          <w:rFonts w:ascii="Arial" w:cs="Arial" w:eastAsia="Arial" w:hAnsi="Arial"/>
          <w:sz w:val="21"/>
          <w:szCs w:val="21"/>
          <w:color w:val="auto"/>
        </w:rPr>
      </w:pPr>
      <w:r>
        <w:rPr>
          <w:rFonts w:ascii="Arial" w:cs="Arial" w:eastAsia="Arial" w:hAnsi="Arial"/>
          <w:sz w:val="21"/>
          <w:szCs w:val="21"/>
          <w:color w:val="auto"/>
        </w:rPr>
        <w:t>calendar days, to resume substantially all business duties and responsibilities in which the Executive was previously engaged and otherwise discharge the Executive’s duties under this Agreement;</w:t>
      </w:r>
    </w:p>
    <w:p>
      <w:pPr>
        <w:spacing w:after="0" w:line="168" w:lineRule="exact"/>
        <w:rPr>
          <w:rFonts w:ascii="Arial" w:cs="Arial" w:eastAsia="Arial" w:hAnsi="Arial"/>
          <w:sz w:val="21"/>
          <w:szCs w:val="21"/>
          <w:color w:val="auto"/>
        </w:rPr>
      </w:pPr>
    </w:p>
    <w:p>
      <w:pPr>
        <w:jc w:val="both"/>
        <w:ind w:firstLine="2600"/>
        <w:spacing w:after="0" w:line="238" w:lineRule="auto"/>
        <w:tabs>
          <w:tab w:leader="none" w:pos="3541" w:val="left"/>
        </w:tabs>
        <w:numPr>
          <w:ilvl w:val="1"/>
          <w:numId w:val="28"/>
        </w:numPr>
        <w:rPr>
          <w:rFonts w:ascii="Arial" w:cs="Arial" w:eastAsia="Arial" w:hAnsi="Arial"/>
          <w:sz w:val="22"/>
          <w:szCs w:val="22"/>
          <w:color w:val="auto"/>
        </w:rPr>
      </w:pPr>
      <w:r>
        <w:rPr>
          <w:rFonts w:ascii="Arial" w:cs="Arial" w:eastAsia="Arial" w:hAnsi="Arial"/>
          <w:sz w:val="22"/>
          <w:szCs w:val="22"/>
          <w:color w:val="auto"/>
        </w:rPr>
        <w:t>upon the liquidation, dissolution or discontinuance of business by the Company in any manner or the filing of any petition by or against the Company under any federal or state bankruptcy or insolvency laws, which petition shall not be dismissed within sixty (60) days after filing; provided that, such termination shall not prejudice the Executive’s rights as a stockholder or a creditor of the Company; or</w:t>
      </w:r>
    </w:p>
    <w:p>
      <w:pPr>
        <w:spacing w:after="0" w:line="178" w:lineRule="exact"/>
        <w:rPr>
          <w:rFonts w:ascii="Arial" w:cs="Arial" w:eastAsia="Arial" w:hAnsi="Arial"/>
          <w:sz w:val="22"/>
          <w:szCs w:val="22"/>
          <w:color w:val="auto"/>
        </w:rPr>
      </w:pPr>
    </w:p>
    <w:p>
      <w:pPr>
        <w:ind w:firstLine="2600"/>
        <w:spacing w:after="0" w:line="256" w:lineRule="auto"/>
        <w:tabs>
          <w:tab w:leader="none" w:pos="3492" w:val="left"/>
        </w:tabs>
        <w:numPr>
          <w:ilvl w:val="1"/>
          <w:numId w:val="28"/>
        </w:numPr>
        <w:rPr>
          <w:rFonts w:ascii="Arial" w:cs="Arial" w:eastAsia="Arial" w:hAnsi="Arial"/>
          <w:sz w:val="22"/>
          <w:szCs w:val="22"/>
          <w:color w:val="auto"/>
        </w:rPr>
      </w:pPr>
      <w:r>
        <w:rPr>
          <w:rFonts w:ascii="Arial" w:cs="Arial" w:eastAsia="Arial" w:hAnsi="Arial"/>
          <w:sz w:val="22"/>
          <w:szCs w:val="22"/>
          <w:color w:val="auto"/>
        </w:rPr>
        <w:t>"for cause" (as defined herein). “</w:t>
      </w:r>
      <w:r>
        <w:rPr>
          <w:rFonts w:ascii="Arial" w:cs="Arial" w:eastAsia="Arial" w:hAnsi="Arial"/>
          <w:sz w:val="22"/>
          <w:szCs w:val="22"/>
          <w:b w:val="1"/>
          <w:bCs w:val="1"/>
          <w:color w:val="auto"/>
        </w:rPr>
        <w:t>For cause</w:t>
      </w:r>
      <w:r>
        <w:rPr>
          <w:rFonts w:ascii="Arial" w:cs="Arial" w:eastAsia="Arial" w:hAnsi="Arial"/>
          <w:sz w:val="22"/>
          <w:szCs w:val="22"/>
          <w:color w:val="auto"/>
        </w:rPr>
        <w:t>” shall be determined by the Board by a majority vote without the participation of the Executive in such vote and shall mean:</w:t>
      </w:r>
    </w:p>
    <w:p>
      <w:pPr>
        <w:spacing w:after="0" w:line="168" w:lineRule="exact"/>
        <w:rPr>
          <w:rFonts w:ascii="Arial" w:cs="Arial" w:eastAsia="Arial" w:hAnsi="Arial"/>
          <w:sz w:val="22"/>
          <w:szCs w:val="22"/>
          <w:color w:val="auto"/>
        </w:rPr>
      </w:pPr>
    </w:p>
    <w:p>
      <w:pPr>
        <w:jc w:val="both"/>
        <w:ind w:firstLine="3464"/>
        <w:spacing w:after="0" w:line="238" w:lineRule="auto"/>
        <w:tabs>
          <w:tab w:leader="none" w:pos="4404" w:val="left"/>
        </w:tabs>
        <w:numPr>
          <w:ilvl w:val="2"/>
          <w:numId w:val="28"/>
        </w:numPr>
        <w:rPr>
          <w:rFonts w:ascii="Arial" w:cs="Arial" w:eastAsia="Arial" w:hAnsi="Arial"/>
          <w:sz w:val="22"/>
          <w:szCs w:val="22"/>
          <w:color w:val="auto"/>
        </w:rPr>
      </w:pPr>
      <w:r>
        <w:rPr>
          <w:rFonts w:ascii="Arial" w:cs="Arial" w:eastAsia="Arial" w:hAnsi="Arial"/>
          <w:sz w:val="22"/>
          <w:szCs w:val="22"/>
          <w:color w:val="auto"/>
        </w:rPr>
        <w:t>Any material breach of the terms of this Agreement by the Executive, or the failure of the Executive to diligently and properly perform the Executive’s duties for the Company or the Executive’s failure to achieve the objectives specified by the CEO or the Board , which breach or failure is not cured within thirty (30) days after written notice thereof;</w:t>
      </w:r>
    </w:p>
    <w:p>
      <w:pPr>
        <w:spacing w:after="0" w:line="184" w:lineRule="exact"/>
        <w:rPr>
          <w:rFonts w:ascii="Arial" w:cs="Arial" w:eastAsia="Arial" w:hAnsi="Arial"/>
          <w:sz w:val="22"/>
          <w:szCs w:val="22"/>
          <w:color w:val="auto"/>
        </w:rPr>
      </w:pPr>
    </w:p>
    <w:p>
      <w:pPr>
        <w:jc w:val="both"/>
        <w:ind w:firstLine="3464"/>
        <w:spacing w:after="0" w:line="257" w:lineRule="auto"/>
        <w:tabs>
          <w:tab w:leader="none" w:pos="4392" w:val="left"/>
        </w:tabs>
        <w:numPr>
          <w:ilvl w:val="2"/>
          <w:numId w:val="28"/>
        </w:numPr>
        <w:rPr>
          <w:rFonts w:ascii="Arial" w:cs="Arial" w:eastAsia="Arial" w:hAnsi="Arial"/>
          <w:sz w:val="21"/>
          <w:szCs w:val="21"/>
          <w:color w:val="auto"/>
        </w:rPr>
      </w:pPr>
      <w:r>
        <w:rPr>
          <w:rFonts w:ascii="Arial" w:cs="Arial" w:eastAsia="Arial" w:hAnsi="Arial"/>
          <w:sz w:val="21"/>
          <w:szCs w:val="21"/>
          <w:color w:val="auto"/>
        </w:rPr>
        <w:t>The Executive’s misappropriation or unauthorized use of the Company’s tangible or intangible property, or breach of the Proprietary Information Agreement (as defined herein) or any other similar agreement regarding confidentiality, intellectual property rights, non-competition or non-solicitation;</w:t>
      </w:r>
    </w:p>
    <w:p>
      <w:pPr>
        <w:spacing w:after="0" w:line="169" w:lineRule="exact"/>
        <w:rPr>
          <w:rFonts w:ascii="Arial" w:cs="Arial" w:eastAsia="Arial" w:hAnsi="Arial"/>
          <w:sz w:val="21"/>
          <w:szCs w:val="21"/>
          <w:color w:val="auto"/>
        </w:rPr>
      </w:pPr>
    </w:p>
    <w:p>
      <w:pPr>
        <w:jc w:val="both"/>
        <w:ind w:firstLine="3464"/>
        <w:spacing w:after="0" w:line="252" w:lineRule="auto"/>
        <w:tabs>
          <w:tab w:leader="none" w:pos="4392" w:val="left"/>
        </w:tabs>
        <w:numPr>
          <w:ilvl w:val="2"/>
          <w:numId w:val="28"/>
        </w:numPr>
        <w:rPr>
          <w:rFonts w:ascii="Arial" w:cs="Arial" w:eastAsia="Arial" w:hAnsi="Arial"/>
          <w:sz w:val="21"/>
          <w:szCs w:val="21"/>
          <w:color w:val="auto"/>
        </w:rPr>
      </w:pPr>
      <w:r>
        <w:rPr>
          <w:rFonts w:ascii="Arial" w:cs="Arial" w:eastAsia="Arial" w:hAnsi="Arial"/>
          <w:sz w:val="21"/>
          <w:szCs w:val="21"/>
          <w:color w:val="auto"/>
        </w:rPr>
        <w:t xml:space="preserve">Any material failure to comply with the Company Policies or any other policies and/or directives of the Board, which failure is not cured within thirty (30) days after written notice thereof;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in the case of failure to comply with Company Policies related to harassment, unlawful discrimination, retaliation or</w:t>
      </w:r>
      <w:r>
        <w:rPr>
          <w:rFonts w:ascii="Arial" w:cs="Arial" w:eastAsia="Arial" w:hAnsi="Arial"/>
          <w:sz w:val="21"/>
          <w:szCs w:val="21"/>
          <w:i w:val="1"/>
          <w:iCs w:val="1"/>
          <w:color w:val="auto"/>
        </w:rPr>
        <w:t xml:space="preserve"> </w:t>
      </w:r>
      <w:r>
        <w:rPr>
          <w:rFonts w:ascii="Arial" w:cs="Arial" w:eastAsia="Arial" w:hAnsi="Arial"/>
          <w:sz w:val="21"/>
          <w:szCs w:val="21"/>
          <w:color w:val="auto"/>
        </w:rPr>
        <w:t>workplace violence a thirty (30) day cure period and written notice thereof is not required;</w:t>
      </w:r>
    </w:p>
    <w:p>
      <w:pPr>
        <w:spacing w:after="0" w:line="173" w:lineRule="exact"/>
        <w:rPr>
          <w:rFonts w:ascii="Arial" w:cs="Arial" w:eastAsia="Arial" w:hAnsi="Arial"/>
          <w:sz w:val="21"/>
          <w:szCs w:val="21"/>
          <w:color w:val="auto"/>
        </w:rPr>
      </w:pPr>
    </w:p>
    <w:p>
      <w:pPr>
        <w:jc w:val="both"/>
        <w:ind w:firstLine="3464"/>
        <w:spacing w:after="0"/>
        <w:tabs>
          <w:tab w:leader="none" w:pos="4404" w:val="left"/>
        </w:tabs>
        <w:numPr>
          <w:ilvl w:val="2"/>
          <w:numId w:val="28"/>
        </w:numPr>
        <w:rPr>
          <w:rFonts w:ascii="Arial" w:cs="Arial" w:eastAsia="Arial" w:hAnsi="Arial"/>
          <w:sz w:val="22"/>
          <w:szCs w:val="22"/>
          <w:color w:val="auto"/>
        </w:rPr>
      </w:pPr>
      <w:r>
        <w:rPr>
          <w:rFonts w:ascii="Arial" w:cs="Arial" w:eastAsia="Arial" w:hAnsi="Arial"/>
          <w:sz w:val="22"/>
          <w:szCs w:val="22"/>
          <w:color w:val="auto"/>
        </w:rPr>
        <w:t>The Executive’s use of illegal drugs or any illegal substance, or the Executive’s use of alcohol in any manner that materially interferes with the performance of the Executive’s duties under this Agreement;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H#628229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42" w:name="page43"/>
    <w:bookmarkEnd w:id="42"/>
    <w:p>
      <w:pPr>
        <w:jc w:val="both"/>
        <w:ind w:firstLine="3464"/>
        <w:spacing w:after="0"/>
        <w:tabs>
          <w:tab w:leader="none" w:pos="4380" w:val="left"/>
        </w:tabs>
        <w:numPr>
          <w:ilvl w:val="2"/>
          <w:numId w:val="29"/>
        </w:numPr>
        <w:rPr>
          <w:rFonts w:ascii="Arial" w:cs="Arial" w:eastAsia="Arial" w:hAnsi="Arial"/>
          <w:sz w:val="22"/>
          <w:szCs w:val="22"/>
          <w:color w:val="auto"/>
        </w:rPr>
      </w:pPr>
      <w:r>
        <w:rPr>
          <w:rFonts w:ascii="Arial" w:cs="Arial" w:eastAsia="Arial" w:hAnsi="Arial"/>
          <w:sz w:val="22"/>
          <w:szCs w:val="22"/>
          <w:color w:val="auto"/>
        </w:rPr>
        <w:t>Any dishonest or illegal action (including, without limitation, embezzlement) or any other action whether or not dishonest or illegal by the Executive which is materially detrimental to the interest and well-being of the Company, including, without limitation, harm to its reputation;</w:t>
      </w:r>
    </w:p>
    <w:p>
      <w:pPr>
        <w:spacing w:after="0" w:line="186" w:lineRule="exact"/>
        <w:rPr>
          <w:rFonts w:ascii="Arial" w:cs="Arial" w:eastAsia="Arial" w:hAnsi="Arial"/>
          <w:sz w:val="22"/>
          <w:szCs w:val="22"/>
          <w:color w:val="auto"/>
        </w:rPr>
      </w:pPr>
    </w:p>
    <w:p>
      <w:pPr>
        <w:jc w:val="both"/>
        <w:ind w:firstLine="3464"/>
        <w:spacing w:after="0"/>
        <w:tabs>
          <w:tab w:leader="none" w:pos="4368" w:val="left"/>
        </w:tabs>
        <w:numPr>
          <w:ilvl w:val="2"/>
          <w:numId w:val="29"/>
        </w:numPr>
        <w:rPr>
          <w:rFonts w:ascii="Arial" w:cs="Arial" w:eastAsia="Arial" w:hAnsi="Arial"/>
          <w:sz w:val="22"/>
          <w:szCs w:val="22"/>
          <w:color w:val="auto"/>
        </w:rPr>
      </w:pPr>
      <w:r>
        <w:rPr>
          <w:rFonts w:ascii="Arial" w:cs="Arial" w:eastAsia="Arial" w:hAnsi="Arial"/>
          <w:sz w:val="22"/>
          <w:szCs w:val="22"/>
          <w:color w:val="auto"/>
        </w:rPr>
        <w:t>The Executive’s failure to fully disclose any material conflict of interest that the Executive may have with the Company in a transaction between the Company and any third party which is materially detrimental to the interest and well-being of the Company; or</w:t>
      </w:r>
    </w:p>
    <w:p>
      <w:pPr>
        <w:spacing w:after="0" w:line="186" w:lineRule="exact"/>
        <w:rPr>
          <w:rFonts w:ascii="Arial" w:cs="Arial" w:eastAsia="Arial" w:hAnsi="Arial"/>
          <w:sz w:val="22"/>
          <w:szCs w:val="22"/>
          <w:color w:val="auto"/>
        </w:rPr>
      </w:pPr>
    </w:p>
    <w:p>
      <w:pPr>
        <w:jc w:val="both"/>
        <w:ind w:firstLine="3464"/>
        <w:spacing w:after="0" w:line="238" w:lineRule="auto"/>
        <w:tabs>
          <w:tab w:leader="none" w:pos="4404" w:val="left"/>
        </w:tabs>
        <w:numPr>
          <w:ilvl w:val="2"/>
          <w:numId w:val="29"/>
        </w:numPr>
        <w:rPr>
          <w:rFonts w:ascii="Arial" w:cs="Arial" w:eastAsia="Arial" w:hAnsi="Arial"/>
          <w:sz w:val="22"/>
          <w:szCs w:val="22"/>
          <w:color w:val="auto"/>
        </w:rPr>
      </w:pPr>
      <w:r>
        <w:rPr>
          <w:rFonts w:ascii="Arial" w:cs="Arial" w:eastAsia="Arial" w:hAnsi="Arial"/>
          <w:sz w:val="22"/>
          <w:szCs w:val="22"/>
          <w:color w:val="auto"/>
        </w:rPr>
        <w:t>Any adverse action or omission by the Executive which would be required to be disclosed pursuant to public securities laws or which would limit the ability of the Company or any entity affiliated with the Company to sell securities under any Federal or state law or which would disqualify the Company or any affiliated entity from any exemption otherwise available to it.</w:t>
      </w:r>
    </w:p>
    <w:p>
      <w:pPr>
        <w:spacing w:after="0" w:line="184" w:lineRule="exact"/>
        <w:rPr>
          <w:rFonts w:ascii="Arial" w:cs="Arial" w:eastAsia="Arial" w:hAnsi="Arial"/>
          <w:sz w:val="22"/>
          <w:szCs w:val="22"/>
          <w:color w:val="auto"/>
        </w:rPr>
      </w:pPr>
    </w:p>
    <w:p>
      <w:pPr>
        <w:ind w:left="2620" w:hanging="885"/>
        <w:spacing w:after="0"/>
        <w:tabs>
          <w:tab w:leader="none" w:pos="2620"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Obligations of the Company Upon Termination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2600"/>
        <w:spacing w:after="0" w:line="279" w:lineRule="auto"/>
        <w:tabs>
          <w:tab w:leader="none" w:pos="3436" w:val="left"/>
        </w:tabs>
        <w:numPr>
          <w:ilvl w:val="1"/>
          <w:numId w:val="30"/>
        </w:numPr>
        <w:rPr>
          <w:rFonts w:ascii="Arial" w:cs="Arial" w:eastAsia="Arial" w:hAnsi="Arial"/>
          <w:sz w:val="19"/>
          <w:szCs w:val="19"/>
          <w:color w:val="auto"/>
        </w:rPr>
      </w:pPr>
      <w:r>
        <w:rPr>
          <w:rFonts w:ascii="Arial" w:cs="Arial" w:eastAsia="Arial" w:hAnsi="Arial"/>
          <w:sz w:val="19"/>
          <w:szCs w:val="19"/>
          <w:color w:val="auto"/>
        </w:rPr>
        <w:t>Upon the termination of this Agreement: (A) pursuant to the expiration of the Term upon notice of non-renewal of the Term given by the Executive; (B) by the Executive pursuant to paragraph 5(b)(ii); or (C) by the Company pursuant to paragraph 5(c)(ii), (iii), (iv), or (v), the Company shall have no further obligations hereunder other than the payment of all compensation and other benefits payable to the Executive through the date of such termination which shall be paid on or before the Company’s next regularly scheduled payday unless such amount is not then-calculable, in which case payment shall be made on the first regularly scheduled payday after the amount is calculable.</w:t>
      </w:r>
    </w:p>
    <w:p>
      <w:pPr>
        <w:spacing w:after="0" w:line="150" w:lineRule="exact"/>
        <w:rPr>
          <w:rFonts w:ascii="Arial" w:cs="Arial" w:eastAsia="Arial" w:hAnsi="Arial"/>
          <w:sz w:val="19"/>
          <w:szCs w:val="19"/>
          <w:color w:val="auto"/>
        </w:rPr>
      </w:pPr>
    </w:p>
    <w:p>
      <w:pPr>
        <w:jc w:val="both"/>
        <w:ind w:firstLine="2600"/>
        <w:spacing w:after="0" w:line="246" w:lineRule="auto"/>
        <w:tabs>
          <w:tab w:leader="none" w:pos="3493" w:val="left"/>
        </w:tabs>
        <w:numPr>
          <w:ilvl w:val="1"/>
          <w:numId w:val="30"/>
        </w:numPr>
        <w:rPr>
          <w:rFonts w:ascii="Arial" w:cs="Arial" w:eastAsia="Arial" w:hAnsi="Arial"/>
          <w:sz w:val="21"/>
          <w:szCs w:val="21"/>
          <w:color w:val="auto"/>
        </w:rPr>
      </w:pPr>
      <w:r>
        <w:rPr>
          <w:rFonts w:ascii="Arial" w:cs="Arial" w:eastAsia="Arial" w:hAnsi="Arial"/>
          <w:sz w:val="21"/>
          <w:szCs w:val="21"/>
          <w:color w:val="auto"/>
        </w:rPr>
        <w:t>Upon termination of this Agreement: Except as provided for in Section 5(d)(iii) in the case of a Termination of this Agreement in Connection with a “</w:t>
      </w:r>
      <w:r>
        <w:rPr>
          <w:rFonts w:ascii="Arial" w:cs="Arial" w:eastAsia="Arial" w:hAnsi="Arial"/>
          <w:sz w:val="21"/>
          <w:szCs w:val="21"/>
          <w:b w:val="1"/>
          <w:bCs w:val="1"/>
          <w:color w:val="auto"/>
        </w:rPr>
        <w:t>Change in Control</w:t>
      </w:r>
      <w:r>
        <w:rPr>
          <w:rFonts w:ascii="Arial" w:cs="Arial" w:eastAsia="Arial" w:hAnsi="Arial"/>
          <w:sz w:val="21"/>
          <w:szCs w:val="21"/>
          <w:color w:val="auto"/>
        </w:rPr>
        <w:t>” or “</w:t>
      </w:r>
      <w:r>
        <w:rPr>
          <w:rFonts w:ascii="Arial" w:cs="Arial" w:eastAsia="Arial" w:hAnsi="Arial"/>
          <w:sz w:val="21"/>
          <w:szCs w:val="21"/>
          <w:b w:val="1"/>
          <w:bCs w:val="1"/>
          <w:color w:val="auto"/>
        </w:rPr>
        <w:t>Corporate Transaction</w:t>
      </w:r>
      <w:r>
        <w:rPr>
          <w:rFonts w:ascii="Arial" w:cs="Arial" w:eastAsia="Arial" w:hAnsi="Arial"/>
          <w:sz w:val="21"/>
          <w:szCs w:val="21"/>
          <w:color w:val="auto"/>
        </w:rPr>
        <w:t>” (as each such term is defined in the Clearside Biomedical, Inc. 2016 Stock Incentive Plan, as amended from time to time): (A) by the Executive pursuant to paragraph 5(b)(i), or (B) by the Company pursuant to paragraph 5(c)(i) or upon notice of non-renewal of the Term given by the Company and, in any such case, provided that the Executive first executes and does not revoke a release and settlement agreement in the form acceptable to the Company within the time period then-specified by the Company but in any event no later than sixty (60) days after the date of termination (the “</w:t>
      </w:r>
      <w:r>
        <w:rPr>
          <w:rFonts w:ascii="Arial" w:cs="Arial" w:eastAsia="Arial" w:hAnsi="Arial"/>
          <w:sz w:val="21"/>
          <w:szCs w:val="21"/>
          <w:b w:val="1"/>
          <w:bCs w:val="1"/>
          <w:color w:val="auto"/>
        </w:rPr>
        <w:t>Release</w:t>
      </w:r>
      <w:r>
        <w:rPr>
          <w:rFonts w:ascii="Arial" w:cs="Arial" w:eastAsia="Arial" w:hAnsi="Arial"/>
          <w:sz w:val="21"/>
          <w:szCs w:val="21"/>
          <w:color w:val="auto"/>
        </w:rPr>
        <w:t>”):</w:t>
      </w:r>
    </w:p>
    <w:p>
      <w:pPr>
        <w:spacing w:after="0" w:line="184" w:lineRule="exact"/>
        <w:rPr>
          <w:sz w:val="20"/>
          <w:szCs w:val="20"/>
          <w:color w:val="auto"/>
        </w:rPr>
      </w:pPr>
    </w:p>
    <w:p>
      <w:pPr>
        <w:jc w:val="both"/>
        <w:ind w:firstLine="3464"/>
        <w:spacing w:after="0" w:line="252" w:lineRule="auto"/>
        <w:tabs>
          <w:tab w:leader="none" w:pos="4466" w:val="left"/>
        </w:tabs>
        <w:numPr>
          <w:ilvl w:val="0"/>
          <w:numId w:val="31"/>
        </w:numPr>
        <w:rPr>
          <w:rFonts w:ascii="Arial" w:cs="Arial" w:eastAsia="Arial" w:hAnsi="Arial"/>
          <w:sz w:val="21"/>
          <w:szCs w:val="21"/>
          <w:color w:val="auto"/>
        </w:rPr>
      </w:pPr>
      <w:r>
        <w:rPr>
          <w:rFonts w:ascii="Arial" w:cs="Arial" w:eastAsia="Arial" w:hAnsi="Arial"/>
          <w:sz w:val="21"/>
          <w:szCs w:val="21"/>
          <w:color w:val="auto"/>
        </w:rPr>
        <w:t>the Company shall pay the Executive an amount equal to 12 months of Executive’s then-current Base Salary (less all applicable deductions) payable in installments in accordance with the then-current generally applicable payroll schedule of the Company commencing on the first regularly scheduled pay date of the Company processed after Executive has executed, delivered to the Company and not revoked the Release;</w:t>
      </w:r>
    </w:p>
    <w:p>
      <w:pPr>
        <w:spacing w:after="0" w:line="173" w:lineRule="exact"/>
        <w:rPr>
          <w:rFonts w:ascii="Arial" w:cs="Arial" w:eastAsia="Arial" w:hAnsi="Arial"/>
          <w:sz w:val="21"/>
          <w:szCs w:val="21"/>
          <w:color w:val="auto"/>
        </w:rPr>
      </w:pPr>
    </w:p>
    <w:p>
      <w:pPr>
        <w:jc w:val="both"/>
        <w:ind w:firstLine="3464"/>
        <w:spacing w:after="0"/>
        <w:tabs>
          <w:tab w:leader="none" w:pos="4348" w:val="left"/>
        </w:tabs>
        <w:numPr>
          <w:ilvl w:val="0"/>
          <w:numId w:val="31"/>
        </w:numPr>
        <w:rPr>
          <w:rFonts w:ascii="Arial" w:cs="Arial" w:eastAsia="Arial" w:hAnsi="Arial"/>
          <w:sz w:val="22"/>
          <w:szCs w:val="22"/>
          <w:color w:val="auto"/>
        </w:rPr>
      </w:pPr>
      <w:r>
        <w:rPr>
          <w:rFonts w:ascii="Arial" w:cs="Arial" w:eastAsia="Arial" w:hAnsi="Arial"/>
          <w:sz w:val="22"/>
          <w:szCs w:val="22"/>
          <w:color w:val="auto"/>
        </w:rPr>
        <w:t>provided that the Executive has been employed for at least six (6) months during the calendar year of the termination of this Agreement, the Company shall pay the Executive an amount equal to the prorated portion (based on the number of days of the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H#628229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43" w:name="page44"/>
    <w:bookmarkEnd w:id="43"/>
    <w:p>
      <w:pPr>
        <w:jc w:val="both"/>
        <w:spacing w:after="0" w:line="277" w:lineRule="auto"/>
        <w:rPr>
          <w:sz w:val="20"/>
          <w:szCs w:val="20"/>
          <w:color w:val="auto"/>
        </w:rPr>
      </w:pPr>
      <w:r>
        <w:rPr>
          <w:rFonts w:ascii="Arial" w:cs="Arial" w:eastAsia="Arial" w:hAnsi="Arial"/>
          <w:sz w:val="19"/>
          <w:szCs w:val="19"/>
          <w:color w:val="auto"/>
        </w:rPr>
        <w:t>Executive’s employment during the year of termination) of the portion of the Target Bonus the Executive would have earned under Section 4(b) for the applicable calendar year (less all applicable deductions), payable in a lump sum on the first payroll cycle following January 1 of the year following the year in which this Agreement is terminated. For illustration, if the Executive’s employment is terminated as of September 30 of a year and the Compensation Committee determines that the Executive would be eligible for 70% of the Target Bonus based on the Committee’s assessment of individual and corporate performance during the year of termination, then the amount payable under this paragraph would be the amount determined by multiplying 75% (i.e., a pro ration reflecting ¾ of the year) by 70% of the Target Bonus for such year;</w:t>
      </w:r>
    </w:p>
    <w:p>
      <w:pPr>
        <w:spacing w:after="0" w:line="152" w:lineRule="exact"/>
        <w:rPr>
          <w:sz w:val="20"/>
          <w:szCs w:val="20"/>
          <w:color w:val="auto"/>
        </w:rPr>
      </w:pPr>
    </w:p>
    <w:p>
      <w:pPr>
        <w:jc w:val="both"/>
        <w:ind w:firstLine="3464"/>
        <w:spacing w:after="0" w:line="235" w:lineRule="auto"/>
        <w:tabs>
          <w:tab w:leader="none" w:pos="4348" w:val="left"/>
        </w:tabs>
        <w:numPr>
          <w:ilvl w:val="1"/>
          <w:numId w:val="32"/>
        </w:numPr>
        <w:rPr>
          <w:rFonts w:ascii="Arial" w:cs="Arial" w:eastAsia="Arial" w:hAnsi="Arial"/>
          <w:sz w:val="22"/>
          <w:szCs w:val="22"/>
          <w:color w:val="auto"/>
        </w:rPr>
      </w:pPr>
      <w:r>
        <w:rPr>
          <w:rFonts w:ascii="Arial" w:cs="Arial" w:eastAsia="Arial" w:hAnsi="Arial"/>
          <w:sz w:val="22"/>
          <w:szCs w:val="22"/>
          <w:color w:val="auto"/>
        </w:rPr>
        <w:t>provided that the Executive properly elects and maintains continued health insurance coverage under the Company sponsored plan and provided further that such benefits continue to be offered under the Company sponsored plan, the Company shall reimburse the Executive in an amount equal to the cost of the premium for such continued health insurance coverage at the same average level and on the same terms and conditions which applied immediately prior to the date of the Executive’s termination for the shorter of (a) 12 months from the date of termination or (b) until the Executive obtains reasonably comparable coverage; and</w:t>
      </w:r>
    </w:p>
    <w:p>
      <w:pPr>
        <w:spacing w:after="0" w:line="187" w:lineRule="exact"/>
        <w:rPr>
          <w:rFonts w:ascii="Arial" w:cs="Arial" w:eastAsia="Arial" w:hAnsi="Arial"/>
          <w:sz w:val="22"/>
          <w:szCs w:val="22"/>
          <w:color w:val="auto"/>
        </w:rPr>
      </w:pPr>
    </w:p>
    <w:p>
      <w:pPr>
        <w:jc w:val="both"/>
        <w:ind w:firstLine="3464"/>
        <w:spacing w:after="0" w:line="252" w:lineRule="auto"/>
        <w:tabs>
          <w:tab w:leader="none" w:pos="4348" w:val="left"/>
        </w:tabs>
        <w:numPr>
          <w:ilvl w:val="1"/>
          <w:numId w:val="32"/>
        </w:numPr>
        <w:rPr>
          <w:rFonts w:ascii="Arial" w:cs="Arial" w:eastAsia="Arial" w:hAnsi="Arial"/>
          <w:sz w:val="21"/>
          <w:szCs w:val="21"/>
          <w:color w:val="auto"/>
        </w:rPr>
      </w:pPr>
      <w:r>
        <w:rPr>
          <w:rFonts w:ascii="Arial" w:cs="Arial" w:eastAsia="Arial" w:hAnsi="Arial"/>
          <w:sz w:val="21"/>
          <w:szCs w:val="21"/>
          <w:color w:val="auto"/>
        </w:rPr>
        <w:t>each Equity Award held by Executive shall immediately vest and be exercisable to the extent such Equity Award would have vested had Executive remained employed by the Company for a period of 12 months from the date of termination of this Agreement. The Company and the Executive hereby agree that the Equity Awards shall be deemed amended to the extent necessary to give effect to this provision.</w:t>
      </w:r>
    </w:p>
    <w:p>
      <w:pPr>
        <w:spacing w:after="0" w:line="173" w:lineRule="exact"/>
        <w:rPr>
          <w:rFonts w:ascii="Arial" w:cs="Arial" w:eastAsia="Arial" w:hAnsi="Arial"/>
          <w:sz w:val="21"/>
          <w:szCs w:val="21"/>
          <w:color w:val="auto"/>
        </w:rPr>
      </w:pPr>
    </w:p>
    <w:p>
      <w:pPr>
        <w:jc w:val="both"/>
        <w:ind w:firstLine="2600"/>
        <w:spacing w:after="0" w:line="238" w:lineRule="auto"/>
        <w:tabs>
          <w:tab w:leader="none" w:pos="3550" w:val="left"/>
        </w:tabs>
        <w:numPr>
          <w:ilvl w:val="0"/>
          <w:numId w:val="33"/>
        </w:numPr>
        <w:rPr>
          <w:rFonts w:ascii="Arial" w:cs="Arial" w:eastAsia="Arial" w:hAnsi="Arial"/>
          <w:sz w:val="22"/>
          <w:szCs w:val="22"/>
          <w:color w:val="auto"/>
        </w:rPr>
      </w:pPr>
      <w:r>
        <w:rPr>
          <w:rFonts w:ascii="Arial" w:cs="Arial" w:eastAsia="Arial" w:hAnsi="Arial"/>
          <w:sz w:val="22"/>
          <w:szCs w:val="22"/>
          <w:color w:val="auto"/>
        </w:rPr>
        <w:t>Upon termination of this Agreement within twelve months following a Change in Control or Corporate Transaction: (A) by the Executive pursuant to paragraph 5(b)(i), or (B) by the Company pursuant to paragraph 5(c)(i) or upon notice of non-renewal of the Term given by the Company in any such case, Executive shall be entitled to the following severance benefits, subject to execution of the Release:</w:t>
      </w:r>
    </w:p>
    <w:p>
      <w:pPr>
        <w:spacing w:after="0" w:line="184" w:lineRule="exact"/>
        <w:rPr>
          <w:rFonts w:ascii="Arial" w:cs="Arial" w:eastAsia="Arial" w:hAnsi="Arial"/>
          <w:sz w:val="22"/>
          <w:szCs w:val="22"/>
          <w:color w:val="auto"/>
        </w:rPr>
      </w:pPr>
    </w:p>
    <w:p>
      <w:pPr>
        <w:jc w:val="both"/>
        <w:ind w:firstLine="3464"/>
        <w:spacing w:after="0" w:line="238" w:lineRule="auto"/>
        <w:tabs>
          <w:tab w:leader="none" w:pos="4348" w:val="left"/>
        </w:tabs>
        <w:numPr>
          <w:ilvl w:val="1"/>
          <w:numId w:val="33"/>
        </w:numPr>
        <w:rPr>
          <w:rFonts w:ascii="Arial" w:cs="Arial" w:eastAsia="Arial" w:hAnsi="Arial"/>
          <w:sz w:val="22"/>
          <w:szCs w:val="22"/>
          <w:color w:val="auto"/>
        </w:rPr>
      </w:pPr>
      <w:r>
        <w:rPr>
          <w:rFonts w:ascii="Arial" w:cs="Arial" w:eastAsia="Arial" w:hAnsi="Arial"/>
          <w:sz w:val="22"/>
          <w:szCs w:val="22"/>
          <w:color w:val="auto"/>
        </w:rPr>
        <w:t>the Company shall pay the Executive an amount equal to eighteen (18) months of Executive’s then-current Base Salary (less all applicable deductions) payable in a lump sum payment on the first regularly scheduled pay date of the Company processed after the Executive has executed and delivered to the Company the Release and any revocation period has expired;</w:t>
      </w:r>
    </w:p>
    <w:p>
      <w:pPr>
        <w:spacing w:after="0" w:line="184" w:lineRule="exact"/>
        <w:rPr>
          <w:rFonts w:ascii="Arial" w:cs="Arial" w:eastAsia="Arial" w:hAnsi="Arial"/>
          <w:sz w:val="22"/>
          <w:szCs w:val="22"/>
          <w:color w:val="auto"/>
        </w:rPr>
      </w:pPr>
    </w:p>
    <w:p>
      <w:pPr>
        <w:jc w:val="both"/>
        <w:ind w:firstLine="3464"/>
        <w:spacing w:after="0" w:line="238" w:lineRule="auto"/>
        <w:tabs>
          <w:tab w:leader="none" w:pos="4348" w:val="left"/>
        </w:tabs>
        <w:numPr>
          <w:ilvl w:val="1"/>
          <w:numId w:val="33"/>
        </w:numPr>
        <w:rPr>
          <w:rFonts w:ascii="Arial" w:cs="Arial" w:eastAsia="Arial" w:hAnsi="Arial"/>
          <w:sz w:val="22"/>
          <w:szCs w:val="22"/>
          <w:color w:val="auto"/>
        </w:rPr>
      </w:pPr>
      <w:r>
        <w:rPr>
          <w:rFonts w:ascii="Arial" w:cs="Arial" w:eastAsia="Arial" w:hAnsi="Arial"/>
          <w:sz w:val="22"/>
          <w:szCs w:val="22"/>
          <w:color w:val="auto"/>
        </w:rPr>
        <w:t>the Company shall pay the Executive an amount equal to one and one half (1.5) times the Executive’s Target Bonus amount (less all applicable deductions) payable in a lump sum payment on the first regularly scheduled pay date of the Company processed after Executive has executed and delivered to the Company the Release and any revocation period has expired;</w:t>
      </w:r>
    </w:p>
    <w:p>
      <w:pPr>
        <w:spacing w:after="0" w:line="184" w:lineRule="exact"/>
        <w:rPr>
          <w:rFonts w:ascii="Arial" w:cs="Arial" w:eastAsia="Arial" w:hAnsi="Arial"/>
          <w:sz w:val="22"/>
          <w:szCs w:val="22"/>
          <w:color w:val="auto"/>
        </w:rPr>
      </w:pPr>
    </w:p>
    <w:p>
      <w:pPr>
        <w:jc w:val="both"/>
        <w:ind w:firstLine="3464"/>
        <w:spacing w:after="0"/>
        <w:tabs>
          <w:tab w:leader="none" w:pos="4348" w:val="left"/>
        </w:tabs>
        <w:numPr>
          <w:ilvl w:val="1"/>
          <w:numId w:val="33"/>
        </w:numPr>
        <w:rPr>
          <w:rFonts w:ascii="Arial" w:cs="Arial" w:eastAsia="Arial" w:hAnsi="Arial"/>
          <w:sz w:val="22"/>
          <w:szCs w:val="22"/>
          <w:color w:val="auto"/>
        </w:rPr>
      </w:pPr>
      <w:r>
        <w:rPr>
          <w:rFonts w:ascii="Arial" w:cs="Arial" w:eastAsia="Arial" w:hAnsi="Arial"/>
          <w:sz w:val="22"/>
          <w:szCs w:val="22"/>
          <w:color w:val="auto"/>
        </w:rPr>
        <w:t>provided that the Executive properly elects and maintains continued health insurance coverage under the Company sponsored plan, the Company shall reimburse the Executive in an amount equal to one hundred percent (100%) of the cost of the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H#628229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44" w:name="page45"/>
    <w:bookmarkEnd w:id="44"/>
    <w:p>
      <w:pPr>
        <w:spacing w:after="0" w:line="292" w:lineRule="auto"/>
        <w:rPr>
          <w:sz w:val="20"/>
          <w:szCs w:val="20"/>
          <w:color w:val="auto"/>
        </w:rPr>
      </w:pPr>
      <w:r>
        <w:rPr>
          <w:rFonts w:ascii="Arial" w:cs="Arial" w:eastAsia="Arial" w:hAnsi="Arial"/>
          <w:sz w:val="18"/>
          <w:szCs w:val="18"/>
          <w:color w:val="auto"/>
        </w:rPr>
        <w:t>premium for such continued health insurance coverage at the same average level and on the same terms and conditions which applied immediately prior to the date of the Executive’s termination for the shorter of (a) eighteen (18) months from the date of termination or</w:t>
      </w:r>
    </w:p>
    <w:p>
      <w:pPr>
        <w:ind w:left="300" w:hanging="292"/>
        <w:spacing w:after="0"/>
        <w:tabs>
          <w:tab w:leader="none" w:pos="300" w:val="left"/>
        </w:tabs>
        <w:numPr>
          <w:ilvl w:val="0"/>
          <w:numId w:val="34"/>
        </w:numPr>
        <w:rPr>
          <w:rFonts w:ascii="Arial" w:cs="Arial" w:eastAsia="Arial" w:hAnsi="Arial"/>
          <w:sz w:val="22"/>
          <w:szCs w:val="22"/>
          <w:color w:val="auto"/>
        </w:rPr>
      </w:pPr>
      <w:r>
        <w:rPr>
          <w:rFonts w:ascii="Arial" w:cs="Arial" w:eastAsia="Arial" w:hAnsi="Arial"/>
          <w:sz w:val="22"/>
          <w:szCs w:val="22"/>
          <w:color w:val="auto"/>
        </w:rPr>
        <w:t>until the Executive obtains reasonably comparable coverage through an employer; and</w:t>
      </w:r>
    </w:p>
    <w:p>
      <w:pPr>
        <w:spacing w:after="0" w:line="188" w:lineRule="exact"/>
        <w:rPr>
          <w:rFonts w:ascii="Arial" w:cs="Arial" w:eastAsia="Arial" w:hAnsi="Arial"/>
          <w:sz w:val="22"/>
          <w:szCs w:val="22"/>
          <w:color w:val="auto"/>
        </w:rPr>
      </w:pPr>
    </w:p>
    <w:p>
      <w:pPr>
        <w:jc w:val="both"/>
        <w:ind w:firstLine="3464"/>
        <w:spacing w:after="0" w:line="297" w:lineRule="auto"/>
        <w:tabs>
          <w:tab w:leader="none" w:pos="4348" w:val="left"/>
        </w:tabs>
        <w:numPr>
          <w:ilvl w:val="3"/>
          <w:numId w:val="34"/>
        </w:numPr>
        <w:rPr>
          <w:rFonts w:ascii="Arial" w:cs="Arial" w:eastAsia="Arial" w:hAnsi="Arial"/>
          <w:sz w:val="19"/>
          <w:szCs w:val="19"/>
          <w:color w:val="auto"/>
        </w:rPr>
      </w:pPr>
      <w:r>
        <w:rPr>
          <w:rFonts w:ascii="Arial" w:cs="Arial" w:eastAsia="Arial" w:hAnsi="Arial"/>
          <w:sz w:val="19"/>
          <w:szCs w:val="19"/>
          <w:color w:val="auto"/>
        </w:rPr>
        <w:t>each Equity Award held by Executive at the time of termination shall immediately vest and be exercisable until the final exercise date set forth in the Equity Award. The Company and the Executive hereby agree that the Equity Awards shall be deemed amended to the extent necessary to give effect to this provision.</w:t>
      </w:r>
    </w:p>
    <w:p>
      <w:pPr>
        <w:spacing w:after="0" w:line="133" w:lineRule="exact"/>
        <w:rPr>
          <w:rFonts w:ascii="Arial" w:cs="Arial" w:eastAsia="Arial" w:hAnsi="Arial"/>
          <w:sz w:val="19"/>
          <w:szCs w:val="19"/>
          <w:color w:val="auto"/>
        </w:rPr>
      </w:pPr>
    </w:p>
    <w:p>
      <w:pPr>
        <w:jc w:val="both"/>
        <w:ind w:firstLine="1735"/>
        <w:spacing w:after="0" w:line="238" w:lineRule="auto"/>
        <w:tabs>
          <w:tab w:leader="none" w:pos="2607" w:val="left"/>
        </w:tabs>
        <w:numPr>
          <w:ilvl w:val="2"/>
          <w:numId w:val="34"/>
        </w:numPr>
        <w:rPr>
          <w:rFonts w:ascii="Arial" w:cs="Arial" w:eastAsia="Arial" w:hAnsi="Arial"/>
          <w:sz w:val="22"/>
          <w:szCs w:val="22"/>
          <w:color w:val="auto"/>
        </w:rPr>
      </w:pPr>
      <w:r>
        <w:rPr>
          <w:rFonts w:ascii="Arial" w:cs="Arial" w:eastAsia="Arial" w:hAnsi="Arial"/>
          <w:sz w:val="22"/>
          <w:szCs w:val="22"/>
          <w:u w:val="single" w:color="auto"/>
          <w:color w:val="auto"/>
        </w:rPr>
        <w:t>Resignation as Officer and Director</w:t>
      </w:r>
      <w:r>
        <w:rPr>
          <w:rFonts w:ascii="Arial" w:cs="Arial" w:eastAsia="Arial" w:hAnsi="Arial"/>
          <w:sz w:val="22"/>
          <w:szCs w:val="22"/>
          <w:color w:val="auto"/>
        </w:rPr>
        <w:t>. Upon termination of this Agreement and the Executive’s employment hereunder for any reason by either party, the Executive shall be deemed to have resigned from all offices and positions the Executive may hold with the Company at such time including without limitation Board membership and/or positions as an officer of the Company.</w:t>
      </w:r>
    </w:p>
    <w:p>
      <w:pPr>
        <w:spacing w:after="0" w:line="184" w:lineRule="exact"/>
        <w:rPr>
          <w:rFonts w:ascii="Arial" w:cs="Arial" w:eastAsia="Arial" w:hAnsi="Arial"/>
          <w:sz w:val="22"/>
          <w:szCs w:val="22"/>
          <w:color w:val="auto"/>
        </w:rPr>
      </w:pPr>
    </w:p>
    <w:p>
      <w:pPr>
        <w:jc w:val="both"/>
        <w:ind w:firstLine="1735"/>
        <w:spacing w:after="0" w:line="275" w:lineRule="auto"/>
        <w:tabs>
          <w:tab w:leader="none" w:pos="2583" w:val="left"/>
        </w:tabs>
        <w:numPr>
          <w:ilvl w:val="2"/>
          <w:numId w:val="34"/>
        </w:numPr>
        <w:rPr>
          <w:rFonts w:ascii="Arial" w:cs="Arial" w:eastAsia="Arial" w:hAnsi="Arial"/>
          <w:sz w:val="19"/>
          <w:szCs w:val="19"/>
          <w:color w:val="auto"/>
        </w:rPr>
      </w:pPr>
      <w:r>
        <w:rPr>
          <w:rFonts w:ascii="Arial" w:cs="Arial" w:eastAsia="Arial" w:hAnsi="Arial"/>
          <w:sz w:val="19"/>
          <w:szCs w:val="19"/>
          <w:u w:val="single" w:color="auto"/>
          <w:color w:val="auto"/>
        </w:rPr>
        <w:t>Payment in Lieu of Notice Period</w:t>
      </w:r>
      <w:r>
        <w:rPr>
          <w:rFonts w:ascii="Arial" w:cs="Arial" w:eastAsia="Arial" w:hAnsi="Arial"/>
          <w:sz w:val="19"/>
          <w:szCs w:val="19"/>
          <w:color w:val="auto"/>
        </w:rPr>
        <w:t>. Upon the termination of this Agreement: (A) pursuant to the expiration of the Term based on a non-renewal notice given by either party in accordance with paragraph 3(b); or (B) by the Executive pursuant to paragraph 5(b)(i) or 5(b)(ii), the Company may, at its sole election, pay the Executive an amount equal to Executive’s then-current Base Salary for all or any portion of the applicable notice period required by paragraph 3(b) or paragraph 5(b)(i) or 5(b)(ii) in lieu of all or any portion of such notice period; provided, however, any such election by the Company shall not be deemed to be a termination by the Company that invokes the obligations set forth in Section 5(d)(ii) of this Agreement. Notwithstanding the above, if the Executive requests that Executive’s final day of employment occur prior to the expiration of any applicable notice period and the Company consents, pay in lieu of notice shall not be required.</w:t>
      </w:r>
    </w:p>
    <w:p>
      <w:pPr>
        <w:spacing w:after="0" w:line="157" w:lineRule="exact"/>
        <w:rPr>
          <w:rFonts w:ascii="Arial" w:cs="Arial" w:eastAsia="Arial" w:hAnsi="Arial"/>
          <w:sz w:val="19"/>
          <w:szCs w:val="19"/>
          <w:color w:val="auto"/>
        </w:rPr>
      </w:pPr>
    </w:p>
    <w:p>
      <w:pPr>
        <w:ind w:left="1680" w:hanging="808"/>
        <w:spacing w:after="0"/>
        <w:tabs>
          <w:tab w:leader="none" w:pos="1680" w:val="left"/>
        </w:tabs>
        <w:numPr>
          <w:ilvl w:val="1"/>
          <w:numId w:val="34"/>
        </w:numPr>
        <w:rPr>
          <w:rFonts w:ascii="Arial" w:cs="Arial" w:eastAsia="Arial" w:hAnsi="Arial"/>
          <w:sz w:val="22"/>
          <w:szCs w:val="22"/>
          <w:color w:val="auto"/>
        </w:rPr>
      </w:pPr>
      <w:r>
        <w:rPr>
          <w:rFonts w:ascii="Arial" w:cs="Arial" w:eastAsia="Arial" w:hAnsi="Arial"/>
          <w:sz w:val="22"/>
          <w:szCs w:val="22"/>
          <w:u w:val="single" w:color="auto"/>
          <w:color w:val="auto"/>
        </w:rPr>
        <w:t>Parachute Payment upon Corporate Transaction.</w:t>
      </w:r>
    </w:p>
    <w:p>
      <w:pPr>
        <w:spacing w:after="0" w:line="206" w:lineRule="exact"/>
        <w:rPr>
          <w:rFonts w:ascii="Arial" w:cs="Arial" w:eastAsia="Arial" w:hAnsi="Arial"/>
          <w:sz w:val="22"/>
          <w:szCs w:val="22"/>
          <w:color w:val="auto"/>
        </w:rPr>
      </w:pPr>
    </w:p>
    <w:p>
      <w:pPr>
        <w:jc w:val="both"/>
        <w:ind w:firstLine="1735"/>
        <w:spacing w:after="0" w:line="272" w:lineRule="auto"/>
        <w:tabs>
          <w:tab w:leader="none" w:pos="2607" w:val="left"/>
        </w:tabs>
        <w:numPr>
          <w:ilvl w:val="2"/>
          <w:numId w:val="35"/>
        </w:numPr>
        <w:rPr>
          <w:rFonts w:ascii="Arial" w:cs="Arial" w:eastAsia="Arial" w:hAnsi="Arial"/>
          <w:sz w:val="19"/>
          <w:szCs w:val="19"/>
          <w:color w:val="auto"/>
        </w:rPr>
      </w:pPr>
      <w:r>
        <w:rPr>
          <w:rFonts w:ascii="Arial" w:cs="Arial" w:eastAsia="Arial" w:hAnsi="Arial"/>
          <w:sz w:val="19"/>
          <w:szCs w:val="19"/>
          <w:color w:val="auto"/>
        </w:rPr>
        <w:t>In the event of a Corporate Transaction which results in a change (i) in the ownership of effective control of the Company, or (ii) in the ownership of a substantial portion of the assets of the corporation (within the meaning of Section 280G of the Code and the regulations thereunder (“</w:t>
      </w:r>
      <w:r>
        <w:rPr>
          <w:rFonts w:ascii="Arial" w:cs="Arial" w:eastAsia="Arial" w:hAnsi="Arial"/>
          <w:sz w:val="19"/>
          <w:szCs w:val="19"/>
          <w:b w:val="1"/>
          <w:bCs w:val="1"/>
          <w:color w:val="auto"/>
        </w:rPr>
        <w:t>Section 280G</w:t>
      </w:r>
      <w:r>
        <w:rPr>
          <w:rFonts w:ascii="Arial" w:cs="Arial" w:eastAsia="Arial" w:hAnsi="Arial"/>
          <w:sz w:val="19"/>
          <w:szCs w:val="19"/>
          <w:color w:val="auto"/>
        </w:rPr>
        <w:t>”)) (a “</w:t>
      </w:r>
      <w:r>
        <w:rPr>
          <w:rFonts w:ascii="Arial" w:cs="Arial" w:eastAsia="Arial" w:hAnsi="Arial"/>
          <w:sz w:val="19"/>
          <w:szCs w:val="19"/>
          <w:b w:val="1"/>
          <w:bCs w:val="1"/>
          <w:color w:val="auto"/>
        </w:rPr>
        <w:t>280G Change in Control</w:t>
      </w:r>
      <w:r>
        <w:rPr>
          <w:rFonts w:ascii="Arial" w:cs="Arial" w:eastAsia="Arial" w:hAnsi="Arial"/>
          <w:sz w:val="19"/>
          <w:szCs w:val="19"/>
          <w:color w:val="auto"/>
        </w:rPr>
        <w:t>”) payments and benefits under this Agreement, together with other payments and benefits provided to Executive by the Company (including, without limitation, any accelerated vesting of stock options) (the “</w:t>
      </w:r>
      <w:r>
        <w:rPr>
          <w:rFonts w:ascii="Arial" w:cs="Arial" w:eastAsia="Arial" w:hAnsi="Arial"/>
          <w:sz w:val="19"/>
          <w:szCs w:val="19"/>
          <w:b w:val="1"/>
          <w:bCs w:val="1"/>
          <w:color w:val="auto"/>
        </w:rPr>
        <w:t>Total Payments</w:t>
      </w:r>
      <w:r>
        <w:rPr>
          <w:rFonts w:ascii="Arial" w:cs="Arial" w:eastAsia="Arial" w:hAnsi="Arial"/>
          <w:sz w:val="19"/>
          <w:szCs w:val="19"/>
          <w:color w:val="auto"/>
        </w:rPr>
        <w:t>”) shall be made in accordance with this Section 6(a). If all or a portion of the Total Payments would constitute an “excess parachute payment” within the meaning of Section 280G (the aggregate of such payments or portions thereof) being hereinafter referred to as the “</w:t>
      </w:r>
      <w:r>
        <w:rPr>
          <w:rFonts w:ascii="Arial" w:cs="Arial" w:eastAsia="Arial" w:hAnsi="Arial"/>
          <w:sz w:val="19"/>
          <w:szCs w:val="19"/>
          <w:b w:val="1"/>
          <w:bCs w:val="1"/>
          <w:color w:val="auto"/>
        </w:rPr>
        <w:t>Excess Parachute Payments</w:t>
      </w:r>
      <w:r>
        <w:rPr>
          <w:rFonts w:ascii="Arial" w:cs="Arial" w:eastAsia="Arial" w:hAnsi="Arial"/>
          <w:sz w:val="19"/>
          <w:szCs w:val="19"/>
          <w:color w:val="auto"/>
        </w:rPr>
        <w:t>”), then the Executive will be entitled to receive: (i) an amount limited so that no portion thereof shall fail to be tax deductible under Section 280G of the Code (the “</w:t>
      </w:r>
      <w:r>
        <w:rPr>
          <w:rFonts w:ascii="Arial" w:cs="Arial" w:eastAsia="Arial" w:hAnsi="Arial"/>
          <w:sz w:val="19"/>
          <w:szCs w:val="19"/>
          <w:b w:val="1"/>
          <w:bCs w:val="1"/>
          <w:color w:val="auto"/>
        </w:rPr>
        <w:t>Limited Amount</w:t>
      </w:r>
      <w:r>
        <w:rPr>
          <w:rFonts w:ascii="Arial" w:cs="Arial" w:eastAsia="Arial" w:hAnsi="Arial"/>
          <w:sz w:val="19"/>
          <w:szCs w:val="19"/>
          <w:color w:val="auto"/>
        </w:rPr>
        <w:t>”), or (ii) if the amount otherwise payable hereunder or otherwise (without regarding to clause (i)) reduced by all taxes applicable thereto (including, for the avoidance of doubt, the federal excise tax levied on certain Excess Parachute Payments under Section 4999 of the Code (the “</w:t>
      </w:r>
      <w:r>
        <w:rPr>
          <w:rFonts w:ascii="Arial" w:cs="Arial" w:eastAsia="Arial" w:hAnsi="Arial"/>
          <w:sz w:val="19"/>
          <w:szCs w:val="19"/>
          <w:b w:val="1"/>
          <w:bCs w:val="1"/>
          <w:color w:val="auto"/>
        </w:rPr>
        <w:t>Excise Tax</w:t>
      </w:r>
      <w:r>
        <w:rPr>
          <w:rFonts w:ascii="Arial" w:cs="Arial" w:eastAsia="Arial" w:hAnsi="Arial"/>
          <w:sz w:val="19"/>
          <w:szCs w:val="19"/>
          <w:color w:val="auto"/>
        </w:rPr>
        <w:t>”)) would be greater than the Limited Amount reduced by all taxes applicable thereto, the amount otherwise payable hereunder.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H#628229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45" w:name="page46"/>
    <w:bookmarkEnd w:id="45"/>
    <w:p>
      <w:pPr>
        <w:jc w:val="both"/>
        <w:ind w:firstLine="1735"/>
        <w:spacing w:after="0" w:line="273" w:lineRule="auto"/>
        <w:tabs>
          <w:tab w:leader="none" w:pos="2619" w:val="left"/>
        </w:tabs>
        <w:numPr>
          <w:ilvl w:val="1"/>
          <w:numId w:val="36"/>
        </w:numPr>
        <w:rPr>
          <w:rFonts w:ascii="Arial" w:cs="Arial" w:eastAsia="Arial" w:hAnsi="Arial"/>
          <w:sz w:val="19"/>
          <w:szCs w:val="19"/>
          <w:color w:val="auto"/>
        </w:rPr>
      </w:pPr>
      <w:r>
        <w:rPr>
          <w:rFonts w:ascii="Arial" w:cs="Arial" w:eastAsia="Arial" w:hAnsi="Arial"/>
          <w:sz w:val="19"/>
          <w:szCs w:val="19"/>
          <w:color w:val="auto"/>
        </w:rPr>
        <w:t>The determination as to whether the Total Payments include Excess Parachute Payments and, if so, the amount of such Excess Parachute Payments, the amount of any Excise Tax with respect thereto, and the amount of any reduction in Total Payments shall be made at the Company’s expense by the independent public accounting firm most recently serving as the Company’s outside auditors or such other accounting or benefits consulting group or firm as the Company may designate (the “</w:t>
      </w:r>
      <w:r>
        <w:rPr>
          <w:rFonts w:ascii="Arial" w:cs="Arial" w:eastAsia="Arial" w:hAnsi="Arial"/>
          <w:sz w:val="19"/>
          <w:szCs w:val="19"/>
          <w:b w:val="1"/>
          <w:bCs w:val="1"/>
          <w:color w:val="auto"/>
        </w:rPr>
        <w:t>Accountants</w:t>
      </w:r>
      <w:r>
        <w:rPr>
          <w:rFonts w:ascii="Arial" w:cs="Arial" w:eastAsia="Arial" w:hAnsi="Arial"/>
          <w:sz w:val="19"/>
          <w:szCs w:val="19"/>
          <w:color w:val="auto"/>
        </w:rPr>
        <w:t xml:space="preserve">”). In the event that any payments under this Agreement or otherwise are required to be reduced as described in Section 6(a), the adjustment will be made, first, by reducing the amount of base salary and bonus payable pursuant to </w:t>
      </w:r>
      <w:r>
        <w:rPr>
          <w:rFonts w:ascii="Arial" w:cs="Arial" w:eastAsia="Arial" w:hAnsi="Arial"/>
          <w:sz w:val="19"/>
          <w:szCs w:val="19"/>
          <w:b w:val="1"/>
          <w:bCs w:val="1"/>
          <w:color w:val="auto"/>
        </w:rPr>
        <w:t>Section 5(d)</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(iii)(1) and (2), </w:t>
      </w:r>
      <w:r>
        <w:rPr>
          <w:rFonts w:ascii="Arial" w:cs="Arial" w:eastAsia="Arial" w:hAnsi="Arial"/>
          <w:sz w:val="19"/>
          <w:szCs w:val="19"/>
          <w:color w:val="auto"/>
        </w:rPr>
        <w:t>as applicable; second, if additional reductions are necessary, by reducing the payment of health insurance premium</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due to Executive pursuant to </w:t>
      </w:r>
      <w:r>
        <w:rPr>
          <w:rFonts w:ascii="Arial" w:cs="Arial" w:eastAsia="Arial" w:hAnsi="Arial"/>
          <w:sz w:val="19"/>
          <w:szCs w:val="19"/>
          <w:b w:val="1"/>
          <w:bCs w:val="1"/>
          <w:color w:val="auto"/>
        </w:rPr>
        <w:t>Section 5(d)(iii)(3)</w:t>
      </w:r>
      <w:r>
        <w:rPr>
          <w:rFonts w:ascii="Arial" w:cs="Arial" w:eastAsia="Arial" w:hAnsi="Arial"/>
          <w:sz w:val="19"/>
          <w:szCs w:val="19"/>
          <w:color w:val="auto"/>
        </w:rPr>
        <w:t xml:space="preserve">, as applicable; and third, if additional reductions are still necessary, by eliminating the accelerated vesting of time-based equity-based awards under </w:t>
      </w:r>
      <w:r>
        <w:rPr>
          <w:rFonts w:ascii="Arial" w:cs="Arial" w:eastAsia="Arial" w:hAnsi="Arial"/>
          <w:sz w:val="19"/>
          <w:szCs w:val="19"/>
          <w:b w:val="1"/>
          <w:bCs w:val="1"/>
          <w:color w:val="auto"/>
        </w:rPr>
        <w:t>Section 5(d)(iii)(4)</w:t>
      </w:r>
      <w:r>
        <w:rPr>
          <w:rFonts w:ascii="Arial" w:cs="Arial" w:eastAsia="Arial" w:hAnsi="Arial"/>
          <w:sz w:val="19"/>
          <w:szCs w:val="19"/>
          <w:color w:val="auto"/>
        </w:rPr>
        <w:t>, if any, starting with those awards for which the amount required to be taken into account under Section 280G is the greatest.</w:t>
      </w:r>
    </w:p>
    <w:p>
      <w:pPr>
        <w:spacing w:after="0" w:line="160" w:lineRule="exact"/>
        <w:rPr>
          <w:rFonts w:ascii="Arial" w:cs="Arial" w:eastAsia="Arial" w:hAnsi="Arial"/>
          <w:sz w:val="19"/>
          <w:szCs w:val="19"/>
          <w:color w:val="auto"/>
        </w:rPr>
      </w:pPr>
    </w:p>
    <w:p>
      <w:pPr>
        <w:jc w:val="both"/>
        <w:ind w:firstLine="1735"/>
        <w:spacing w:after="0" w:line="238" w:lineRule="auto"/>
        <w:tabs>
          <w:tab w:leader="none" w:pos="2607" w:val="left"/>
        </w:tabs>
        <w:numPr>
          <w:ilvl w:val="1"/>
          <w:numId w:val="36"/>
        </w:numPr>
        <w:rPr>
          <w:rFonts w:ascii="Arial" w:cs="Arial" w:eastAsia="Arial" w:hAnsi="Arial"/>
          <w:sz w:val="22"/>
          <w:szCs w:val="22"/>
          <w:color w:val="auto"/>
        </w:rPr>
      </w:pPr>
      <w:r>
        <w:rPr>
          <w:rFonts w:ascii="Arial" w:cs="Arial" w:eastAsia="Arial" w:hAnsi="Arial"/>
          <w:sz w:val="22"/>
          <w:szCs w:val="22"/>
          <w:color w:val="auto"/>
        </w:rPr>
        <w:t>In the event that there has been an underpayment or overpayment under this Agreement or otherwise as determined by the Accountants, the amount of such underpayment or overpayment shall forthwith be paid to Executive or refunded to the Company, as the case may be, with interest at the applicable federal rate provided for in Section 7872(f)(2) of the Code.</w:t>
      </w:r>
    </w:p>
    <w:p>
      <w:pPr>
        <w:spacing w:after="0" w:line="184" w:lineRule="exact"/>
        <w:rPr>
          <w:rFonts w:ascii="Arial" w:cs="Arial" w:eastAsia="Arial" w:hAnsi="Arial"/>
          <w:sz w:val="22"/>
          <w:szCs w:val="22"/>
          <w:color w:val="auto"/>
        </w:rPr>
      </w:pPr>
    </w:p>
    <w:p>
      <w:pPr>
        <w:jc w:val="both"/>
        <w:ind w:firstLine="872"/>
        <w:spacing w:after="0" w:line="246" w:lineRule="auto"/>
        <w:tabs>
          <w:tab w:leader="none" w:pos="1668" w:val="left"/>
        </w:tabs>
        <w:numPr>
          <w:ilvl w:val="0"/>
          <w:numId w:val="37"/>
        </w:numPr>
        <w:rPr>
          <w:rFonts w:ascii="Arial" w:cs="Arial" w:eastAsia="Arial" w:hAnsi="Arial"/>
          <w:sz w:val="21"/>
          <w:szCs w:val="21"/>
          <w:color w:val="auto"/>
        </w:rPr>
      </w:pPr>
      <w:r>
        <w:rPr>
          <w:rFonts w:ascii="Arial" w:cs="Arial" w:eastAsia="Arial" w:hAnsi="Arial"/>
          <w:sz w:val="21"/>
          <w:szCs w:val="21"/>
          <w:u w:val="single" w:color="auto"/>
          <w:color w:val="auto"/>
        </w:rPr>
        <w:t>Proprietary Information Agreement</w:t>
      </w:r>
      <w:r>
        <w:rPr>
          <w:rFonts w:ascii="Arial" w:cs="Arial" w:eastAsia="Arial" w:hAnsi="Arial"/>
          <w:sz w:val="21"/>
          <w:szCs w:val="21"/>
          <w:color w:val="auto"/>
        </w:rPr>
        <w:t>. The terms of the Proprietary Information and Inventions Agreement by and between the Company and the Executive dated as of the Effective Date, (the “</w:t>
      </w:r>
      <w:r>
        <w:rPr>
          <w:rFonts w:ascii="Arial" w:cs="Arial" w:eastAsia="Arial" w:hAnsi="Arial"/>
          <w:sz w:val="21"/>
          <w:szCs w:val="21"/>
          <w:b w:val="1"/>
          <w:bCs w:val="1"/>
          <w:color w:val="auto"/>
        </w:rPr>
        <w:t>Proprietary Information Agreement</w:t>
      </w:r>
      <w:r>
        <w:rPr>
          <w:rFonts w:ascii="Arial" w:cs="Arial" w:eastAsia="Arial" w:hAnsi="Arial"/>
          <w:sz w:val="21"/>
          <w:szCs w:val="21"/>
          <w:color w:val="auto"/>
        </w:rPr>
        <w:t>”) and any other similar agreement regarding confidentiality, intellectual property rights, non-competition or non-solicitation between the Company and the Executive, are hereby incorporated by reference and are a material part of this Agreement. The duration of Executive’s covenants set forth in Section 3 (nonsolicitation) and Section 4 (covenant not to compete) of the Proprietary Information Agreement are hereby amended to apply for eighteen months following the end of employment in the event the Company makes the lump sum payment provided for under Section 5(d)(iii)(1).</w:t>
      </w:r>
    </w:p>
    <w:p>
      <w:pPr>
        <w:spacing w:after="0" w:line="184" w:lineRule="exact"/>
        <w:rPr>
          <w:rFonts w:ascii="Arial" w:cs="Arial" w:eastAsia="Arial" w:hAnsi="Arial"/>
          <w:sz w:val="21"/>
          <w:szCs w:val="21"/>
          <w:color w:val="auto"/>
        </w:rPr>
      </w:pPr>
    </w:p>
    <w:p>
      <w:pPr>
        <w:ind w:left="1680" w:hanging="808"/>
        <w:spacing w:after="0"/>
        <w:tabs>
          <w:tab w:leader="none" w:pos="1680"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735"/>
        <w:spacing w:after="0" w:line="249" w:lineRule="auto"/>
        <w:tabs>
          <w:tab w:leader="none" w:pos="2607" w:val="left"/>
        </w:tabs>
        <w:numPr>
          <w:ilvl w:val="1"/>
          <w:numId w:val="37"/>
        </w:numPr>
        <w:rPr>
          <w:rFonts w:ascii="Arial" w:cs="Arial" w:eastAsia="Arial" w:hAnsi="Arial"/>
          <w:sz w:val="21"/>
          <w:szCs w:val="21"/>
          <w:color w:val="auto"/>
        </w:rPr>
      </w:pPr>
      <w:r>
        <w:rPr>
          <w:rFonts w:ascii="Arial" w:cs="Arial" w:eastAsia="Arial" w:hAnsi="Arial"/>
          <w:sz w:val="21"/>
          <w:szCs w:val="21"/>
          <w:color w:val="auto"/>
        </w:rPr>
        <w:t>The Executive represents and warrants to the Company that the Executive’s performance of this Agreement and as an employee of the Company does not and will not breach any noncompetition agreement or any agreement to keep in confidence proprietary information acquired by the Executive in confidence or in trust prior to the Executive's employment by the Company. The Executive represents and warrants to the Company that the Executive has not entered into, and agrees not to enter into, any agreement that conflicts with or violates this Agreement.</w:t>
      </w:r>
    </w:p>
    <w:p>
      <w:pPr>
        <w:spacing w:after="0" w:line="178" w:lineRule="exact"/>
        <w:rPr>
          <w:rFonts w:ascii="Arial" w:cs="Arial" w:eastAsia="Arial" w:hAnsi="Arial"/>
          <w:sz w:val="21"/>
          <w:szCs w:val="21"/>
          <w:color w:val="auto"/>
        </w:rPr>
      </w:pPr>
    </w:p>
    <w:p>
      <w:pPr>
        <w:jc w:val="both"/>
        <w:ind w:firstLine="1735"/>
        <w:spacing w:after="0" w:line="287" w:lineRule="auto"/>
        <w:tabs>
          <w:tab w:leader="none" w:pos="2627" w:val="left"/>
        </w:tabs>
        <w:numPr>
          <w:ilvl w:val="1"/>
          <w:numId w:val="37"/>
        </w:numPr>
        <w:rPr>
          <w:rFonts w:ascii="Arial" w:cs="Arial" w:eastAsia="Arial" w:hAnsi="Arial"/>
          <w:sz w:val="19"/>
          <w:szCs w:val="19"/>
          <w:color w:val="auto"/>
        </w:rPr>
      </w:pPr>
      <w:r>
        <w:rPr>
          <w:rFonts w:ascii="Arial" w:cs="Arial" w:eastAsia="Arial" w:hAnsi="Arial"/>
          <w:sz w:val="19"/>
          <w:szCs w:val="19"/>
          <w:color w:val="auto"/>
        </w:rPr>
        <w:t>The Executive represents and warrants to the Company that the Executive has not brought and shall not bring with the Executive to the Company, or use in the performance of the Executive's responsibilities for the Company, any materials or documents of a former employer which are not generally available to the public or which did not belong to the Executive prior to the Executive’s employment with the Company, unless the Executive has obtained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H#628229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46" w:name="page47"/>
    <w:bookmarkEnd w:id="46"/>
    <w:p>
      <w:pPr>
        <w:spacing w:after="0" w:line="250" w:lineRule="auto"/>
        <w:rPr>
          <w:sz w:val="20"/>
          <w:szCs w:val="20"/>
          <w:color w:val="auto"/>
        </w:rPr>
      </w:pPr>
      <w:r>
        <w:rPr>
          <w:rFonts w:ascii="Arial" w:cs="Arial" w:eastAsia="Arial" w:hAnsi="Arial"/>
          <w:sz w:val="22"/>
          <w:szCs w:val="22"/>
          <w:color w:val="auto"/>
        </w:rPr>
        <w:t>written authorization from the former employer or other owner for their possession and use and provided the Company with a copy thereof.</w:t>
      </w:r>
    </w:p>
    <w:p>
      <w:pPr>
        <w:spacing w:after="0" w:line="175" w:lineRule="exact"/>
        <w:rPr>
          <w:sz w:val="20"/>
          <w:szCs w:val="20"/>
          <w:color w:val="auto"/>
        </w:rPr>
      </w:pPr>
    </w:p>
    <w:p>
      <w:pPr>
        <w:jc w:val="both"/>
        <w:ind w:firstLine="872"/>
        <w:spacing w:after="0" w:line="279" w:lineRule="auto"/>
        <w:tabs>
          <w:tab w:leader="none" w:pos="1674" w:val="left"/>
        </w:tabs>
        <w:numPr>
          <w:ilvl w:val="1"/>
          <w:numId w:val="38"/>
        </w:numPr>
        <w:rPr>
          <w:rFonts w:ascii="Arial" w:cs="Arial" w:eastAsia="Arial" w:hAnsi="Arial"/>
          <w:sz w:val="19"/>
          <w:szCs w:val="19"/>
          <w:color w:val="auto"/>
        </w:rPr>
      </w:pPr>
      <w:r>
        <w:rPr>
          <w:rFonts w:ascii="Arial" w:cs="Arial" w:eastAsia="Arial" w:hAnsi="Arial"/>
          <w:sz w:val="19"/>
          <w:szCs w:val="19"/>
          <w:u w:val="single" w:color="auto"/>
          <w:color w:val="auto"/>
        </w:rPr>
        <w:t>Indemnification by the Executive</w:t>
      </w:r>
      <w:r>
        <w:rPr>
          <w:rFonts w:ascii="Arial" w:cs="Arial" w:eastAsia="Arial" w:hAnsi="Arial"/>
          <w:sz w:val="19"/>
          <w:szCs w:val="19"/>
          <w:color w:val="auto"/>
        </w:rPr>
        <w:t>. To the extent any of Executive’s actions or inactions result in damages to the Company which are not covered under the Company’s then existing indemnification provisions for officers, its Directors and Officers insurance policy (or similar insurance contract), or would be unlawful for the Company to indemnify, then the Executive shall indemnify and hold harmless the Company, its directors, officers, stockholders, agents, and employees against all claims, costs, expenses, liabilities, and lost profits, including amounts paid in settlement, incurred by any of them as a result of the material breach by the Executive of any provision of Section 2, 6 and/or 7 of this Agreement.</w:t>
      </w:r>
    </w:p>
    <w:p>
      <w:pPr>
        <w:spacing w:after="0" w:line="150" w:lineRule="exact"/>
        <w:rPr>
          <w:rFonts w:ascii="Arial" w:cs="Arial" w:eastAsia="Arial" w:hAnsi="Arial"/>
          <w:sz w:val="19"/>
          <w:szCs w:val="19"/>
          <w:color w:val="auto"/>
        </w:rPr>
      </w:pPr>
    </w:p>
    <w:p>
      <w:pPr>
        <w:jc w:val="both"/>
        <w:ind w:firstLine="872"/>
        <w:spacing w:after="0" w:line="276" w:lineRule="auto"/>
        <w:tabs>
          <w:tab w:leader="none" w:pos="1782" w:val="left"/>
        </w:tabs>
        <w:numPr>
          <w:ilvl w:val="1"/>
          <w:numId w:val="38"/>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notices, requests, consents, approvals, and other communications to, upon, and between the parties shall be in writing and shall be deemed to have been given, delivered, made, and received when: (a) personally delivered;</w:t>
      </w:r>
    </w:p>
    <w:p>
      <w:pPr>
        <w:spacing w:after="0" w:line="1" w:lineRule="exact"/>
        <w:rPr>
          <w:rFonts w:ascii="Arial" w:cs="Arial" w:eastAsia="Arial" w:hAnsi="Arial"/>
          <w:sz w:val="19"/>
          <w:szCs w:val="19"/>
          <w:color w:val="auto"/>
        </w:rPr>
      </w:pPr>
    </w:p>
    <w:p>
      <w:pPr>
        <w:jc w:val="both"/>
        <w:ind w:firstLine="8"/>
        <w:spacing w:after="0" w:line="233" w:lineRule="auto"/>
        <w:tabs>
          <w:tab w:leader="none" w:pos="370" w:val="left"/>
        </w:tabs>
        <w:numPr>
          <w:ilvl w:val="0"/>
          <w:numId w:val="39"/>
        </w:numPr>
        <w:rPr>
          <w:rFonts w:ascii="Arial" w:cs="Arial" w:eastAsia="Arial" w:hAnsi="Arial"/>
          <w:sz w:val="22"/>
          <w:szCs w:val="22"/>
          <w:color w:val="auto"/>
        </w:rPr>
      </w:pPr>
      <w:r>
        <w:rPr>
          <w:rFonts w:ascii="Arial" w:cs="Arial" w:eastAsia="Arial" w:hAnsi="Arial"/>
          <w:sz w:val="22"/>
          <w:szCs w:val="22"/>
          <w:color w:val="auto"/>
        </w:rPr>
        <w:t>deposited for next day delivery by Federal Express, or other similar overnight courier services; (c) transmitted via telefacsimile or other similar device to the attention of the Board of Directors of the Company with receipt acknowledged; or (d) three (3) days after being sent or mailed by certified mail, postage prepaid and return receipt requested, addressed to the Company at 900 North Point Parkway, Suite 200, Alpharetta, GA 30005 and to the Executive at the Executive’s last listed address in the payroll records of the Company.</w:t>
      </w:r>
    </w:p>
    <w:p>
      <w:pPr>
        <w:spacing w:after="0" w:line="185" w:lineRule="exact"/>
        <w:rPr>
          <w:rFonts w:ascii="Arial" w:cs="Arial" w:eastAsia="Arial" w:hAnsi="Arial"/>
          <w:sz w:val="22"/>
          <w:szCs w:val="22"/>
          <w:color w:val="auto"/>
        </w:rPr>
      </w:pPr>
    </w:p>
    <w:p>
      <w:pPr>
        <w:ind w:right="20" w:firstLine="872"/>
        <w:spacing w:after="0" w:line="250" w:lineRule="auto"/>
        <w:tabs>
          <w:tab w:leader="none" w:pos="1774" w:val="left"/>
        </w:tabs>
        <w:numPr>
          <w:ilvl w:val="1"/>
          <w:numId w:val="39"/>
        </w:numPr>
        <w:rPr>
          <w:rFonts w:ascii="Arial" w:cs="Arial" w:eastAsia="Arial" w:hAnsi="Arial"/>
          <w:sz w:val="22"/>
          <w:szCs w:val="22"/>
          <w:color w:val="auto"/>
        </w:rPr>
      </w:pPr>
      <w:r>
        <w:rPr>
          <w:rFonts w:ascii="Arial" w:cs="Arial" w:eastAsia="Arial" w:hAnsi="Arial"/>
          <w:sz w:val="22"/>
          <w:szCs w:val="22"/>
          <w:u w:val="single" w:color="auto"/>
          <w:color w:val="auto"/>
        </w:rPr>
        <w:t>Effect</w:t>
      </w:r>
      <w:r>
        <w:rPr>
          <w:rFonts w:ascii="Arial" w:cs="Arial" w:eastAsia="Arial" w:hAnsi="Arial"/>
          <w:sz w:val="22"/>
          <w:szCs w:val="22"/>
          <w:color w:val="auto"/>
        </w:rPr>
        <w:t>. This Agreement shall be binding on and inure to the respective benefit of the Company and its successors and assigns and the Executive and Executive’s personal representatives.</w:t>
      </w:r>
    </w:p>
    <w:p>
      <w:pPr>
        <w:spacing w:after="0" w:line="174" w:lineRule="exact"/>
        <w:rPr>
          <w:rFonts w:ascii="Arial" w:cs="Arial" w:eastAsia="Arial" w:hAnsi="Arial"/>
          <w:sz w:val="22"/>
          <w:szCs w:val="22"/>
          <w:color w:val="auto"/>
        </w:rPr>
      </w:pPr>
    </w:p>
    <w:p>
      <w:pPr>
        <w:jc w:val="both"/>
        <w:ind w:firstLine="872"/>
        <w:spacing w:after="0" w:line="252" w:lineRule="auto"/>
        <w:tabs>
          <w:tab w:leader="none" w:pos="1782" w:val="left"/>
        </w:tabs>
        <w:numPr>
          <w:ilvl w:val="1"/>
          <w:numId w:val="39"/>
        </w:numPr>
        <w:rPr>
          <w:rFonts w:ascii="Arial" w:cs="Arial" w:eastAsia="Arial" w:hAnsi="Arial"/>
          <w:sz w:val="21"/>
          <w:szCs w:val="21"/>
          <w:color w:val="auto"/>
        </w:rPr>
      </w:pPr>
      <w:r>
        <w:rPr>
          <w:rFonts w:ascii="Arial" w:cs="Arial" w:eastAsia="Arial" w:hAnsi="Arial"/>
          <w:sz w:val="21"/>
          <w:szCs w:val="21"/>
          <w:u w:val="single" w:color="auto"/>
          <w:color w:val="auto"/>
        </w:rPr>
        <w:t>Entire Agreement</w:t>
      </w:r>
      <w:r>
        <w:rPr>
          <w:rFonts w:ascii="Arial" w:cs="Arial" w:eastAsia="Arial" w:hAnsi="Arial"/>
          <w:sz w:val="21"/>
          <w:szCs w:val="21"/>
          <w:color w:val="auto"/>
        </w:rPr>
        <w:t>. This Agreement and the Proprietary Information Agreement and any other similar agreement regarding confidentiality, intellectual property rights, non-competition or non-solicitation constitute the entire agreement between the parties with respect to the matters set forth herein and supersede all prior agreements and understandings between the parties with respect to the same, including an employment offer letter dated July 3, 2018.</w:t>
      </w:r>
    </w:p>
    <w:p>
      <w:pPr>
        <w:spacing w:after="0" w:line="173" w:lineRule="exact"/>
        <w:rPr>
          <w:rFonts w:ascii="Arial" w:cs="Arial" w:eastAsia="Arial" w:hAnsi="Arial"/>
          <w:sz w:val="21"/>
          <w:szCs w:val="21"/>
          <w:color w:val="auto"/>
        </w:rPr>
      </w:pPr>
    </w:p>
    <w:p>
      <w:pPr>
        <w:ind w:right="20" w:firstLine="872"/>
        <w:spacing w:after="0" w:line="250" w:lineRule="auto"/>
        <w:tabs>
          <w:tab w:leader="none" w:pos="1782" w:val="left"/>
        </w:tabs>
        <w:numPr>
          <w:ilvl w:val="1"/>
          <w:numId w:val="39"/>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invalidity or unenforceability of any provision of this Agreement shall not affect the validity or enforceability of any other provision.</w:t>
      </w:r>
    </w:p>
    <w:p>
      <w:pPr>
        <w:spacing w:after="0" w:line="174" w:lineRule="exact"/>
        <w:rPr>
          <w:rFonts w:ascii="Arial" w:cs="Arial" w:eastAsia="Arial" w:hAnsi="Arial"/>
          <w:sz w:val="22"/>
          <w:szCs w:val="22"/>
          <w:color w:val="auto"/>
        </w:rPr>
      </w:pPr>
    </w:p>
    <w:p>
      <w:pPr>
        <w:ind w:right="20" w:firstLine="872"/>
        <w:spacing w:after="0" w:line="274" w:lineRule="auto"/>
        <w:tabs>
          <w:tab w:leader="none" w:pos="1782" w:val="left"/>
        </w:tabs>
        <w:numPr>
          <w:ilvl w:val="1"/>
          <w:numId w:val="39"/>
        </w:numPr>
        <w:rPr>
          <w:rFonts w:ascii="Arial" w:cs="Arial" w:eastAsia="Arial" w:hAnsi="Arial"/>
          <w:sz w:val="21"/>
          <w:szCs w:val="21"/>
          <w:color w:val="auto"/>
        </w:rPr>
      </w:pPr>
      <w:r>
        <w:rPr>
          <w:rFonts w:ascii="Arial" w:cs="Arial" w:eastAsia="Arial" w:hAnsi="Arial"/>
          <w:sz w:val="21"/>
          <w:szCs w:val="21"/>
          <w:u w:val="single" w:color="auto"/>
          <w:color w:val="auto"/>
        </w:rPr>
        <w:t>Amendment and Waiver</w:t>
      </w:r>
      <w:r>
        <w:rPr>
          <w:rFonts w:ascii="Arial" w:cs="Arial" w:eastAsia="Arial" w:hAnsi="Arial"/>
          <w:sz w:val="21"/>
          <w:szCs w:val="21"/>
          <w:color w:val="auto"/>
        </w:rPr>
        <w:t>. No provision of this Agreement, including the provisions of this Section, may be amended, modified, deleted, or waived in any manner except by a written agreement executed by the parties.</w:t>
      </w:r>
    </w:p>
    <w:p>
      <w:pPr>
        <w:spacing w:after="0" w:line="150" w:lineRule="exact"/>
        <w:rPr>
          <w:rFonts w:ascii="Arial" w:cs="Arial" w:eastAsia="Arial" w:hAnsi="Arial"/>
          <w:sz w:val="21"/>
          <w:szCs w:val="21"/>
          <w:color w:val="auto"/>
        </w:rPr>
      </w:pPr>
    </w:p>
    <w:p>
      <w:pPr>
        <w:jc w:val="both"/>
        <w:ind w:firstLine="872"/>
        <w:spacing w:after="0" w:line="271" w:lineRule="auto"/>
        <w:tabs>
          <w:tab w:leader="none" w:pos="1782" w:val="left"/>
        </w:tabs>
        <w:numPr>
          <w:ilvl w:val="1"/>
          <w:numId w:val="39"/>
        </w:numPr>
        <w:rPr>
          <w:rFonts w:ascii="Arial" w:cs="Arial" w:eastAsia="Arial" w:hAnsi="Arial"/>
          <w:sz w:val="19"/>
          <w:szCs w:val="19"/>
          <w:color w:val="auto"/>
        </w:rPr>
      </w:pPr>
      <w:r>
        <w:rPr>
          <w:rFonts w:ascii="Arial" w:cs="Arial" w:eastAsia="Arial" w:hAnsi="Arial"/>
          <w:sz w:val="19"/>
          <w:szCs w:val="19"/>
          <w:u w:val="single" w:color="auto"/>
          <w:color w:val="auto"/>
        </w:rPr>
        <w:t>Section 409A Matters</w:t>
      </w:r>
      <w:r>
        <w:rPr>
          <w:rFonts w:ascii="Arial" w:cs="Arial" w:eastAsia="Arial" w:hAnsi="Arial"/>
          <w:sz w:val="19"/>
          <w:szCs w:val="19"/>
          <w:color w:val="auto"/>
        </w:rPr>
        <w:t>. This Agreement is intended to comply with the requirements of Section 409A of the Internal Revenue Code of 1986, as amended and the Treasury Regulations and other applicable guidance thereunder (“</w:t>
      </w:r>
      <w:r>
        <w:rPr>
          <w:rFonts w:ascii="Arial" w:cs="Arial" w:eastAsia="Arial" w:hAnsi="Arial"/>
          <w:sz w:val="19"/>
          <w:szCs w:val="19"/>
          <w:b w:val="1"/>
          <w:bCs w:val="1"/>
          <w:color w:val="auto"/>
        </w:rPr>
        <w:t>Section</w:t>
      </w:r>
      <w:r>
        <w:rPr>
          <w:rFonts w:ascii="Arial" w:cs="Arial" w:eastAsia="Arial" w:hAnsi="Arial"/>
          <w:sz w:val="19"/>
          <w:szCs w:val="19"/>
          <w:color w:val="auto"/>
        </w:rPr>
        <w:t xml:space="preserve"> </w:t>
      </w:r>
      <w:r>
        <w:rPr>
          <w:rFonts w:ascii="Arial" w:cs="Arial" w:eastAsia="Arial" w:hAnsi="Arial"/>
          <w:sz w:val="19"/>
          <w:szCs w:val="19"/>
          <w:b w:val="1"/>
          <w:bCs w:val="1"/>
          <w:color w:val="auto"/>
        </w:rPr>
        <w:t>409A</w:t>
      </w:r>
      <w:r>
        <w:rPr>
          <w:rFonts w:ascii="Arial" w:cs="Arial" w:eastAsia="Arial" w:hAnsi="Arial"/>
          <w:sz w:val="19"/>
          <w:szCs w:val="19"/>
          <w:color w:val="auto"/>
        </w:rPr>
        <w:t>”). To the extent that there is any ambiguity as to whether this Agreement (or any of its provisions) contravenes one or</w:t>
      </w:r>
      <w:r>
        <w:rPr>
          <w:rFonts w:ascii="Arial" w:cs="Arial" w:eastAsia="Arial" w:hAnsi="Arial"/>
          <w:sz w:val="19"/>
          <w:szCs w:val="19"/>
          <w:b w:val="1"/>
          <w:bCs w:val="1"/>
          <w:color w:val="auto"/>
        </w:rPr>
        <w:t xml:space="preserve"> </w:t>
      </w:r>
      <w:r>
        <w:rPr>
          <w:rFonts w:ascii="Arial" w:cs="Arial" w:eastAsia="Arial" w:hAnsi="Arial"/>
          <w:sz w:val="19"/>
          <w:szCs w:val="19"/>
          <w:color w:val="auto"/>
        </w:rPr>
        <w:t>more requirements of Section 409A, such provision shall be interpreted and applied in a matter that does not result in a Section</w:t>
      </w:r>
    </w:p>
    <w:p>
      <w:pPr>
        <w:spacing w:after="0" w:line="3"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409A violation. Without limiting the generality of the above: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H#628229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47" w:name="page48"/>
    <w:bookmarkEnd w:id="47"/>
    <w:p>
      <w:pPr>
        <w:jc w:val="both"/>
        <w:ind w:firstLine="1735"/>
        <w:spacing w:after="0" w:line="237" w:lineRule="auto"/>
        <w:tabs>
          <w:tab w:leader="none" w:pos="2615" w:val="left"/>
        </w:tabs>
        <w:numPr>
          <w:ilvl w:val="1"/>
          <w:numId w:val="40"/>
        </w:numPr>
        <w:rPr>
          <w:rFonts w:ascii="Arial" w:cs="Arial" w:eastAsia="Arial" w:hAnsi="Arial"/>
          <w:sz w:val="22"/>
          <w:szCs w:val="22"/>
          <w:color w:val="auto"/>
        </w:rPr>
      </w:pPr>
      <w:r>
        <w:rPr>
          <w:rFonts w:ascii="Arial" w:cs="Arial" w:eastAsia="Arial" w:hAnsi="Arial"/>
          <w:sz w:val="22"/>
          <w:szCs w:val="22"/>
          <w:color w:val="auto"/>
        </w:rPr>
        <w:t>For clarity, the severance benefits specified in this Agreement (the “</w:t>
      </w:r>
      <w:r>
        <w:rPr>
          <w:rFonts w:ascii="Arial" w:cs="Arial" w:eastAsia="Arial" w:hAnsi="Arial"/>
          <w:sz w:val="22"/>
          <w:szCs w:val="22"/>
          <w:b w:val="1"/>
          <w:bCs w:val="1"/>
          <w:color w:val="auto"/>
        </w:rPr>
        <w:t>Severance Benefits</w:t>
      </w:r>
      <w:r>
        <w:rPr>
          <w:rFonts w:ascii="Arial" w:cs="Arial" w:eastAsia="Arial" w:hAnsi="Arial"/>
          <w:sz w:val="22"/>
          <w:szCs w:val="22"/>
          <w:color w:val="auto"/>
        </w:rPr>
        <w:t>”) are only payable upon a “separation from service” as defined in Section 409A. The Severance Benefits shall be deemed to be series of separate payments, with each installment being treated as a separate payment. The time and form of payment of any compensation may not be deferred or accelerated to the extent it would result in an impermissible acceleration or deferral under Section 409A.</w:t>
      </w:r>
    </w:p>
    <w:p>
      <w:pPr>
        <w:spacing w:after="0" w:line="187" w:lineRule="exact"/>
        <w:rPr>
          <w:rFonts w:ascii="Arial" w:cs="Arial" w:eastAsia="Arial" w:hAnsi="Arial"/>
          <w:sz w:val="22"/>
          <w:szCs w:val="22"/>
          <w:color w:val="auto"/>
        </w:rPr>
      </w:pPr>
    </w:p>
    <w:p>
      <w:pPr>
        <w:jc w:val="both"/>
        <w:ind w:firstLine="1735"/>
        <w:spacing w:after="0" w:line="238" w:lineRule="auto"/>
        <w:tabs>
          <w:tab w:leader="none" w:pos="2627" w:val="left"/>
        </w:tabs>
        <w:numPr>
          <w:ilvl w:val="1"/>
          <w:numId w:val="40"/>
        </w:numPr>
        <w:rPr>
          <w:rFonts w:ascii="Arial" w:cs="Arial" w:eastAsia="Arial" w:hAnsi="Arial"/>
          <w:sz w:val="22"/>
          <w:szCs w:val="22"/>
          <w:color w:val="auto"/>
        </w:rPr>
      </w:pPr>
      <w:r>
        <w:rPr>
          <w:rFonts w:ascii="Arial" w:cs="Arial" w:eastAsia="Arial" w:hAnsi="Arial"/>
          <w:sz w:val="22"/>
          <w:szCs w:val="22"/>
          <w:color w:val="auto"/>
        </w:rPr>
        <w:t>To the extent this Agreement contains payments which are subject to Section 409A (as opposed to exempt from Section 409A), the Executive’s rights to such payments are not subject to anticipation, alienation, sale, transfer, pledge, encumbrance, attachment or garnishment and, where applicable, may only be transferred by will or the laws of descent and distribution.</w:t>
      </w:r>
    </w:p>
    <w:p>
      <w:pPr>
        <w:spacing w:after="0" w:line="184" w:lineRule="exact"/>
        <w:rPr>
          <w:rFonts w:ascii="Arial" w:cs="Arial" w:eastAsia="Arial" w:hAnsi="Arial"/>
          <w:sz w:val="22"/>
          <w:szCs w:val="22"/>
          <w:color w:val="auto"/>
        </w:rPr>
      </w:pPr>
    </w:p>
    <w:p>
      <w:pPr>
        <w:jc w:val="both"/>
        <w:ind w:firstLine="1735"/>
        <w:spacing w:after="0" w:line="236" w:lineRule="auto"/>
        <w:tabs>
          <w:tab w:leader="none" w:pos="2615" w:val="left"/>
        </w:tabs>
        <w:numPr>
          <w:ilvl w:val="1"/>
          <w:numId w:val="40"/>
        </w:numPr>
        <w:rPr>
          <w:rFonts w:ascii="Arial" w:cs="Arial" w:eastAsia="Arial" w:hAnsi="Arial"/>
          <w:sz w:val="22"/>
          <w:szCs w:val="22"/>
          <w:color w:val="auto"/>
        </w:rPr>
      </w:pPr>
      <w:r>
        <w:rPr>
          <w:rFonts w:ascii="Arial" w:cs="Arial" w:eastAsia="Arial" w:hAnsi="Arial"/>
          <w:sz w:val="22"/>
          <w:szCs w:val="22"/>
          <w:color w:val="auto"/>
        </w:rPr>
        <w:t>To the extent the Severance Benefits are intended to be exempt from Section 409A as a result of an “involuntary separation from service” under Section 409A, if all conditions necessary to establish the Executive’s entitlement to such Severance Benefits have been satisfied, all Severance Benefits shall be paid or provided in full no later than December 31</w:t>
      </w:r>
      <w:r>
        <w:rPr>
          <w:rFonts w:ascii="Arial" w:cs="Arial" w:eastAsia="Arial" w:hAnsi="Arial"/>
          <w:sz w:val="18"/>
          <w:szCs w:val="18"/>
          <w:color w:val="auto"/>
        </w:rPr>
        <w:t>st</w:t>
      </w:r>
      <w:r>
        <w:rPr>
          <w:rFonts w:ascii="Arial" w:cs="Arial" w:eastAsia="Arial" w:hAnsi="Arial"/>
          <w:sz w:val="22"/>
          <w:szCs w:val="22"/>
          <w:color w:val="auto"/>
        </w:rPr>
        <w:t xml:space="preserve"> of the second calendar year following the calendar year in which the Executive’s employment terminated unless another time period is applicable.</w:t>
      </w:r>
    </w:p>
    <w:p>
      <w:pPr>
        <w:spacing w:after="0" w:line="187" w:lineRule="exact"/>
        <w:rPr>
          <w:rFonts w:ascii="Arial" w:cs="Arial" w:eastAsia="Arial" w:hAnsi="Arial"/>
          <w:sz w:val="22"/>
          <w:szCs w:val="22"/>
          <w:color w:val="auto"/>
        </w:rPr>
      </w:pPr>
    </w:p>
    <w:p>
      <w:pPr>
        <w:jc w:val="both"/>
        <w:ind w:firstLine="1735"/>
        <w:spacing w:after="0" w:line="279" w:lineRule="auto"/>
        <w:tabs>
          <w:tab w:leader="none" w:pos="2627" w:val="left"/>
        </w:tabs>
        <w:numPr>
          <w:ilvl w:val="1"/>
          <w:numId w:val="40"/>
        </w:numPr>
        <w:rPr>
          <w:rFonts w:ascii="Arial" w:cs="Arial" w:eastAsia="Arial" w:hAnsi="Arial"/>
          <w:sz w:val="19"/>
          <w:szCs w:val="19"/>
          <w:color w:val="auto"/>
        </w:rPr>
      </w:pPr>
      <w:r>
        <w:rPr>
          <w:rFonts w:ascii="Arial" w:cs="Arial" w:eastAsia="Arial" w:hAnsi="Arial"/>
          <w:sz w:val="19"/>
          <w:szCs w:val="19"/>
          <w:color w:val="auto"/>
        </w:rPr>
        <w:t>If the Employee is a “specified employee” (as defined in Section 409A) on the termination date and a delayed payment is required by Section 409A to avoid a prohibited distribution under Section 409A, then no Severance Benefits that constitute “non-qualified deferred compensation” under Section 409A shall be paid until the earlier of (i) the first day of the 7</w:t>
      </w:r>
      <w:r>
        <w:rPr>
          <w:rFonts w:ascii="Arial" w:cs="Arial" w:eastAsia="Arial" w:hAnsi="Arial"/>
          <w:sz w:val="16"/>
          <w:szCs w:val="16"/>
          <w:color w:val="auto"/>
        </w:rPr>
        <w:t>th</w:t>
      </w:r>
      <w:r>
        <w:rPr>
          <w:rFonts w:ascii="Arial" w:cs="Arial" w:eastAsia="Arial" w:hAnsi="Arial"/>
          <w:sz w:val="19"/>
          <w:szCs w:val="19"/>
          <w:color w:val="auto"/>
        </w:rPr>
        <w:t xml:space="preserve"> month following the date of the Executive’s “separation from service” as defined in Section 409A, or (ii) the date of the Executive’s death. Upon the expiration of the applicable deferral period, all payments deferred under this clause shall be paid in a lump sum and any remaining severance benefits shall be paid per the schedule specified in this Agreement.</w:t>
      </w:r>
    </w:p>
    <w:p>
      <w:pPr>
        <w:spacing w:after="0" w:line="150" w:lineRule="exact"/>
        <w:rPr>
          <w:rFonts w:ascii="Arial" w:cs="Arial" w:eastAsia="Arial" w:hAnsi="Arial"/>
          <w:sz w:val="19"/>
          <w:szCs w:val="19"/>
          <w:color w:val="auto"/>
        </w:rPr>
      </w:pPr>
    </w:p>
    <w:p>
      <w:pPr>
        <w:jc w:val="both"/>
        <w:ind w:firstLine="1735"/>
        <w:spacing w:after="0" w:line="287" w:lineRule="auto"/>
        <w:tabs>
          <w:tab w:leader="none" w:pos="2615" w:val="left"/>
        </w:tabs>
        <w:numPr>
          <w:ilvl w:val="1"/>
          <w:numId w:val="40"/>
        </w:numPr>
        <w:rPr>
          <w:rFonts w:ascii="Arial" w:cs="Arial" w:eastAsia="Arial" w:hAnsi="Arial"/>
          <w:sz w:val="19"/>
          <w:szCs w:val="19"/>
          <w:color w:val="auto"/>
        </w:rPr>
      </w:pPr>
      <w:r>
        <w:rPr>
          <w:rFonts w:ascii="Arial" w:cs="Arial" w:eastAsia="Arial" w:hAnsi="Arial"/>
          <w:sz w:val="19"/>
          <w:szCs w:val="19"/>
          <w:color w:val="auto"/>
        </w:rPr>
        <w:t>The Company makes no representation that this Agreement will be exempt from or compliant with Section 409A and makes no affirmative undertaking to preclude Section 409A from applying, but does reserve the right to unilaterally amend this Agreement as may be necessary or advisable to permit the Agreement to be in documentary and operational compliance with Section 409A which determination will be made in the sole discretion of the Company.</w:t>
      </w:r>
    </w:p>
    <w:p>
      <w:pPr>
        <w:spacing w:after="0" w:line="142" w:lineRule="exact"/>
        <w:rPr>
          <w:rFonts w:ascii="Arial" w:cs="Arial" w:eastAsia="Arial" w:hAnsi="Arial"/>
          <w:sz w:val="19"/>
          <w:szCs w:val="19"/>
          <w:color w:val="auto"/>
        </w:rPr>
      </w:pPr>
    </w:p>
    <w:p>
      <w:pPr>
        <w:ind w:firstLine="872"/>
        <w:spacing w:after="0" w:line="328" w:lineRule="auto"/>
        <w:tabs>
          <w:tab w:leader="none" w:pos="1782"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will be governed by and construed according to the laws of the Georgia as such laws are applied to agreements entered into and to be performed entirely within Georgia between Georgia residents.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H#628229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8" w:name="page49"/>
    <w:bookmarkEnd w:id="48"/>
    <w:p>
      <w:pPr>
        <w:jc w:val="both"/>
        <w:ind w:firstLine="872"/>
        <w:spacing w:after="0" w:line="287" w:lineRule="auto"/>
        <w:tabs>
          <w:tab w:leader="none" w:pos="1782"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Consent to Jurisdiction and Venue</w:t>
      </w:r>
      <w:r>
        <w:rPr>
          <w:rFonts w:ascii="Arial" w:cs="Arial" w:eastAsia="Arial" w:hAnsi="Arial"/>
          <w:sz w:val="19"/>
          <w:szCs w:val="19"/>
          <w:color w:val="auto"/>
        </w:rPr>
        <w:t>. Each of the parties agrees that any suit, action, or proceeding arising out of this Agreement may be instituted against it in the state or federal courts located in Georgia. Each of the parties hereby waives any objection that it may have to the venue of any such suit, action, or proceeding, and each of the parties hereby irrevocably consents to the personal jurisdiction of any such court in any such suit, action, or proceeding.</w:t>
      </w:r>
    </w:p>
    <w:p>
      <w:pPr>
        <w:spacing w:after="0" w:line="142" w:lineRule="exact"/>
        <w:rPr>
          <w:rFonts w:ascii="Arial" w:cs="Arial" w:eastAsia="Arial" w:hAnsi="Arial"/>
          <w:sz w:val="19"/>
          <w:szCs w:val="19"/>
          <w:color w:val="auto"/>
        </w:rPr>
      </w:pPr>
    </w:p>
    <w:p>
      <w:pPr>
        <w:ind w:right="20" w:firstLine="872"/>
        <w:spacing w:after="0" w:line="250" w:lineRule="auto"/>
        <w:tabs>
          <w:tab w:leader="none" w:pos="1782"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more than one counterpart, each of which shall be deemed an original, and all of which shall be deemed a single agreement.</w:t>
      </w:r>
    </w:p>
    <w:p>
      <w:pPr>
        <w:spacing w:after="0" w:line="174" w:lineRule="exact"/>
        <w:rPr>
          <w:rFonts w:ascii="Arial" w:cs="Arial" w:eastAsia="Arial" w:hAnsi="Arial"/>
          <w:sz w:val="22"/>
          <w:szCs w:val="22"/>
          <w:color w:val="auto"/>
        </w:rPr>
      </w:pPr>
    </w:p>
    <w:p>
      <w:pPr>
        <w:ind w:left="1780" w:hanging="908"/>
        <w:spacing w:after="0"/>
        <w:tabs>
          <w:tab w:leader="none" w:pos="1780" w:val="left"/>
        </w:tabs>
        <w:numPr>
          <w:ilvl w:val="0"/>
          <w:numId w:val="42"/>
        </w:numPr>
        <w:rPr>
          <w:rFonts w:ascii="Arial" w:cs="Arial" w:eastAsia="Arial" w:hAnsi="Arial"/>
          <w:sz w:val="21"/>
          <w:szCs w:val="21"/>
          <w:color w:val="auto"/>
        </w:rPr>
      </w:pPr>
      <w:r>
        <w:rPr>
          <w:rFonts w:ascii="Arial" w:cs="Arial" w:eastAsia="Arial" w:hAnsi="Arial"/>
          <w:sz w:val="21"/>
          <w:szCs w:val="21"/>
          <w:u w:val="single" w:color="auto"/>
          <w:color w:val="auto"/>
        </w:rPr>
        <w:t>Headings</w:t>
      </w:r>
      <w:r>
        <w:rPr>
          <w:rFonts w:ascii="Arial" w:cs="Arial" w:eastAsia="Arial" w:hAnsi="Arial"/>
          <w:sz w:val="21"/>
          <w:szCs w:val="21"/>
          <w:color w:val="auto"/>
        </w:rPr>
        <w:t>.  The headings herein are for convenience only and shall not affect the interpretation of this</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Agreement.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[The remainder of this page is intentionally left blank.]</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H#628229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49" w:name="page50"/>
    <w:bookmarkEnd w:id="49"/>
    <w:p>
      <w:pPr>
        <w:spacing w:after="0"/>
        <w:rPr>
          <w:sz w:val="20"/>
          <w:szCs w:val="20"/>
          <w:color w:val="auto"/>
        </w:rPr>
      </w:pPr>
      <w:r>
        <w:rPr>
          <w:rFonts w:ascii="Arial" w:cs="Arial" w:eastAsia="Arial" w:hAnsi="Arial"/>
          <w:sz w:val="19"/>
          <w:szCs w:val="19"/>
          <w:color w:val="auto"/>
        </w:rPr>
        <w:t>IN WITNESS WHEREOF, the parties have executed this Agreement as of the day and year first above written.</w:t>
      </w:r>
    </w:p>
    <w:p>
      <w:pPr>
        <w:spacing w:after="0" w:line="200" w:lineRule="exact"/>
        <w:rPr>
          <w:sz w:val="20"/>
          <w:szCs w:val="20"/>
          <w:color w:val="auto"/>
        </w:rPr>
      </w:pPr>
    </w:p>
    <w:p>
      <w:pPr>
        <w:spacing w:after="0" w:line="251" w:lineRule="exact"/>
        <w:rPr>
          <w:sz w:val="20"/>
          <w:szCs w:val="20"/>
          <w:color w:val="auto"/>
        </w:rPr>
      </w:pPr>
    </w:p>
    <w:p>
      <w:pPr>
        <w:ind w:left="6080"/>
        <w:spacing w:after="0"/>
        <w:rPr>
          <w:sz w:val="20"/>
          <w:szCs w:val="20"/>
          <w:color w:val="auto"/>
        </w:rPr>
      </w:pPr>
      <w:r>
        <w:rPr>
          <w:rFonts w:ascii="Arial" w:cs="Arial" w:eastAsia="Arial" w:hAnsi="Arial"/>
          <w:sz w:val="22"/>
          <w:szCs w:val="22"/>
          <w:b w:val="1"/>
          <w:bCs w:val="1"/>
          <w:color w:val="auto"/>
        </w:rPr>
        <w:t>COMPANY:</w:t>
      </w:r>
    </w:p>
    <w:p>
      <w:pPr>
        <w:spacing w:after="0" w:line="206" w:lineRule="exact"/>
        <w:rPr>
          <w:sz w:val="20"/>
          <w:szCs w:val="20"/>
          <w:color w:val="auto"/>
        </w:rPr>
      </w:pPr>
    </w:p>
    <w:p>
      <w:pPr>
        <w:ind w:left="6080"/>
        <w:spacing w:after="0"/>
        <w:rPr>
          <w:sz w:val="20"/>
          <w:szCs w:val="20"/>
          <w:color w:val="auto"/>
        </w:rPr>
      </w:pPr>
      <w:r>
        <w:rPr>
          <w:rFonts w:ascii="Arial" w:cs="Arial" w:eastAsia="Arial" w:hAnsi="Arial"/>
          <w:sz w:val="22"/>
          <w:szCs w:val="22"/>
          <w:b w:val="1"/>
          <w:bCs w:val="1"/>
          <w:color w:val="auto"/>
        </w:rPr>
        <w:t>Clearside Biomedical, Inc.</w:t>
      </w:r>
    </w:p>
    <w:p>
      <w:pPr>
        <w:spacing w:after="0" w:line="200" w:lineRule="exact"/>
        <w:rPr>
          <w:sz w:val="20"/>
          <w:szCs w:val="20"/>
          <w:color w:val="auto"/>
        </w:rPr>
      </w:pPr>
    </w:p>
    <w:p>
      <w:pPr>
        <w:spacing w:after="0" w:line="228" w:lineRule="exact"/>
        <w:rPr>
          <w:sz w:val="20"/>
          <w:szCs w:val="20"/>
          <w:color w:val="auto"/>
        </w:rPr>
      </w:pPr>
    </w:p>
    <w:p>
      <w:pPr>
        <w:ind w:left="6080"/>
        <w:spacing w:after="0"/>
        <w:rPr>
          <w:sz w:val="20"/>
          <w:szCs w:val="20"/>
          <w:color w:val="auto"/>
        </w:rPr>
      </w:pPr>
      <w:r>
        <w:rPr>
          <w:rFonts w:ascii="Arial" w:cs="Arial" w:eastAsia="Arial" w:hAnsi="Arial"/>
          <w:sz w:val="22"/>
          <w:szCs w:val="22"/>
          <w:color w:val="auto"/>
        </w:rPr>
        <w:t>By: /s/George Lasezkay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6985</wp:posOffset>
            </wp:positionV>
            <wp:extent cx="154305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ind w:left="6080"/>
        <w:spacing w:after="0"/>
        <w:rPr>
          <w:sz w:val="20"/>
          <w:szCs w:val="20"/>
          <w:color w:val="auto"/>
        </w:rPr>
      </w:pPr>
      <w:r>
        <w:rPr>
          <w:rFonts w:ascii="Arial" w:cs="Arial" w:eastAsia="Arial" w:hAnsi="Arial"/>
          <w:sz w:val="22"/>
          <w:szCs w:val="22"/>
          <w:color w:val="auto"/>
        </w:rPr>
        <w:t>George Lasezkay</w:t>
      </w:r>
    </w:p>
    <w:p>
      <w:pPr>
        <w:ind w:left="608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080"/>
        <w:spacing w:after="0"/>
        <w:rPr>
          <w:sz w:val="20"/>
          <w:szCs w:val="20"/>
          <w:color w:val="auto"/>
        </w:rPr>
      </w:pPr>
      <w:r>
        <w:rPr>
          <w:rFonts w:ascii="Arial" w:cs="Arial" w:eastAsia="Arial" w:hAnsi="Arial"/>
          <w:sz w:val="22"/>
          <w:szCs w:val="22"/>
          <w:b w:val="1"/>
          <w:bCs w:val="1"/>
          <w:color w:val="auto"/>
        </w:rPr>
        <w:t>EXECUTIVE:</w:t>
      </w:r>
    </w:p>
    <w:p>
      <w:pPr>
        <w:spacing w:after="0" w:line="212" w:lineRule="exact"/>
        <w:rPr>
          <w:sz w:val="20"/>
          <w:szCs w:val="20"/>
          <w:color w:val="auto"/>
        </w:rPr>
      </w:pPr>
    </w:p>
    <w:p>
      <w:pPr>
        <w:ind w:left="6080"/>
        <w:spacing w:after="0"/>
        <w:rPr>
          <w:sz w:val="20"/>
          <w:szCs w:val="20"/>
          <w:color w:val="auto"/>
        </w:rPr>
      </w:pPr>
      <w:r>
        <w:rPr>
          <w:rFonts w:ascii="Arial" w:cs="Arial" w:eastAsia="Arial" w:hAnsi="Arial"/>
          <w:sz w:val="22"/>
          <w:szCs w:val="22"/>
          <w:color w:val="auto"/>
        </w:rPr>
        <w:t>/s/ Thomas Ciulla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6985</wp:posOffset>
            </wp:positionV>
            <wp:extent cx="327469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 w:lineRule="exact"/>
        <w:rPr>
          <w:sz w:val="20"/>
          <w:szCs w:val="20"/>
          <w:color w:val="auto"/>
        </w:rPr>
      </w:pPr>
    </w:p>
    <w:p>
      <w:pPr>
        <w:ind w:left="6080"/>
        <w:spacing w:after="0"/>
        <w:rPr>
          <w:sz w:val="20"/>
          <w:szCs w:val="20"/>
          <w:color w:val="auto"/>
        </w:rPr>
      </w:pPr>
      <w:r>
        <w:rPr>
          <w:rFonts w:ascii="Arial" w:cs="Arial" w:eastAsia="Arial" w:hAnsi="Arial"/>
          <w:sz w:val="22"/>
          <w:szCs w:val="22"/>
          <w:color w:val="auto"/>
        </w:rPr>
        <w:t>Thomas Ciulla</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H#628229</w:t>
      </w:r>
    </w:p>
    <w:p>
      <w:pPr>
        <w:sectPr>
          <w:pgSz w:w="11900" w:h="16838" w:orient="portrait"/>
          <w:cols w:equalWidth="0" w:num="1">
            <w:col w:w="10139"/>
          </w:cols>
          <w:pgMar w:left="320" w:top="334" w:right="1440"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George Lasezkay, certify that:</w:t>
      </w:r>
    </w:p>
    <w:p>
      <w:pPr>
        <w:spacing w:after="0" w:line="117" w:lineRule="exact"/>
        <w:rPr>
          <w:sz w:val="20"/>
          <w:szCs w:val="20"/>
          <w:color w:val="auto"/>
        </w:rPr>
      </w:pPr>
    </w:p>
    <w:p>
      <w:pPr>
        <w:ind w:left="520" w:hanging="512"/>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2020 of Clearside Biomedical, Inc. (the “registrant”);</w:t>
      </w:r>
    </w:p>
    <w:p>
      <w:pPr>
        <w:spacing w:after="0" w:line="117"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20" w:right="240" w:hanging="512"/>
        <w:spacing w:after="0" w:line="263" w:lineRule="auto"/>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40" w:right="180" w:hanging="519"/>
        <w:spacing w:after="0" w:line="263" w:lineRule="auto"/>
        <w:tabs>
          <w:tab w:leader="none" w:pos="10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40" w:right="320" w:hanging="519"/>
        <w:spacing w:after="0" w:line="263" w:lineRule="auto"/>
        <w:tabs>
          <w:tab w:leader="none" w:pos="10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40" w:right="480" w:hanging="519"/>
        <w:spacing w:after="0" w:line="342" w:lineRule="auto"/>
        <w:tabs>
          <w:tab w:leader="none" w:pos="1040"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80" w:hanging="519"/>
        <w:spacing w:after="0" w:line="263" w:lineRule="auto"/>
        <w:tabs>
          <w:tab w:leader="none" w:pos="10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5" w:lineRule="exact"/>
        <w:rPr>
          <w:rFonts w:ascii="Arial" w:cs="Arial" w:eastAsia="Arial" w:hAnsi="Arial"/>
          <w:sz w:val="18"/>
          <w:szCs w:val="18"/>
          <w:color w:val="auto"/>
        </w:rPr>
      </w:pPr>
    </w:p>
    <w:p>
      <w:pPr>
        <w:ind w:left="460" w:hanging="452"/>
        <w:spacing w:after="0" w:line="308" w:lineRule="auto"/>
        <w:tabs>
          <w:tab w:leader="none" w:pos="4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720" w:hanging="519"/>
        <w:spacing w:after="0" w:line="342" w:lineRule="auto"/>
        <w:tabs>
          <w:tab w:leader="none" w:pos="104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40" w:right="420" w:hanging="519"/>
        <w:spacing w:after="0" w:line="277" w:lineRule="auto"/>
        <w:tabs>
          <w:tab w:leader="none" w:pos="10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2020</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George Lasezkay, Pharm.D.,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George Lasezkay, Pharm. D., J.D.</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Charles A. Deignan, certify that:</w:t>
      </w:r>
    </w:p>
    <w:p>
      <w:pPr>
        <w:spacing w:after="0" w:line="117" w:lineRule="exact"/>
        <w:rPr>
          <w:sz w:val="20"/>
          <w:szCs w:val="20"/>
          <w:color w:val="auto"/>
        </w:rPr>
      </w:pPr>
    </w:p>
    <w:p>
      <w:pPr>
        <w:ind w:left="500" w:hanging="492"/>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2020 of Clearside Biomedical, Inc. (the “registrant”);</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5" w:lineRule="exact"/>
        <w:rPr>
          <w:rFonts w:ascii="Arial" w:cs="Arial" w:eastAsia="Arial" w:hAnsi="Arial"/>
          <w:sz w:val="18"/>
          <w:szCs w:val="18"/>
          <w:color w:val="auto"/>
        </w:rPr>
      </w:pPr>
    </w:p>
    <w:p>
      <w:pPr>
        <w:ind w:left="500" w:right="220" w:hanging="492"/>
        <w:spacing w:after="0" w:line="342" w:lineRule="auto"/>
        <w:tabs>
          <w:tab w:leader="none" w:pos="5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2020</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Charles A. Deignan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5715</wp:posOffset>
            </wp:positionV>
            <wp:extent cx="28460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ind w:left="6760"/>
        <w:spacing w:after="0"/>
        <w:rPr>
          <w:sz w:val="20"/>
          <w:szCs w:val="20"/>
          <w:color w:val="auto"/>
        </w:rPr>
      </w:pPr>
      <w:r>
        <w:rPr>
          <w:rFonts w:ascii="Arial" w:cs="Arial" w:eastAsia="Arial" w:hAnsi="Arial"/>
          <w:sz w:val="18"/>
          <w:szCs w:val="18"/>
          <w:color w:val="auto"/>
        </w:rPr>
        <w:t>Charles A. Deignan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21"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 AND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George Lasezkay, President and Chief Executive Officer of Clearside Biomedical, Inc. (the “Company”), and Charles A. Deignan, Chief Financial Officer of the Company, each hereby certifies that, to the best of his knowledge:</w:t>
      </w:r>
    </w:p>
    <w:p>
      <w:pPr>
        <w:spacing w:after="0" w:line="79" w:lineRule="exact"/>
        <w:rPr>
          <w:sz w:val="20"/>
          <w:szCs w:val="20"/>
          <w:color w:val="auto"/>
        </w:rPr>
      </w:pPr>
    </w:p>
    <w:p>
      <w:pPr>
        <w:ind w:left="500" w:right="460" w:hanging="492"/>
        <w:spacing w:after="0" w:line="308" w:lineRule="auto"/>
        <w:tabs>
          <w:tab w:leader="none" w:pos="500" w:val="left"/>
        </w:tabs>
        <w:numPr>
          <w:ilvl w:val="0"/>
          <w:numId w:val="45"/>
        </w:numPr>
        <w:rPr>
          <w:rFonts w:ascii="Arial" w:cs="Arial" w:eastAsia="Arial" w:hAnsi="Arial"/>
          <w:sz w:val="17"/>
          <w:szCs w:val="17"/>
          <w:b w:val="1"/>
          <w:bCs w:val="1"/>
          <w:color w:val="auto"/>
        </w:rPr>
      </w:pPr>
      <w:r>
        <w:rPr>
          <w:rFonts w:ascii="Arial" w:cs="Arial" w:eastAsia="Arial" w:hAnsi="Arial"/>
          <w:sz w:val="17"/>
          <w:szCs w:val="17"/>
          <w:color w:val="auto"/>
        </w:rPr>
        <w:t>The Company’s Quarterly Report on Form 10-Q for the period ended June 30, 2020, to which this Certification is attached as Exhibit 32.1 (the “Periodic Report”), fully complies with the requirements of Section 13(a) or Section 15(d) of the Exchange Act; and</w:t>
      </w:r>
    </w:p>
    <w:p>
      <w:pPr>
        <w:spacing w:after="0" w:line="38" w:lineRule="exact"/>
        <w:rPr>
          <w:rFonts w:ascii="Arial" w:cs="Arial" w:eastAsia="Arial" w:hAnsi="Arial"/>
          <w:sz w:val="17"/>
          <w:szCs w:val="17"/>
          <w:b w:val="1"/>
          <w:bCs w:val="1"/>
          <w:color w:val="auto"/>
        </w:rPr>
      </w:pPr>
    </w:p>
    <w:p>
      <w:pPr>
        <w:ind w:left="500" w:right="420" w:hanging="492"/>
        <w:spacing w:after="0" w:line="277" w:lineRule="auto"/>
        <w:tabs>
          <w:tab w:leader="none" w:pos="50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66"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set their hands hereto as of the 10th day of August, 2020.</w:t>
      </w:r>
    </w:p>
    <w:p>
      <w:pPr>
        <w:sectPr>
          <w:pgSz w:w="11900" w:h="16838" w:orient="portrait"/>
          <w:cols w:equalWidth="0" w:num="1">
            <w:col w:w="11240"/>
          </w:cols>
          <w:pgMar w:left="320" w:top="121" w:right="3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/s/ George Lasezkay, Pharm. D.,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8543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George Lasezkay, Pharm. D., J.D.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 Charles. A. Deignan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28460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Charles A. Deignan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(principal financial officer)</w:t>
      </w:r>
    </w:p>
    <w:p>
      <w:pPr>
        <w:spacing w:after="0" w:line="211" w:lineRule="exact"/>
        <w:rPr>
          <w:sz w:val="20"/>
          <w:szCs w:val="20"/>
          <w:color w:val="auto"/>
        </w:rPr>
      </w:pPr>
    </w:p>
    <w:p>
      <w:pPr>
        <w:sectPr>
          <w:pgSz w:w="11900" w:h="16838" w:orient="portrait"/>
          <w:cols w:equalWidth="0" w:num="2">
            <w:col w:w="6040" w:space="720"/>
            <w:col w:w="4480"/>
          </w:cols>
          <w:pgMar w:left="320" w:top="121" w:right="339" w:bottom="1440" w:gutter="0" w:footer="0" w:header="0"/>
          <w:type w:val="continuous"/>
        </w:sectPr>
      </w:pPr>
    </w:p>
    <w:p>
      <w:pPr>
        <w:spacing w:after="0" w:line="51" w:lineRule="exact"/>
        <w:rPr>
          <w:sz w:val="20"/>
          <w:szCs w:val="20"/>
          <w:color w:val="auto"/>
        </w:rPr>
      </w:pPr>
    </w:p>
    <w:p>
      <w:pPr>
        <w:jc w:val="both"/>
        <w:ind w:left="500" w:right="80" w:hanging="492"/>
        <w:spacing w:after="0" w:line="286" w:lineRule="auto"/>
        <w:tabs>
          <w:tab w:leader="none" w:pos="5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sectPr>
      <w:pgSz w:w="11900" w:h="16838" w:orient="portrait"/>
      <w:cols w:equalWidth="0" w:num="1">
        <w:col w:w="11240"/>
      </w:cols>
      <w:pgMar w:left="320" w:top="12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1"/>
      <w:numFmt w:val="upperLetter"/>
      <w:start w:val="68"/>
    </w:lvl>
  </w:abstractNum>
  <w:abstractNum w:abstractNumId="10">
    <w:nsid w:val="836C40E"/>
    <w:multiLevelType w:val="hybridMultilevel"/>
    <w:lvl w:ilvl="0">
      <w:lvlJc w:val="left"/>
      <w:lvlText w:val="(%1)"/>
      <w:numFmt w:val="lowerLetter"/>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1."/>
      <w:numFmt w:val="decimal"/>
      <w:start w:val="1"/>
    </w:lvl>
  </w:abstractNum>
  <w:abstractNum w:abstractNumId="15">
    <w:nsid w:val="7C3DBD3D"/>
    <w:multiLevelType w:val="hybridMultilevel"/>
    <w:lvl w:ilvl="0">
      <w:lvlJc w:val="left"/>
      <w:lvlText w:val="%1."/>
      <w:numFmt w:val="decimal"/>
      <w:start w:val="2"/>
    </w:lvl>
  </w:abstractNum>
  <w:abstractNum w:abstractNumId="16">
    <w:nsid w:val="737B8DDC"/>
    <w:multiLevelType w:val="hybridMultilevel"/>
    <w:lvl w:ilvl="0">
      <w:lvlJc w:val="left"/>
      <w:lvlText w:val="%1."/>
      <w:numFmt w:val="decimal"/>
      <w:start w:val="3"/>
    </w:lvl>
    <w:lvl w:ilvl="1">
      <w:lvlJc w:val="left"/>
      <w:lvlText w:val="(%2)"/>
      <w:numFmt w:val="lowerLetter"/>
      <w:start w:val="1"/>
    </w:lvl>
  </w:abstractNum>
  <w:abstractNum w:abstractNumId="17">
    <w:nsid w:val="6CEAF087"/>
    <w:multiLevelType w:val="hybridMultilevel"/>
    <w:lvl w:ilvl="0">
      <w:lvlJc w:val="left"/>
      <w:lvlText w:val="(%1)"/>
      <w:numFmt w:val="lowerLetter"/>
      <w:start w:val="2"/>
    </w:lvl>
  </w:abstractNum>
  <w:abstractNum w:abstractNumId="18">
    <w:nsid w:val="22221A70"/>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19">
    <w:nsid w:val="4516DDE9"/>
    <w:multiLevelType w:val="hybridMultilevel"/>
    <w:lvl w:ilvl="0">
      <w:lvlJc w:val="left"/>
      <w:lvlText w:val="%1."/>
      <w:numFmt w:val="decimal"/>
      <w:start w:val="6"/>
    </w:lvl>
  </w:abstractNum>
  <w:abstractNum w:abstractNumId="20">
    <w:nsid w:val="3006C83E"/>
    <w:multiLevelType w:val="hybridMultilevel"/>
    <w:lvl w:ilvl="0">
      <w:lvlJc w:val="left"/>
      <w:lvlText w:val="%1."/>
      <w:numFmt w:val="decimal"/>
      <w:start w:val="7"/>
    </w:lvl>
  </w:abstractNum>
  <w:abstractNum w:abstractNumId="21">
    <w:nsid w:val="614FD4A1"/>
    <w:multiLevelType w:val="hybridMultilevel"/>
    <w:lvl w:ilvl="0">
      <w:lvlJc w:val="left"/>
      <w:lvlText w:val="%1."/>
      <w:numFmt w:val="decimal"/>
      <w:start w:val="1"/>
    </w:lvl>
  </w:abstractNum>
  <w:abstractNum w:abstractNumId="22">
    <w:nsid w:val="419AC241"/>
    <w:multiLevelType w:val="hybridMultilevel"/>
    <w:lvl w:ilvl="0">
      <w:lvlJc w:val="left"/>
      <w:lvlText w:val="%1."/>
      <w:numFmt w:val="decimal"/>
      <w:start w:val="1"/>
    </w:lvl>
  </w:abstractNum>
  <w:abstractNum w:abstractNumId="23">
    <w:nsid w:val="5577F8E1"/>
    <w:multiLevelType w:val="hybridMultilevel"/>
    <w:lvl w:ilvl="0">
      <w:lvlJc w:val="left"/>
      <w:lvlText w:val="%1."/>
      <w:numFmt w:val="decimal"/>
      <w:start w:val="4"/>
    </w:lvl>
    <w:lvl w:ilvl="1">
      <w:lvlJc w:val="left"/>
      <w:lvlText w:val="(%2)"/>
      <w:numFmt w:val="lowerLetter"/>
      <w:start w:val="1"/>
    </w:lvl>
  </w:abstractNum>
  <w:abstractNum w:abstractNumId="24">
    <w:nsid w:val="440BADFC"/>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25">
    <w:nsid w:val="5072367"/>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6">
    <w:nsid w:val="3804823E"/>
    <w:multiLevelType w:val="hybridMultilevel"/>
    <w:lvl w:ilvl="0">
      <w:lvlJc w:val="left"/>
      <w:lvlText w:val="%1"/>
      <w:numFmt w:val="decimal"/>
      <w:start w:val="1"/>
    </w:lvl>
    <w:lvl w:ilvl="1">
      <w:lvlJc w:val="left"/>
      <w:lvlText w:val="(%2)"/>
      <w:numFmt w:val="lowerRoman"/>
      <w:start w:val="3"/>
    </w:lvl>
    <w:lvl w:ilvl="2">
      <w:lvlJc w:val="left"/>
      <w:lvlText w:val="%3"/>
      <w:numFmt w:val="upperLetter"/>
      <w:start w:val="1"/>
    </w:lvl>
  </w:abstractNum>
  <w:abstractNum w:abstractNumId="27">
    <w:nsid w:val="77465F01"/>
    <w:multiLevelType w:val="hybridMultilevel"/>
    <w:lvl w:ilvl="0">
      <w:lvlJc w:val="left"/>
      <w:lvlText w:val="(%1)"/>
      <w:numFmt w:val="decimal"/>
      <w:start w:val="180"/>
    </w:lvl>
    <w:lvl w:ilvl="1">
      <w:lvlJc w:val="left"/>
      <w:lvlText w:val="(%2)"/>
      <w:numFmt w:val="lowerRoman"/>
      <w:start w:val="4"/>
    </w:lvl>
    <w:lvl w:ilvl="2">
      <w:lvlJc w:val="left"/>
      <w:lvlText w:val="(%3)"/>
      <w:numFmt w:val="upperLetter"/>
      <w:start w:val="1"/>
    </w:lvl>
  </w:abstractNum>
  <w:abstractNum w:abstractNumId="28">
    <w:nsid w:val="7724C67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5"/>
    </w:lvl>
  </w:abstractNum>
  <w:abstractNum w:abstractNumId="29">
    <w:nsid w:val="5C482A97"/>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30">
    <w:nsid w:val="2463B9EA"/>
    <w:multiLevelType w:val="hybridMultilevel"/>
    <w:lvl w:ilvl="0">
      <w:lvlJc w:val="left"/>
      <w:lvlText w:val="(%1)"/>
      <w:numFmt w:val="decimal"/>
      <w:start w:val="1"/>
    </w:lvl>
  </w:abstractNum>
  <w:abstractNum w:abstractNumId="31">
    <w:nsid w:val="5E884ADC"/>
    <w:multiLevelType w:val="hybridMultilevel"/>
    <w:lvl w:ilvl="0">
      <w:lvlJc w:val="left"/>
      <w:lvlText w:val="%1"/>
      <w:numFmt w:val="lowerRoman"/>
      <w:start w:val="1"/>
    </w:lvl>
    <w:lvl w:ilvl="1">
      <w:lvlJc w:val="left"/>
      <w:lvlText w:val="(%2)"/>
      <w:numFmt w:val="decimal"/>
      <w:start w:val="3"/>
    </w:lvl>
  </w:abstractNum>
  <w:abstractNum w:abstractNumId="32">
    <w:nsid w:val="51EAD36B"/>
    <w:multiLevelType w:val="hybridMultilevel"/>
    <w:lvl w:ilvl="0">
      <w:lvlJc w:val="left"/>
      <w:lvlText w:val="(%1)"/>
      <w:numFmt w:val="lowerRoman"/>
      <w:start w:val="3"/>
    </w:lvl>
    <w:lvl w:ilvl="1">
      <w:lvlJc w:val="left"/>
      <w:lvlText w:val="(%2)"/>
      <w:numFmt w:val="decimal"/>
      <w:start w:val="1"/>
    </w:lvl>
  </w:abstractNum>
  <w:abstractNum w:abstractNumId="33">
    <w:nsid w:val="2D517796"/>
    <w:multiLevelType w:val="hybridMultilevel"/>
    <w:lvl w:ilvl="0">
      <w:lvlJc w:val="left"/>
      <w:lvlText w:val="(%1)"/>
      <w:numFmt w:val="lowerLetter"/>
      <w:start w:val="2"/>
    </w:lvl>
    <w:lvl w:ilvl="1">
      <w:lvlJc w:val="left"/>
      <w:lvlText w:val="%2."/>
      <w:numFmt w:val="decimal"/>
      <w:start w:val="5"/>
    </w:lvl>
    <w:lvl w:ilvl="2">
      <w:lvlJc w:val="left"/>
      <w:lvlText w:val="(%3)"/>
      <w:numFmt w:val="lowerLetter"/>
      <w:start w:val="4"/>
    </w:lvl>
    <w:lvl w:ilvl="3">
      <w:lvlJc w:val="left"/>
      <w:lvlText w:val="(%4)"/>
      <w:numFmt w:val="decimal"/>
      <w:start w:val="4"/>
    </w:lvl>
  </w:abstractNum>
  <w:abstractNum w:abstractNumId="34">
    <w:nsid w:val="580BD78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decimal"/>
      <w:start w:val="1"/>
    </w:lvl>
  </w:abstractNum>
  <w:abstractNum w:abstractNumId="35">
    <w:nsid w:val="153EA438"/>
    <w:multiLevelType w:val="hybridMultilevel"/>
    <w:lvl w:ilvl="0">
      <w:lvlJc w:val="left"/>
      <w:lvlText w:val="%1"/>
      <w:numFmt w:val="decimal"/>
      <w:start w:val="1"/>
    </w:lvl>
    <w:lvl w:ilvl="1">
      <w:lvlJc w:val="left"/>
      <w:lvlText w:val="(%2)"/>
      <w:numFmt w:val="lowerLetter"/>
      <w:start w:val="2"/>
    </w:lvl>
  </w:abstractNum>
  <w:abstractNum w:abstractNumId="36">
    <w:nsid w:val="3855585C"/>
    <w:multiLevelType w:val="hybridMultilevel"/>
    <w:lvl w:ilvl="0">
      <w:lvlJc w:val="left"/>
      <w:lvlText w:val="%1."/>
      <w:numFmt w:val="decimal"/>
      <w:start w:val="7"/>
    </w:lvl>
    <w:lvl w:ilvl="1">
      <w:lvlJc w:val="left"/>
      <w:lvlText w:val="(%2)"/>
      <w:numFmt w:val="lowerLetter"/>
      <w:start w:val="1"/>
    </w:lvl>
  </w:abstractNum>
  <w:abstractNum w:abstractNumId="37">
    <w:nsid w:val="70A64E2A"/>
    <w:multiLevelType w:val="hybridMultilevel"/>
    <w:lvl w:ilvl="0">
      <w:lvlJc w:val="left"/>
      <w:lvlText w:val="%1"/>
      <w:numFmt w:val="lowerLetter"/>
      <w:start w:val="1"/>
    </w:lvl>
    <w:lvl w:ilvl="1">
      <w:lvlJc w:val="left"/>
      <w:lvlText w:val="%2."/>
      <w:numFmt w:val="decimal"/>
      <w:start w:val="9"/>
    </w:lvl>
  </w:abstractNum>
  <w:abstractNum w:abstractNumId="38">
    <w:nsid w:val="6A2342EC"/>
    <w:multiLevelType w:val="hybridMultilevel"/>
    <w:lvl w:ilvl="0">
      <w:lvlJc w:val="left"/>
      <w:lvlText w:val="(%1)"/>
      <w:numFmt w:val="lowerLetter"/>
      <w:start w:val="2"/>
    </w:lvl>
    <w:lvl w:ilvl="1">
      <w:lvlJc w:val="left"/>
      <w:lvlText w:val="%2."/>
      <w:numFmt w:val="decimal"/>
      <w:start w:val="11"/>
    </w:lvl>
  </w:abstractNum>
  <w:abstractNum w:abstractNumId="39">
    <w:nsid w:val="2A487CB0"/>
    <w:multiLevelType w:val="hybridMultilevel"/>
    <w:lvl w:ilvl="0">
      <w:lvlJc w:val="left"/>
      <w:lvlText w:val="%1"/>
      <w:numFmt w:val="decimal"/>
      <w:start w:val="1"/>
    </w:lvl>
    <w:lvl w:ilvl="1">
      <w:lvlJc w:val="left"/>
      <w:lvlText w:val="(%2)"/>
      <w:numFmt w:val="lowerLetter"/>
      <w:start w:val="1"/>
    </w:lvl>
  </w:abstractNum>
  <w:abstractNum w:abstractNumId="40">
    <w:nsid w:val="1D4ED43B"/>
    <w:multiLevelType w:val="hybridMultilevel"/>
    <w:lvl w:ilvl="0">
      <w:lvlJc w:val="left"/>
      <w:lvlText w:val="%1."/>
      <w:numFmt w:val="decimal"/>
      <w:start w:val="16"/>
    </w:lvl>
    <w:lvl w:ilvl="1">
      <w:lvlJc w:val="left"/>
      <w:lvlText w:val="%2"/>
      <w:numFmt w:val="lowerLetter"/>
      <w:start w:val="1"/>
    </w:lvl>
  </w:abstractNum>
  <w:abstractNum w:abstractNumId="41">
    <w:nsid w:val="725A06FB"/>
    <w:multiLevelType w:val="hybridMultilevel"/>
    <w:lvl w:ilvl="0">
      <w:lvlJc w:val="left"/>
      <w:lvlText w:val="%1."/>
      <w:numFmt w:val="decimal"/>
      <w:start w:val="17"/>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54" Type="http://schemas.openxmlformats.org/officeDocument/2006/relationships/hyperlink" Target="http://www.sec.gov/Archives/edgar/data/1539029/000119312516615374/d208521dex31.htm" TargetMode="External"/><Relationship Id="rId55" Type="http://schemas.openxmlformats.org/officeDocument/2006/relationships/hyperlink" Target="http://www.sec.gov/Archives/edgar/data/1539029/000119312516615374/d208521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2020-08-10T15:11:57Z</dcterms:created>
  <dcterms:modified xsi:type="dcterms:W3CDTF">2020-08-10T15:11:57Z</dcterms:modified>
</cp:coreProperties>
</file>