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660" w:right="1720" w:hanging="3652"/>
        <w:spacing w:after="0" w:line="318" w:lineRule="auto"/>
        <w:tabs>
          <w:tab w:leader="none" w:pos="37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200" w:right="1720" w:hanging="4192"/>
        <w:spacing w:after="0" w:line="365" w:lineRule="auto"/>
        <w:tabs>
          <w:tab w:leader="none" w:pos="37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Clearside Biomedical, Inc.</w:t>
      </w:r>
    </w:p>
    <w:p>
      <w:pPr>
        <w:sectPr>
          <w:pgSz w:w="11900" w:h="16838" w:orient="portrait"/>
          <w:cols w:equalWidth="0" w:num="1">
            <w:col w:w="11240"/>
          </w:cols>
          <w:pgMar w:left="320" w:top="1193" w:right="339" w:bottom="1440" w:gutter="0" w:footer="0" w:header="0"/>
        </w:sectPr>
      </w:pPr>
    </w:p>
    <w:p>
      <w:pPr>
        <w:spacing w:after="0" w:line="16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45-2437375</w:t>
      </w:r>
    </w:p>
    <w:p>
      <w:pPr>
        <w:spacing w:after="0" w:line="4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700" w:space="160"/>
            <w:col w:w="3380"/>
          </w:cols>
          <w:pgMar w:left="320" w:top="1193" w:right="33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8"/>
          <w:szCs w:val="18"/>
          <w:b w:val="1"/>
          <w:bCs w:val="1"/>
          <w:color w:val="auto"/>
        </w:rPr>
        <w:t>900 North Point Parkway, Suite 200</w:t>
      </w:r>
    </w:p>
    <w:p>
      <w:pPr>
        <w:spacing w:after="0" w:line="19" w:lineRule="exact"/>
        <w:rPr>
          <w:sz w:val="24"/>
          <w:szCs w:val="24"/>
          <w:color w:val="auto"/>
        </w:rPr>
      </w:pPr>
    </w:p>
    <w:p>
      <w:pPr>
        <w:ind w:left="222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Alpharetta, GA</w:t>
      </w:r>
      <w:r>
        <w:rPr>
          <w:sz w:val="20"/>
          <w:szCs w:val="20"/>
          <w:color w:val="auto"/>
        </w:rPr>
        <w:tab/>
      </w:r>
      <w:r>
        <w:rPr>
          <w:rFonts w:ascii="Times New Roman" w:cs="Times New Roman" w:eastAsia="Times New Roman" w:hAnsi="Times New Roman"/>
          <w:sz w:val="18"/>
          <w:szCs w:val="18"/>
          <w:b w:val="1"/>
          <w:bCs w:val="1"/>
          <w:color w:val="auto"/>
        </w:rPr>
        <w:t>30005</w:t>
      </w:r>
    </w:p>
    <w:p>
      <w:pPr>
        <w:spacing w:after="0" w:line="11"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270-3631</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4" w:lineRule="exact"/>
        <w:rPr>
          <w:sz w:val="24"/>
          <w:szCs w:val="24"/>
          <w:color w:val="auto"/>
        </w:rPr>
      </w:pPr>
    </w:p>
    <w:p>
      <w:pPr>
        <w:ind w:left="1460"/>
        <w:spacing w:after="0"/>
        <w:tabs>
          <w:tab w:leader="none" w:pos="4660" w:val="left"/>
          <w:tab w:leader="none" w:pos="7300" w:val="left"/>
        </w:tabs>
        <w:rPr>
          <w:sz w:val="20"/>
          <w:szCs w:val="20"/>
          <w:color w:val="auto"/>
        </w:rPr>
      </w:pPr>
      <w:r>
        <w:rPr>
          <w:rFonts w:ascii="Times New Roman" w:cs="Times New Roman" w:eastAsia="Times New Roman" w:hAnsi="Times New Roman"/>
          <w:sz w:val="18"/>
          <w:szCs w:val="18"/>
          <w:color w:val="auto"/>
        </w:rPr>
        <w:t>Title of each class</w:t>
      </w:r>
      <w:r>
        <w:rPr>
          <w:sz w:val="20"/>
          <w:szCs w:val="20"/>
          <w:color w:val="auto"/>
        </w:rPr>
        <w:tab/>
      </w:r>
      <w:r>
        <w:rPr>
          <w:rFonts w:ascii="Times New Roman" w:cs="Times New Roman" w:eastAsia="Times New Roman" w:hAnsi="Times New Roman"/>
          <w:sz w:val="18"/>
          <w:szCs w:val="18"/>
          <w:color w:val="auto"/>
        </w:rPr>
        <w:t>Trading Symbol(s)</w:t>
      </w:r>
      <w:r>
        <w:rPr>
          <w:sz w:val="20"/>
          <w:szCs w:val="20"/>
          <w:color w:val="auto"/>
        </w:rPr>
        <w:tab/>
      </w:r>
      <w:r>
        <w:rPr>
          <w:rFonts w:ascii="Times New Roman" w:cs="Times New Roman" w:eastAsia="Times New Roman" w:hAnsi="Times New Roman"/>
          <w:sz w:val="18"/>
          <w:szCs w:val="18"/>
          <w:color w:val="auto"/>
        </w:rPr>
        <w:t>Name of each exchange on which registered</w:t>
      </w:r>
    </w:p>
    <w:p>
      <w:pPr>
        <w:spacing w:after="0" w:line="36" w:lineRule="exact"/>
        <w:rPr>
          <w:sz w:val="24"/>
          <w:szCs w:val="24"/>
          <w:color w:val="auto"/>
        </w:rPr>
      </w:pPr>
    </w:p>
    <w:p>
      <w:pPr>
        <w:ind w:left="560"/>
        <w:spacing w:after="0"/>
        <w:tabs>
          <w:tab w:leader="none" w:pos="5100" w:val="left"/>
          <w:tab w:leader="none" w:pos="7760" w:val="left"/>
        </w:tabs>
        <w:rPr>
          <w:sz w:val="20"/>
          <w:szCs w:val="20"/>
          <w:color w:val="auto"/>
        </w:rPr>
      </w:pPr>
      <w:r>
        <w:rPr>
          <w:rFonts w:ascii="Times New Roman" w:cs="Times New Roman" w:eastAsia="Times New Roman" w:hAnsi="Times New Roman"/>
          <w:sz w:val="18"/>
          <w:szCs w:val="18"/>
          <w:color w:val="auto"/>
        </w:rPr>
        <w:t>Common Stock, par value $0.001 per share</w:t>
      </w:r>
      <w:r>
        <w:rPr>
          <w:sz w:val="20"/>
          <w:szCs w:val="20"/>
          <w:color w:val="auto"/>
        </w:rPr>
        <w:tab/>
      </w:r>
      <w:r>
        <w:rPr>
          <w:rFonts w:ascii="Times New Roman" w:cs="Times New Roman" w:eastAsia="Times New Roman" w:hAnsi="Times New Roman"/>
          <w:sz w:val="18"/>
          <w:szCs w:val="18"/>
          <w:color w:val="auto"/>
        </w:rPr>
        <w:t>CLSD</w:t>
      </w:r>
      <w:r>
        <w:rPr>
          <w:sz w:val="20"/>
          <w:szCs w:val="20"/>
          <w:color w:val="auto"/>
        </w:rPr>
        <w:tab/>
      </w:r>
      <w:r>
        <w:rPr>
          <w:rFonts w:ascii="Times New Roman" w:cs="Times New Roman" w:eastAsia="Times New Roman" w:hAnsi="Times New Roman"/>
          <w:sz w:val="18"/>
          <w:szCs w:val="18"/>
          <w:color w:val="auto"/>
        </w:rPr>
        <w:t>The Nasdaq Stock Market LLC</w:t>
      </w:r>
    </w:p>
    <w:p>
      <w:pPr>
        <w:spacing w:after="0" w:line="90"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8, 2024, the registrant had 75,843,504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0" w:lineRule="exact"/>
        <w:rPr>
          <w:sz w:val="24"/>
          <w:szCs w:val="24"/>
          <w:color w:val="auto"/>
        </w:rPr>
      </w:pPr>
    </w:p>
    <w:p>
      <w:pPr>
        <w:ind w:left="1084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6811645</wp:posOffset>
            </wp:positionH>
            <wp:positionV relativeFrom="paragraph">
              <wp:posOffset>16510</wp:posOffset>
            </wp:positionV>
            <wp:extent cx="325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58"/>
        </w:trPr>
        <w:tc>
          <w:tcPr>
            <w:tcW w:w="1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760" w:type="dxa"/>
            <w:vAlign w:val="bottom"/>
            <w:gridSpan w:val="10"/>
          </w:tcPr>
          <w:p>
            <w:pPr>
              <w:ind w:left="14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520" w:type="dxa"/>
            <w:vAlign w:val="bottom"/>
            <w:tcBorders>
              <w:top w:val="single" w:sz="8" w:color="auto"/>
            </w:tcBorders>
          </w:tcPr>
          <w:p>
            <w:pPr>
              <w:spacing w:after="0"/>
              <w:rPr>
                <w:sz w:val="22"/>
                <w:szCs w:val="22"/>
                <w:color w:val="auto"/>
              </w:rPr>
            </w:pPr>
          </w:p>
        </w:tc>
      </w:tr>
      <w:tr>
        <w:trPr>
          <w:trHeight w:val="24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520" w:type="dxa"/>
            <w:vAlign w:val="bottom"/>
          </w:tcPr>
          <w:p>
            <w:pPr>
              <w:spacing w:after="0"/>
              <w:rPr>
                <w:sz w:val="20"/>
                <w:szCs w:val="20"/>
                <w:color w:val="auto"/>
              </w:rPr>
            </w:pPr>
          </w:p>
        </w:tc>
      </w:tr>
      <w:tr>
        <w:trPr>
          <w:trHeight w:val="202"/>
        </w:trPr>
        <w:tc>
          <w:tcPr>
            <w:tcW w:w="1140" w:type="dxa"/>
            <w:vAlign w:val="bottom"/>
          </w:tcPr>
          <w:p>
            <w:pPr>
              <w:spacing w:after="0"/>
              <w:rPr>
                <w:sz w:val="17"/>
                <w:szCs w:val="17"/>
                <w:color w:val="auto"/>
              </w:rPr>
            </w:pPr>
          </w:p>
        </w:tc>
        <w:tc>
          <w:tcPr>
            <w:tcW w:w="9560" w:type="dxa"/>
            <w:vAlign w:val="bottom"/>
            <w:gridSpan w:val="12"/>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 as of September 30, 2024 and December 31, 2023</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1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95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three and nine months ended September 30, 2024 and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1140" w:type="dxa"/>
            <w:vAlign w:val="bottom"/>
          </w:tcPr>
          <w:p>
            <w:pPr>
              <w:spacing w:after="0"/>
              <w:rPr>
                <w:sz w:val="19"/>
                <w:szCs w:val="19"/>
                <w:color w:val="auto"/>
              </w:rPr>
            </w:pPr>
          </w:p>
        </w:tc>
        <w:tc>
          <w:tcPr>
            <w:tcW w:w="95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(Deficit) Equity for the three and nine months ended September 30, 2024 and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1140" w:type="dxa"/>
            <w:vAlign w:val="bottom"/>
          </w:tcPr>
          <w:p>
            <w:pPr>
              <w:spacing w:after="0"/>
              <w:rPr>
                <w:sz w:val="19"/>
                <w:szCs w:val="19"/>
                <w:color w:val="auto"/>
              </w:rPr>
            </w:pPr>
          </w:p>
        </w:tc>
        <w:tc>
          <w:tcPr>
            <w:tcW w:w="7040" w:type="dxa"/>
            <w:vAlign w:val="bottom"/>
            <w:tcBorders>
              <w:top w:val="single" w:sz="8" w:color="0000FF"/>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2024 and 2023</w:t>
            </w:r>
          </w:p>
        </w:tc>
        <w:tc>
          <w:tcPr>
            <w:tcW w:w="130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140" w:type="dxa"/>
            <w:vAlign w:val="bottom"/>
          </w:tcPr>
          <w:p>
            <w:pPr>
              <w:spacing w:after="0"/>
              <w:rPr>
                <w:sz w:val="19"/>
                <w:szCs w:val="19"/>
                <w:color w:val="auto"/>
              </w:rPr>
            </w:pPr>
          </w:p>
        </w:tc>
        <w:tc>
          <w:tcPr>
            <w:tcW w:w="95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1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100" w:type="dxa"/>
            <w:vAlign w:val="bottom"/>
            <w:gridSpan w:val="6"/>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9"/>
                <w:szCs w:val="19"/>
                <w:color w:val="auto"/>
              </w:rPr>
            </w:pPr>
          </w:p>
        </w:tc>
        <w:tc>
          <w:tcPr>
            <w:tcW w:w="2560" w:type="dxa"/>
            <w:vAlign w:val="bottom"/>
            <w:tcBorders>
              <w:top w:val="single" w:sz="8" w:color="0000FF"/>
            </w:tcBorders>
            <w:gridSpan w:val="2"/>
          </w:tcPr>
          <w:p>
            <w:pPr>
              <w:spacing w:after="0"/>
              <w:rPr>
                <w:sz w:val="19"/>
                <w:szCs w:val="19"/>
                <w:color w:val="auto"/>
              </w:rPr>
            </w:pPr>
          </w:p>
        </w:tc>
        <w:tc>
          <w:tcPr>
            <w:tcW w:w="5200" w:type="dxa"/>
            <w:vAlign w:val="bottom"/>
            <w:gridSpan w:val="8"/>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0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2040" w:type="dxa"/>
            <w:vAlign w:val="bottom"/>
          </w:tcPr>
          <w:p>
            <w:pPr>
              <w:spacing w:after="0"/>
              <w:rPr>
                <w:sz w:val="20"/>
                <w:szCs w:val="20"/>
                <w:color w:val="auto"/>
              </w:rPr>
            </w:pPr>
          </w:p>
        </w:tc>
      </w:tr>
      <w:tr>
        <w:trPr>
          <w:trHeight w:val="216"/>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19"/>
                <w:szCs w:val="19"/>
                <w:color w:val="auto"/>
              </w:rPr>
            </w:pPr>
          </w:p>
        </w:tc>
        <w:tc>
          <w:tcPr>
            <w:tcW w:w="6700" w:type="dxa"/>
            <w:vAlign w:val="bottom"/>
            <w:gridSpan w:val="2"/>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6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6720" w:type="dxa"/>
            <w:vAlign w:val="bottom"/>
            <w:gridSpan w:val="3"/>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661"/>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7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29,161</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34,018</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(includes $232 and $331 to a related party as of</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 (includes $304 and $215 to a related party as of</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related to the sales of future royalties, net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Borders>
              <w:top w:val="single" w:sz="8" w:color="CFF0FC"/>
            </w:tcBorders>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63,950</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49,930</w:t>
            </w:r>
          </w:p>
        </w:tc>
        <w:tc>
          <w:tcPr>
            <w:tcW w:w="100" w:type="dxa"/>
            <w:vAlign w:val="bottom"/>
            <w:tcBorders>
              <w:top w:val="single" w:sz="8" w:color="CFF0FC"/>
            </w:tcBorders>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and no</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shares issued at September 30, 2024 and December 31, 2023</w:t>
            </w:r>
          </w:p>
        </w:tc>
        <w:tc>
          <w:tcPr>
            <w:tcW w:w="1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200,000,000 shares authorized at</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September 30, 2024 and December 31, 2023; 74,745,572 and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62,850,841 shares issued and outstanding at September 30, 2024</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313,100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304,948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(347,969 )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(320,923 )</w:t>
            </w: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(34,789 )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(15,912 )</w:t>
            </w:r>
          </w:p>
        </w:tc>
      </w:tr>
      <w:tr>
        <w:trPr>
          <w:trHeight w:val="276"/>
        </w:trPr>
        <w:tc>
          <w:tcPr>
            <w:tcW w:w="772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29,161</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-4937125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-4937125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-4311015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-4311015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-2142490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3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7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License and other revenue (includes $81 and $237 from</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 related party for the three and nine months ended</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September 30, 2024, respectively)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(includes $255 and $473 to a</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party for the three and nine months ended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September 30, 2024, respectively, and $559 and $640 for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three and nine months ended September 30, 2023,</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4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(5,934 )</w:t>
            </w: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(7,054 )</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(21,733 )</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(21,929 )</w:t>
            </w:r>
          </w:p>
        </w:tc>
        <w:tc>
          <w:tcPr>
            <w:tcW w:w="0" w:type="dxa"/>
            <w:vAlign w:val="bottom"/>
          </w:tcPr>
          <w:p>
            <w:pPr>
              <w:spacing w:after="0"/>
              <w:rPr>
                <w:sz w:val="1"/>
                <w:szCs w:val="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 on liability</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(2,457 )</w:t>
            </w:r>
          </w:p>
        </w:tc>
        <w:tc>
          <w:tcPr>
            <w:tcW w:w="300" w:type="dxa"/>
            <w:vAlign w:val="bottom"/>
          </w:tcPr>
          <w:p>
            <w:pPr>
              <w:spacing w:after="0"/>
              <w:rPr>
                <w:sz w:val="18"/>
                <w:szCs w:val="18"/>
                <w:color w:val="auto"/>
              </w:rPr>
            </w:pPr>
          </w:p>
        </w:tc>
        <w:tc>
          <w:tcPr>
            <w:tcW w:w="12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(2,622 )</w:t>
            </w:r>
          </w:p>
        </w:tc>
        <w:tc>
          <w:tcPr>
            <w:tcW w:w="200" w:type="dxa"/>
            <w:vAlign w:val="bottom"/>
          </w:tcPr>
          <w:p>
            <w:pPr>
              <w:spacing w:after="0"/>
              <w:rPr>
                <w:sz w:val="18"/>
                <w:szCs w:val="18"/>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(7,200 )</w:t>
            </w:r>
          </w:p>
        </w:tc>
        <w:tc>
          <w:tcPr>
            <w:tcW w:w="200" w:type="dxa"/>
            <w:vAlign w:val="bottom"/>
          </w:tcPr>
          <w:p>
            <w:pPr>
              <w:spacing w:after="0"/>
              <w:rPr>
                <w:sz w:val="18"/>
                <w:szCs w:val="18"/>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(7,083 )</w:t>
            </w:r>
          </w:p>
        </w:tc>
        <w:tc>
          <w:tcPr>
            <w:tcW w:w="0" w:type="dxa"/>
            <w:vAlign w:val="bottom"/>
          </w:tcPr>
          <w:p>
            <w:pPr>
              <w:spacing w:after="0"/>
              <w:rPr>
                <w:sz w:val="1"/>
                <w:szCs w:val="1"/>
                <w:color w:val="auto"/>
              </w:rPr>
            </w:pPr>
          </w:p>
        </w:tc>
      </w:tr>
      <w:tr>
        <w:trPr>
          <w:trHeight w:val="234"/>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the sales of future royalties</w:t>
            </w:r>
          </w:p>
        </w:tc>
        <w:tc>
          <w:tcPr>
            <w:tcW w:w="2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(7,688 )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(9,267 )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(27,046 )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(27,653 )</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(0.45 )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74,745,415</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61,983,987</w:t>
            </w:r>
          </w:p>
        </w:tc>
        <w:tc>
          <w:tcPr>
            <w:tcW w:w="4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73,115,896</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61,605,648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(7,688 )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(9,267 )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(27,046 )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(27,653 )</w:t>
            </w:r>
          </w:p>
        </w:tc>
        <w:tc>
          <w:tcPr>
            <w:tcW w:w="0" w:type="dxa"/>
            <w:vAlign w:val="bottom"/>
          </w:tcPr>
          <w:p>
            <w:pPr>
              <w:spacing w:after="0"/>
              <w:rPr>
                <w:sz w:val="1"/>
                <w:szCs w:val="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 investments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(7,682 )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(9,267 )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(27,041 )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(27,653 )</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-2116455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-2116455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-2116455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-1036320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-1019810</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-1036320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-1019810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-1036320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-1019810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-676910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-659765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-676910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-659765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-676910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-659765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-25400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1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2024</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3"/>
            <w:vMerge w:val="restart"/>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4"/>
        </w:trPr>
        <w:tc>
          <w:tcPr>
            <w:tcW w:w="4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4"/>
                <w:szCs w:val="14"/>
                <w:color w:val="auto"/>
              </w:rPr>
            </w:pP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840" w:type="dxa"/>
            <w:vAlign w:val="bottom"/>
            <w:gridSpan w:val="2"/>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620" w:type="dxa"/>
            <w:vAlign w:val="bottom"/>
            <w:gridSpan w:val="3"/>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Paid-In-Capital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Gain (Loss)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44"/>
              <w:spacing w:after="0"/>
              <w:rPr>
                <w:sz w:val="20"/>
                <w:szCs w:val="20"/>
                <w:color w:val="auto"/>
              </w:rPr>
            </w:pPr>
            <w:r>
              <w:rPr>
                <w:rFonts w:ascii="Times New Roman" w:cs="Times New Roman" w:eastAsia="Times New Roman" w:hAnsi="Times New Roman"/>
                <w:sz w:val="13"/>
                <w:szCs w:val="13"/>
                <w:b w:val="1"/>
                <w:bCs w:val="1"/>
                <w:color w:val="auto"/>
                <w:w w:val="97"/>
              </w:rPr>
              <w:t>(Deficit) Equity</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December 31, 2023</w:t>
            </w: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62,850,841</w:t>
            </w:r>
          </w:p>
        </w:tc>
        <w:tc>
          <w:tcPr>
            <w:tcW w:w="260" w:type="dxa"/>
            <w:vAlign w:val="bottom"/>
          </w:tcPr>
          <w:p>
            <w:pPr>
              <w:spacing w:after="0"/>
              <w:rPr>
                <w:sz w:val="15"/>
                <w:szCs w:val="15"/>
                <w:color w:val="auto"/>
              </w:rPr>
            </w:pPr>
          </w:p>
        </w:tc>
        <w:tc>
          <w:tcPr>
            <w:tcW w:w="280" w:type="dxa"/>
            <w:vAlign w:val="bottom"/>
            <w:tcBorders>
              <w:top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304,948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(320,923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(15,912</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58"/>
        </w:trPr>
        <w:tc>
          <w:tcPr>
            <w:tcW w:w="424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common stock under registered direct</w:t>
            </w: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offering</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11,111,111</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4,309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24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common stock under at-the-market</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sales agreement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339,912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gridSpan w:val="3"/>
          </w:tcPr>
          <w:p>
            <w:pPr>
              <w:jc w:val="right"/>
              <w:ind w:right="12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2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Vesting and settlement of restricted stock units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397,594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gridSpan w:val="3"/>
          </w:tcPr>
          <w:p>
            <w:pPr>
              <w:jc w:val="right"/>
              <w:ind w:right="12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424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common stock under employee stock</w:t>
            </w: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purchase plan</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21,681</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2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3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gridSpan w:val="3"/>
          </w:tcPr>
          <w:p>
            <w:pPr>
              <w:jc w:val="right"/>
              <w:ind w:right="12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(11,763 )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(11,763 )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March 31, 2024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74,731,139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310,802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(332,686 )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(21,810 )</w:t>
            </w: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2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3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gridSpan w:val="3"/>
          </w:tcPr>
          <w:p>
            <w:pPr>
              <w:jc w:val="right"/>
              <w:ind w:right="12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(7,595 )</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(7,595 )</w:t>
            </w: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(1 )</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June 30, 2024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74,731,139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311,922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(340,281 )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(1 )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(28,286 )</w:t>
            </w:r>
          </w:p>
        </w:tc>
        <w:tc>
          <w:tcPr>
            <w:tcW w:w="0" w:type="dxa"/>
            <w:vAlign w:val="bottom"/>
          </w:tcPr>
          <w:p>
            <w:pPr>
              <w:spacing w:after="0"/>
              <w:rPr>
                <w:sz w:val="1"/>
                <w:szCs w:val="1"/>
                <w:color w:val="auto"/>
              </w:rPr>
            </w:pPr>
          </w:p>
        </w:tc>
      </w:tr>
      <w:tr>
        <w:trPr>
          <w:trHeight w:val="158"/>
        </w:trPr>
        <w:tc>
          <w:tcPr>
            <w:tcW w:w="424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common stock under employee stock</w:t>
            </w: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purchase plan</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14,433</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3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gridSpan w:val="3"/>
          </w:tcPr>
          <w:p>
            <w:pPr>
              <w:jc w:val="right"/>
              <w:ind w:right="12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2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(7,688 )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(7,688 )</w:t>
            </w: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gain</w:t>
            </w:r>
          </w:p>
        </w:tc>
        <w:tc>
          <w:tcPr>
            <w:tcW w:w="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September 30, 2024</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74,745,572</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313,100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(347,969 )</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6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(34,789 )</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4"/>
          </w:tcPr>
          <w:p>
            <w:pPr>
              <w:ind w:left="4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2023</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2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5"/>
        </w:trPr>
        <w:tc>
          <w:tcPr>
            <w:tcW w:w="4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4"/>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4"/>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Borders>
              <w:bottom w:val="single" w:sz="8" w:color="auto"/>
            </w:tcBorders>
            <w:gridSpan w:val="3"/>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6"/>
              </w:rPr>
              <w:t>Paid-In-Capital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4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w w:val="97"/>
              </w:rPr>
              <w:t>(Deficit) 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December 31, 2022</w:t>
            </w:r>
          </w:p>
        </w:tc>
        <w:tc>
          <w:tcPr>
            <w:tcW w:w="13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60,639,827</w:t>
            </w:r>
          </w:p>
        </w:tc>
        <w:tc>
          <w:tcPr>
            <w:tcW w:w="520" w:type="dxa"/>
            <w:vAlign w:val="bottom"/>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298,984</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(288,438 )</w:t>
            </w:r>
          </w:p>
        </w:tc>
        <w:tc>
          <w:tcPr>
            <w:tcW w:w="16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24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common stock under at-the-market</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sales agreement</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214,128</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Vesting and settlement of restricted stock units</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471,390</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tcBorders>
              <w:right w:val="single" w:sz="8" w:color="CFF0FC"/>
            </w:tcBorders>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424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common stock under employee</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purchase plan</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38,954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tcBorders>
              <w:right w:val="single" w:sz="8" w:color="CFF0FC"/>
            </w:tcBorders>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(9,280 )</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(9,280 )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March 31, 2023</w:t>
            </w:r>
          </w:p>
        </w:tc>
        <w:tc>
          <w:tcPr>
            <w:tcW w:w="30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61,364,299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300,357</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(297,718 )</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24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common stock under at-the-market</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sales agreement</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328,147</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24,999</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tcBorders>
              <w:right w:val="single" w:sz="8" w:color="CFF0FC"/>
            </w:tcBorders>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(9,106 )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(9,106 )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June 30, 2023</w:t>
            </w:r>
          </w:p>
        </w:tc>
        <w:tc>
          <w:tcPr>
            <w:tcW w:w="3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61,717,445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301,789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(306,824 )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(4,973 )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2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5"/>
                <w:szCs w:val="15"/>
                <w:color w:val="auto"/>
              </w:rPr>
              <w:t>Issuance of common stock under at-the-market</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sales agreement</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303,894</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tcBorders>
              <w:right w:val="single" w:sz="8" w:color="CFF0FC"/>
            </w:tcBorders>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56,817</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24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common stock under employee stock</w:t>
            </w: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purchase plan</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29,155</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tcBorders>
              <w:right w:val="single" w:sz="8" w:color="CFF0FC"/>
            </w:tcBorders>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1,074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(9,267 )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(9,267 )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September 30, 2023</w:t>
            </w:r>
          </w:p>
        </w:tc>
        <w:tc>
          <w:tcPr>
            <w:tcW w:w="3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62,107,311</w:t>
            </w:r>
          </w:p>
        </w:tc>
        <w:tc>
          <w:tcPr>
            <w:tcW w:w="260" w:type="dxa"/>
            <w:vAlign w:val="bottom"/>
          </w:tcPr>
          <w:p>
            <w:pPr>
              <w:spacing w:after="0"/>
              <w:rPr>
                <w:sz w:val="15"/>
                <w:szCs w:val="15"/>
                <w:color w:val="auto"/>
              </w:rPr>
            </w:pPr>
          </w:p>
        </w:tc>
        <w:tc>
          <w:tcPr>
            <w:tcW w:w="260" w:type="dxa"/>
            <w:vAlign w:val="bottom"/>
            <w:gridSpan w:val="2"/>
          </w:tcPr>
          <w:p>
            <w:pPr>
              <w:jc w:val="right"/>
              <w:ind w:right="8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260" w:type="dxa"/>
            <w:vAlign w:val="bottom"/>
          </w:tcPr>
          <w:p>
            <w:pPr>
              <w:spacing w:after="0"/>
              <w:rPr>
                <w:sz w:val="15"/>
                <w:szCs w:val="15"/>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303,180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(316,091 )</w:t>
            </w:r>
          </w:p>
        </w:tc>
        <w:tc>
          <w:tcPr>
            <w:tcW w:w="160" w:type="dxa"/>
            <w:vAlign w:val="bottom"/>
          </w:tcPr>
          <w:p>
            <w:pPr>
              <w:spacing w:after="0"/>
              <w:rPr>
                <w:sz w:val="15"/>
                <w:szCs w:val="15"/>
                <w:color w:val="auto"/>
              </w:rPr>
            </w:pPr>
          </w:p>
        </w:tc>
        <w:tc>
          <w:tcPr>
            <w:tcW w:w="18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(12,849 )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-4714240</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-4714240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-4714240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-4714240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-4714240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-4714240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-4225290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-4225290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-4225290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-4225290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-4225290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-4225290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-3385820</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-3368040</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-3385820</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-3368040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-3385820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-3368040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-3385820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-3368040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-3385820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-3368040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-3385820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-1113790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-1113790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-1113790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-1113790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-153670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-153670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-153670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-153670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(27,046 )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(27,653 )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 on liability related to the sales of</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future royalties, net of issuance costs accretion</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(1,570 )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costs allocated to warrant liabilities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and accretion of available-for-sale investments, net</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(286 )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(319 )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(1,030 )</w:t>
            </w:r>
          </w:p>
        </w:tc>
      </w:tr>
      <w:tr>
        <w:trPr>
          <w:trHeight w:val="239"/>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15"/>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payable and accrued liabilities (includes $223 to a related party</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for the nine months ended September 30, 2024)</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r>
      <w:tr>
        <w:trPr>
          <w:trHeight w:val="239"/>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(205 )</w:t>
            </w: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(19,444 )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(18,630 )</w:t>
            </w: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(1,657 )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(16,912 )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(9,945 )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(1,657 )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and warrants under</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registered direct offering, net of issuance costs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at-the-market sales agreement, net of issuance costs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to royalty purchase and sale agreement</w:t>
            </w:r>
          </w:p>
        </w:tc>
        <w:tc>
          <w:tcPr>
            <w:tcW w:w="98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shares issued under employee stock purchase plan</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14,357</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(15,032 )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(19,616 )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 end of period</w:t>
            </w:r>
          </w:p>
        </w:tc>
        <w:tc>
          <w:tcPr>
            <w:tcW w:w="9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13,888</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28,802</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included in accrued liabilities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-2197100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-2197100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-808355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-808355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-490855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21" w:lineRule="exact"/>
        <w:rPr>
          <w:sz w:val="20"/>
          <w:szCs w:val="20"/>
          <w:color w:val="auto"/>
        </w:rPr>
      </w:pPr>
    </w:p>
    <w:p>
      <w:pPr>
        <w:ind w:right="80" w:firstLine="509"/>
        <w:spacing w:after="0" w:line="236" w:lineRule="auto"/>
        <w:rPr>
          <w:sz w:val="20"/>
          <w:szCs w:val="20"/>
          <w:color w:val="auto"/>
        </w:rPr>
      </w:pPr>
      <w:r>
        <w:rPr>
          <w:rFonts w:ascii="Times New Roman" w:cs="Times New Roman" w:eastAsia="Times New Roman" w:hAnsi="Times New Roman"/>
          <w:sz w:val="18"/>
          <w:szCs w:val="18"/>
          <w:color w:val="auto"/>
        </w:rPr>
        <w:t>Clearside Biomedical, Inc. (the “Company”) is a biopharmaceutical company focused on revolutionizing the delivery of therapies to the back of the eye through the suprachoroidal space (SCS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Incorporated in the State of Delaware on May 26, 2011, the Company has its corporate headquarters in Alpharetta, Georgia.</w:t>
      </w:r>
    </w:p>
    <w:p>
      <w:pPr>
        <w:spacing w:after="0" w:line="9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Company’s activities since inception have primarily consisted of developing product and technology rights, raising capital and performing research and development activities.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cash, cash equivalents and short-term investments of $23.6 million as of September 30, 2024.</w:t>
      </w:r>
    </w:p>
    <w:p>
      <w:pPr>
        <w:spacing w:after="0" w:line="11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Historically, the Company has funded its operations primarily through the sale of common stock and convertible preferred stock, the issuance of warrants, the issuance of long-term debt, and license agreements.</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February 6, 2024, the Company entered into a securities purchase agreement with institutional investors and an existing stockholder, pursuant to which the Company issued and sold, in a registered direct offering (the “Registered Direct Offering”): (i) an aggregate of 11,111,111 shares of its common stock; and (ii) warrants to purchase up to 11,111,111 shares of common stock (the “Warrants”). The combined purchase price of each share and accompanying Warrant was $1.35. The exercise price for the Warrants is $1.62 per share. The Warrants will be exercisable from August 9, 2024 and will expire on August 9, 2029. The net proceeds to the Company from the Registered Direct Offering were $13.9 million.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31, 2024 (the “Amendment Effective Date”), the Company entered into a fourth amendment to the license agreement (as amended,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“Emory License Agreement”) with Emory University and Georgia Tech Research Corporation (collectively, the “Licensor”) pursuant to which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reduce the Sublicense Percentage (as defined in the Emory License Agreement) from a low double digit percentage to a high single digit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that the Company will pay the Licensor applicable to any fees or payments paid to the Company by any Sublicensee (as defined in the Emory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 of the Licensed Patents and/or Licensed Technology (each as defined in the Emory License Agreement), excluding (i) amounts paid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by a Sublicensee to reimburse the Company for certain research and development costs pursuant to a written agreement between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such Sublicensee, (ii) the value of intellectual property transferred or granted to the Company if necessary or helpful to the development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commercialization of Licensed Products (as defined in the Emory License Agreement) and (iii) amounts paid for shares of the Company’s stock.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to Licensor of any such Sublicense Percentage is due within 30 days of receipt by the Company of a qualifying payment from a Sublicensee,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however, with respect to any qualifying payments received by the Company from a Sublicensee prior to January 1, 2025, the payment to Licensor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such Sublicensee Percentage is due to Licensor by March 31, 2025. The parties also agreed to a revised annual license maintenance fee due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(the “Maintenance Fee”) starting in 2023 through 2028, as follows: $250,000 for 2023 through 2025, $350,000 for 2026, $400,000 for 2027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 for 2028. The Company paid the Maintenance Fee for 2023 in February 2024 and the Maintenance Fee for 2024 in October 2024. The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Maintenance Fee payments are due on October 1st of each year.</w:t>
      </w:r>
    </w:p>
    <w:p>
      <w:pPr>
        <w:spacing w:after="0" w:line="9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December 22, 2023, Clearside Biomedical, Inc., through its wholly owned subsidiary Clearside Royalty LLC ("Royalty Sub"), entered into a letter agreement (the “Letter Agreement”) with HCR (as defined below) and HCR Clearside SPV, LLC (as assignee of HCR Collateral Management, LLC) (“Agent”) amending that certain Purchase and Sale Agreement, dated as of August 8, 2022, by and among Royalty Sub, HCR and Agent ("Purchase and Sale Agreement"). Pursuant to the terms of the Letter Agreement, Royalty Sub and Agent mutually agreed that Royalty Sub waived any and all rights to the $12.5 million milestone payment which was deposited in an escrow account (“First Milestone Payment") in connection with the closing of the transactions contemplated by the Purchase and Sale Agreement and agreed to the release of the First Milestone Payment to Agent.</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November 1, 2023, the Company, entered into a license agreement (the “BioCryst License Agreement”) with BioCryst Pharmaceuticals, Inc. (“BioCryst”) pursuant to which the Company granted BioCryst an exclusive, worldwide and sublicensable license to the Company’s SCS Microinjector for the delivery of BioCryst’s proprietary plasma kallikrein inhibitor known as avoralstat for the treatment and prevention of diabetic macular edema (“DME”). The Company received an upfront license fee payment of $5.0 million in connection with signing of the BioCryst License Agreement. In addition, the Company is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the Company tiered mid-single digit royalties on annual global net product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right="560"/>
        <w:spacing w:after="0" w:line="282" w:lineRule="auto"/>
        <w:rPr>
          <w:sz w:val="20"/>
          <w:szCs w:val="20"/>
          <w:color w:val="auto"/>
        </w:rPr>
      </w:pPr>
      <w:r>
        <w:rPr>
          <w:rFonts w:ascii="Times New Roman" w:cs="Times New Roman" w:eastAsia="Times New Roman" w:hAnsi="Times New Roman"/>
          <w:sz w:val="18"/>
          <w:szCs w:val="18"/>
          <w:color w:val="auto"/>
        </w:rPr>
        <w:t>sales, with the highest royalty rate applied to sales over $1.5 billion, subject to reductions in specified circumstances. The Company’s rights to these royalties and milestone payments have been sold pursuant to the terms and conditions of the Purchase and Sale Agreement as described in Note 5.</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May 2023, the Company terminated its at-the-market sales agreement with Cowen and Company, LLC (the "ATM Agreement"). The Company sold 515,959 shares of its common stock for net proceeds of $0.7 million under its ATM Agreement with Cowen and Company, LLC during the nine months ended September 30, 2023, prior to the termination of the ATM Agreement.</w:t>
      </w:r>
    </w:p>
    <w:p>
      <w:pPr>
        <w:spacing w:after="0" w:line="75"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In May 2023,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("Cantor") under which the Company may offer and sell, from time to time at its sole discretion, shares of its common stock, having an aggregate offering price of up to $50.0 million through Cantor as its sales agent. During the nine months ended September 30, 2024, the Company sold 339,912 shares of its common stock for net proceeds of $0.5 million under the Sales Agreement. During the nine months ended September 30, 2023, the Company sold 330,210 shares of its common stock for net proceeds of $0.4 million pursuant to the Sales Agreement. Subsequent to September 30, 2024, the Company sold 1,097,932 shares of its common stock for net proceeds of $1.3 million pursuant to the Sales Agreement.</w:t>
      </w:r>
    </w:p>
    <w:p>
      <w:pPr>
        <w:spacing w:after="0" w:line="8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has suffered recurring losses and negative cash flows from operations since inception and anticipates incurring additional losses until such time, if ever, that it can generate significant revenue. The Company has no current source of revenue to sustain present activities. The Company does not expect to generate other meaningful revenue until and unless the Company's licensees successfully commercialize XIPERE and the Company has fulfilled its obligations under the Purchase and Sale Agreement, its other licensees receive regulatory approval and successfully commercialize its product candidates, or the Company commercializes its product candidates either on its own or with a third party. In the absence of product or other revenues, the amount, timing, nature or source of which cannot be predicted, the Company’s losses will continue as it conducts its research and development activities.</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will continue to need to obtain additional financing to fund future operations, including completing the development, partnering and potential commercialization of its primary product candidates. The Company will need to obtain financing to complete the development and conduct clinical trials for the regulatory approval of its product candidates if requested by regulatory bodies. If such product candidates were to receive regulatory approval, the Company would need to obtain financing to prepare for the potential commercialization of its product candidates, if the Company decides to commercialize the products on its own.</w:t>
      </w:r>
    </w:p>
    <w:p>
      <w:pPr>
        <w:spacing w:after="0" w:line="7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within one year after the date the financial statements are issued. Based on its current plans and forecasted expenses, the Company expects that its cash, cash equivalents and short-term investments as of the filing date, November 12, 2024, will enable the Company to fund its planned operating expenses and capital expenditure requirements into the third quarter of 2025.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the Company be unable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results of the financial operations of Clearside Biomedical, Inc. and Royalty Sub, which was formed for the purposes of the transactions contemplated by the Purchase and Sale Agreement described in Note 5. All intercompany balances and transactions have been eliminated.</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conformity with U.S. generally accepted accounting principles (“U.S. GAAP”). In the opinion of management, the Company has made all necessary adjustments, which include normal recurring adjustments necessary for a fair statement of the Company’s consolidated financial position and results of operations for the interim periods presented. The results for the three and nine months ended September 30, 2024 are not indicative of results to be expected for the full year ending December 31, 2024, any other interim periods or any future year or period. These unaudited financial statements should be read in conjunction with the audited consolidated financial statements and related footnotes, which are included in the Company’s Annual Report on Form 10-K for the year ended December 31, 2023, filed with the Securities and Exchange Commission on March 12,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w:t>
      </w: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ind w:right="60"/>
        <w:spacing w:after="0" w:line="258" w:lineRule="auto"/>
        <w:rPr>
          <w:sz w:val="20"/>
          <w:szCs w:val="20"/>
          <w:color w:val="auto"/>
        </w:rPr>
      </w:pPr>
      <w:r>
        <w:rPr>
          <w:rFonts w:ascii="Times New Roman" w:cs="Times New Roman" w:eastAsia="Times New Roman" w:hAnsi="Times New Roman"/>
          <w:sz w:val="18"/>
          <w:szCs w:val="18"/>
          <w:color w:val="auto"/>
        </w:rPr>
        <w:t>of the consolidated financial statements and reported amounts of income and expenses during the reporting periods. Significant items subject to such estimates and assumptions include the estimate of the total amount of future royalty revenue and milestone payments to be generated over the life of the Purchase and Sale Agreement, the fair value of common stock warrants, revenue recognition, the accounting for useful lives to calculate depreciation and amortization, clinical trial expense accruals, share-based compensation expense and income tax valuation allowance. Actual results could differ from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12529"/>
        </w:rPr>
        <w:t xml:space="preserve">The Company recognizes revenue from its contracts with customers under Financial Accounting Standards Board Accounting Standards Codification (“ASC”) Topic 606, </w:t>
      </w:r>
      <w:r>
        <w:rPr>
          <w:rFonts w:ascii="Times New Roman" w:cs="Times New Roman" w:eastAsia="Times New Roman" w:hAnsi="Times New Roman"/>
          <w:sz w:val="18"/>
          <w:szCs w:val="18"/>
          <w:i w:val="1"/>
          <w:iCs w:val="1"/>
          <w:color w:val="212529"/>
        </w:rPr>
        <w:t>Revenue from Contracts with Customers.</w:t>
      </w:r>
      <w:r>
        <w:rPr>
          <w:rFonts w:ascii="Times New Roman" w:cs="Times New Roman" w:eastAsia="Times New Roman" w:hAnsi="Times New Roman"/>
          <w:sz w:val="18"/>
          <w:szCs w:val="18"/>
          <w:color w:val="212529"/>
        </w:rPr>
        <w:t xml:space="preserve">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81" w:lineRule="exact"/>
        <w:rPr>
          <w:sz w:val="20"/>
          <w:szCs w:val="20"/>
          <w:color w:val="auto"/>
        </w:rPr>
      </w:pPr>
    </w:p>
    <w:p>
      <w:pPr>
        <w:ind w:right="420" w:firstLine="578"/>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are charged to expense as incurred and include:</w:t>
      </w:r>
    </w:p>
    <w:p>
      <w:pPr>
        <w:spacing w:after="0" w:line="117" w:lineRule="exact"/>
        <w:rPr>
          <w:sz w:val="20"/>
          <w:szCs w:val="20"/>
          <w:color w:val="auto"/>
        </w:rPr>
      </w:pPr>
    </w:p>
    <w:p>
      <w:pPr>
        <w:ind w:left="1020" w:right="7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share-based compensation expense for research and development personnel;</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contract manufacturing organizations and consultants that conduct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submitting regulatory approval applications for the Company’s product candidates;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training physicians on the suprachoroidal injection procedure and educating and providing them with appropriate product candidate information;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the Company’s research and development facility;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assets used in research and development activities.</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Costs for certain development activities, such as clinical trial activities, are recognized based on an evaluation of the estimated total costs for the clinical trial, progress to completion of specific tasks using data such as participant enrollment, pass-through expenses, clinical site activations, data from the clinical sites or information provided to the Company by its vendors on their actual costs incurred. Payments for these activities are based on the terms of the individual contracts and any subsequent amendments, which may differ from the patterns of costs incurred, and are reflected in the consolidated financial statements as prepaid expenses or accrued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80" w:firstLine="562"/>
        <w:spacing w:after="0" w:line="261" w:lineRule="auto"/>
        <w:rPr>
          <w:sz w:val="20"/>
          <w:szCs w:val="20"/>
          <w:color w:val="auto"/>
        </w:rPr>
      </w:pPr>
      <w:r>
        <w:rPr>
          <w:rFonts w:ascii="Times New Roman" w:cs="Times New Roman" w:eastAsia="Times New Roman" w:hAnsi="Times New Roman"/>
          <w:sz w:val="18"/>
          <w:szCs w:val="18"/>
          <w:color w:val="auto"/>
        </w:rPr>
        <w:t>Compensation cost related to share-based awards granted to employees, directors and consultants is measured based on the estimated fair value of the award at the grant date. The Company estimates the fair value of stock options using a Black-Scholes option pricing model. The fair value of restricted stock units granted is measured based on the market value of the Company’s common stock on the date of grant. Share-based compensation costs are expensed on a straight-line basis over the relevant vesting period.</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look-back period. The Company estimates the fair value of the shares using a Black-Scholes option pricing model. Compensation expense is recognized over the six-month withholding period prior to the purchase date.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 w:name="page10"/>
    <w:bookmarkEnd w:id="9"/>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All share-based compensation costs are recorded in general and administrative or research and development costs in the consolidated statements of operations and comprehensive loss based upon the recipient's underlying role within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consist of short-term, highly liquid investments with an original term of three months or less at the date of purchase.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Short-term investments are investments with original maturities of between 90 and 365 days when purchased and are comprised of treasury bills. The Company classifies its short-term investments as available-for-sale securities. Short-term investments are recorded at fair value and unrealized gains and losses are recorded within accumulated other comprehensive income (loss). Accretion on the discount associated with these investments is recorded in interest income. In addition, the Company evaluates the short-term investments with unrealized losses to determine whether such losses are other than temporary.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Arising From Cash Deposits in Excess of Insured Limits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Sales of Future Royalties and Non-Cash Interest Expense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Purchase and Sale Agreement, the Company recognizes a liability related to the sales of future royalties under ASC 470-10, </w:t>
      </w: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and ASC 835-30,</w:t>
      </w:r>
      <w:r>
        <w:rPr>
          <w:rFonts w:ascii="Times New Roman" w:cs="Times New Roman" w:eastAsia="Times New Roman" w:hAnsi="Times New Roman"/>
          <w:sz w:val="18"/>
          <w:szCs w:val="18"/>
          <w:i w:val="1"/>
          <w:iCs w:val="1"/>
          <w:color w:val="auto"/>
        </w:rPr>
        <w:t xml:space="preserve"> Interest - Imputation of Interest</w:t>
      </w:r>
      <w:r>
        <w:rPr>
          <w:rFonts w:ascii="Times New Roman" w:cs="Times New Roman" w:eastAsia="Times New Roman" w:hAnsi="Times New Roman"/>
          <w:sz w:val="18"/>
          <w:szCs w:val="18"/>
          <w:color w:val="auto"/>
        </w:rPr>
        <w:t>. The initial funds received by the Company pursuant to the terms of the Purchase and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were recorded as a liability and are accreted under the effective interest method up to the estimated amount of future royalties and milestone payments to be made under the Purchase and Sale Agreement. The issuance costs were recorded as a direct deduction to the carrying amount of the liability and are amortized under the effective interest method over the estimated period the liability will be repaid. The Company estimates the total amount of future royalty revenue and milestone payments to be generated over the life of the Purchase and Sale Agreement, and a significant increase or decrease in these estimates could materially impact the liability balance and the related interest expense. If the timing of the receipt of royalty payments or milestones is materially different from the original estimates, the Company will prospectively adjust the effective interest and the related amortization of the liability and related issuance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Topic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w:t>
      </w:r>
      <w:r>
        <w:rPr>
          <w:rFonts w:ascii="Times New Roman" w:cs="Times New Roman" w:eastAsia="Times New Roman" w:hAnsi="Times New Roman"/>
          <w:sz w:val="18"/>
          <w:szCs w:val="18"/>
          <w:color w:val="auto"/>
        </w:rPr>
        <w:t>(ASC 815). The assessment considers whether the warrants (i) are freestanding financial instruments pursuant to ASC 480, (ii) meet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definition of a liability pursuant to ASC 480, and (iii)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8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For warrants that meet all criteria for equity classification, the warrants are required to be recorded as a component of additional paid-in capital, on the consolidated statement of stockholders’ deficit at the time of issuance. For warrants that do not meet all the criteria for equity classification, the warrants are required to be recorded at their initial fair value on the date of issuance and on each consolidated balance sheet date thereafter.</w:t>
      </w:r>
    </w:p>
    <w:p>
      <w:pPr>
        <w:spacing w:after="0" w:line="6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Company’s warrant liabilities are measured at fair value using a simulation model which takes into account, as of the valuation date, factors including the current exercise price, the expected life of the warrant, the current price of the Company's common stock, the expected volatility, holding cost, the risk-free interest rate for the term of the warrant and the likelihood of achieving certain future milestone events and the related impact to the price of the Company's common stock. The warrant liabilities are revalued at each reporting period and changes in fair value are recognized in other income (expense) in the consolidated statements of operations and comprehensive loss. The selection of the appropriate valuation model and the inputs and assumptions that are required to determine the valuation requires significant judgment and requires management to make estimates and assumptions that affect the reported amount of the related liability and reported amounts of the change in fair value. Actual results could differ from those estimates, and changes in these estimates are recorded when known.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is intended to enhance the transparency and decision usefulness of income tax disclosures primarily related to the rate reconciliation and income taxes paid information. The main provisions to the rate reconciliation disclosure require public entities to disclose, on an annual basis, specific categories in the rate reconciliation and provide additional information for reconciling items that meet a quantitative threshold. The main provisions to the income taxes paid disclosure require that all entities disclose on an annual basis: the amount of income taxes paid disaggregated by federal, state and foreign taxes and the amount of income taxes paid disaggregated by individual jurisdictions in which income taxes paid meets a quantitative threshold. This ASU also requires all entities to disclose income (loss) from continuing operations before income tax expense (benefit) disaggregated between domestic and foreign and income tax expense (benefit) from continuing operations disaggregated by federal, state and foreign.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ASU is to be applied on a prospective basis with an effective date for all public entities for annual periods beginning after December 15,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 adoption is permitted. The Company is currently evaluating the impact of this ASU.</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(dollar amounts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Lives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4"/>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20" w:type="dxa"/>
            <w:vAlign w:val="bottom"/>
          </w:tcPr>
          <w:p>
            <w:pPr>
              <w:spacing w:after="0"/>
              <w:rPr>
                <w:sz w:val="19"/>
                <w:szCs w:val="19"/>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0" w:type="dxa"/>
            <w:vAlign w:val="bottom"/>
            <w:shd w:val="clear" w:color="auto" w:fill="CFF0FC"/>
          </w:tcPr>
          <w:p>
            <w:pPr>
              <w:jc w:val="center"/>
              <w:ind w:left="92"/>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21"/>
                <w:szCs w:val="21"/>
                <w:color w:val="auto"/>
              </w:rPr>
            </w:pPr>
          </w:p>
        </w:tc>
        <w:tc>
          <w:tcPr>
            <w:tcW w:w="5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200" w:type="dxa"/>
            <w:vAlign w:val="bottom"/>
            <w:shd w:val="clear" w:color="auto" w:fill="CFF0FC"/>
          </w:tcPr>
          <w:p>
            <w:pPr>
              <w:jc w:val="center"/>
              <w:ind w:left="92"/>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Lesser of</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spacing w:after="0"/>
              <w:rPr>
                <w:sz w:val="19"/>
                <w:szCs w:val="19"/>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useful life or</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remaining</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3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lease term</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(1,067 )</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(920 )</w:t>
            </w:r>
          </w:p>
        </w:tc>
        <w:tc>
          <w:tcPr>
            <w:tcW w:w="0" w:type="dxa"/>
            <w:vAlign w:val="bottom"/>
          </w:tcPr>
          <w:p>
            <w:pPr>
              <w:spacing w:after="0"/>
              <w:rPr>
                <w:sz w:val="1"/>
                <w:szCs w:val="1"/>
                <w:color w:val="auto"/>
              </w:rPr>
            </w:pPr>
          </w:p>
        </w:tc>
      </w:tr>
      <w:tr>
        <w:trPr>
          <w:trHeight w:val="234"/>
        </w:trPr>
        <w:tc>
          <w:tcPr>
            <w:tcW w:w="63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4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Accrued Liabilities</w:t>
            </w: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3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4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costs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w:t>
            </w:r>
          </w:p>
        </w:tc>
        <w:tc>
          <w:tcPr>
            <w:tcW w:w="1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3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600" w:type="dxa"/>
            <w:vAlign w:val="bottom"/>
            <w:tcBorders>
              <w:bottom w:val="single" w:sz="8" w:color="CFF0FC"/>
            </w:tcBorders>
            <w:gridSpan w:val="2"/>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-2305050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-1988185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Royalty Purchase and Sale Agreement</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August 8, 2022 (the “Closing Date”), the Company, through its wholly owned subsidiary Clearside Royalty LLC, a Delaware limited liability company ("Royalty Sub"), entered into the Purchase and Sale Agreement with entities managed by HealthCare Royalty Management, LLC ("HCR"), pursuant to which Royalty Sub sold to HCR certain of its rights to receive royalty and milestone payments payable to Royalty Sub under the Arctic Vision License Agreement, the Bausch License Agreement, that certain License Agreement, effective as of July 3, 2019, by and between the Company and Aura Biosciences, Inc. (the “Aura License Agreement”), that certain Option and License Agreement, dated as of August 29, 2019, by and between REGENXBIO Inc. and the Company (the “REGENXBIO License Agreement”), and any and all out-license agreements following the Closing Date for, or related to XIPERE or the SCS Microinjector technology (to be used in connection with compounds or products of any third parties) delivered, in whole or in part, by means of the SCS Microinjector technology) (collectively, "Post-Closing License Agreements"), excluding, for the avoidance of doubt, any in-licensed or internally developed therapies following the Closing Date (collectively, the “Royalties”), in exchange for up to $65 million. In connection with this transaction, the Company assigned the Arctic Vision License Agreement, Bausch License Agreement, Aura License Agreement, REGENXBIO License Agreement, the Company's license agreement with Emory University and The Georgia Tech Research Corporation and related intellectual property rights to Royalty Sub.</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On November 1, 2023, the Company entered into the BioCryst License Agreement. The Company’s rights to milestone payments and royalties under the BioCryst License Agreement were sold to HCR pursuant to the terms of the Purchase and Sale Agreement providing for the sale of Royalties from Post-Closing License Agreements to HCR.</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Under the terms of the Purchase and Sale Agreement, Royalty Sub received an initial payment of $32.1 million, representing the $32.5 million to which the Company was entitled, net of certain of HCR's transaction-related expenses which the Company agreed to reimburse. There were additional issuance costs of $1.5 million related to the Purchase and Sale Agreement resulting in net proceeds of $30.6 million. An additional $12.5 million was deposited by HCR in an escrow account which was released to HCR pursuant to the Letter Agreement described below. The terms of the Purchase and Sale Agreement also provide for an additional $20 million milestone payment to Royalty Sub upon attainment of a second pre-specified sales milestone related to 2024 XIPERE sales (the "Second Milestone Event").</w:t>
      </w:r>
    </w:p>
    <w:p>
      <w:pPr>
        <w:spacing w:after="0" w:line="7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Purchase and Sale Agreement will automatically expire, and the payment of Royalties from the Royalty Sub to HCR will cease, when HCR has received payments of the Royalties equal to 2.5 times the aggregate amount of payments made by HCR under the Purchase and Sale Agreement if the Second Milestone Event is achieved on or prior to December 31, 2024 (the “Initial Cap”). If the Second Milestone Event is not achieved on or prior to December 31, 2024, payment of Royalties from Royalty Sub to HCR will cease when HCR has received Royalties payments equal to 3.4 times the aggregate amount of payments under the Purchase and Sale Agreement (the “Alternative Cap”, and together with the Initial Cap, the “Cap Amount”). In the event of a change in control, acquiror will have the option to make a payment to HCR of the Cap Amount then in effect, less the aggregate amount of Royalty payments made by 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Alternative Cap. After the Purchase and Sale Agreement expires, all rights to receive the Royalties return to Royalty Sub.</w:t>
      </w:r>
    </w:p>
    <w:p>
      <w:pPr>
        <w:spacing w:after="0" w:line="84"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On December 22, 2023, the Company, through its wholly owned subsidiary Royalty Sub, entered into the Letter Agreement with the Agent amending the Purchase and Sale Agreement. Pursuant to the terms of the Letter Agreement, Royalty Sub and Agent mutually agreed that Royalty Sub waived any and all rights to the First Milestone Payment in connection with the closing of the transactions contemplated by the Purchase and Sale Agreement and agreed to the release of the First Milestone Payment to Agent.</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Issuance costs pursuant to the Purchase and Sale Agreement consisting primarily of advisory and legal fees, totaled $1.9 million including the amount of HCR's transaction-related expenses that the Company reimbursed. The effective interest rate includes cash flow projections for future royalty and milestone payments, which are sensitive to certain assumptions, including market size, market penetration and sales price, that are forward looking and could be affected by future market conditions.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of the Purchase and Sale Agreement for the nine months ended September 30, 2024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Purchase and Sale Agreement balance at December 31, 2023</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49,188</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7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Common Stock</w:t>
      </w:r>
    </w:p>
    <w:p>
      <w:pPr>
        <w:spacing w:after="0" w:line="121"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The Company’s amended and restated certificate of incorporation authorizes the Company to issue 200,000,000 shares of $0.001 par value common stock. As of September 30, 2024 and December 31, 2023, there were 74,745,572 and 62,850,841 shares of common stock outstanding,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 Warrants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September 2016, in connection with a loan agreement, the Company issued warrants to purchase up to 29,796 shares of common stock at a price per share of $10.74. The warrants expire in September 2026, or earlier upon the occurrence of specified mergers or acquisitions of the Company, and are immediately exercisable</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color w:val="auto"/>
        </w:rPr>
        <w:t xml:space="preserve"> The warrants were recorded in equity at the time of issuance and as of September 30, 2024, had a weighted average remaining life of 2.0 years.</w:t>
      </w:r>
    </w:p>
    <w:p>
      <w:pPr>
        <w:spacing w:after="0" w:line="7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On February 6, 2024, the Company entered into a securities purchase agreement with institutional investors and an existing stockholder, pursuant to which the Company issued and sold, in a registered direct offering (i) an aggregate of 11,111,111 shares of its common stock; and (ii) Warrants to purchase up to 11,111,111 shares of common stock. The combined purchase price of each share and accompanying Warrant was $1.35. The exercise price for the Warrants is $1.62 per share. The Warrants will be exercisable</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12" w:name="page13"/>
    <w:bookmarkEnd w:id="12"/>
    <w:p>
      <w:pPr>
        <w:ind w:right="40"/>
        <w:spacing w:after="0" w:line="277" w:lineRule="auto"/>
        <w:rPr>
          <w:sz w:val="20"/>
          <w:szCs w:val="20"/>
          <w:color w:val="auto"/>
        </w:rPr>
      </w:pPr>
      <w:r>
        <w:rPr>
          <w:rFonts w:ascii="Times New Roman" w:cs="Times New Roman" w:eastAsia="Times New Roman" w:hAnsi="Times New Roman"/>
          <w:sz w:val="17"/>
          <w:szCs w:val="17"/>
          <w:color w:val="auto"/>
        </w:rPr>
        <w:t>beginning August 9, 2024 and will expire on August 9, 2029. The Company recorded the initial fair value of the Warrants of $10.3 million as warrant liabilities and $4.7 million attributable to common stock as additional paid in capital in the consolidated balance sheets. The issuance costs were allocated among the warrants and common stock consistent with the allocation between amounts recorded as warrant liabilities and common stock. The issuance costs allocated to the Warrants as well as the change in the fair value of the Warrants during the period are recorded in other income, net in the consolidated statements of operations and comprehensive loss. The issuance costs allocated to common stock were recorded as a reduction to additional paid in capital.</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warrant liabilities during the nine months ended September 30, 2024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warrants at issuance February 9, 2024</w:t>
            </w:r>
          </w:p>
        </w:tc>
        <w:tc>
          <w:tcPr>
            <w:tcW w:w="128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shd w:val="clear" w:color="auto" w:fill="CFF0FC"/>
          </w:tcPr>
          <w:p>
            <w:pPr>
              <w:spacing w:after="0"/>
              <w:rPr>
                <w:sz w:val="21"/>
                <w:szCs w:val="21"/>
                <w:color w:val="auto"/>
              </w:rPr>
            </w:pP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(1,570 )</w:t>
            </w:r>
          </w:p>
        </w:tc>
      </w:tr>
      <w:tr>
        <w:trPr>
          <w:trHeight w:val="277"/>
        </w:trPr>
        <w:tc>
          <w:tcPr>
            <w:tcW w:w="8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warrants at September 30, 2024</w:t>
            </w:r>
          </w:p>
        </w:tc>
        <w:tc>
          <w:tcPr>
            <w:tcW w:w="6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04"/>
        </w:trPr>
        <w:tc>
          <w:tcPr>
            <w:tcW w:w="8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certain key inputs for the valuation of the Warrants at September 30, 2024:</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8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3"/>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price</w:t>
            </w:r>
          </w:p>
        </w:tc>
        <w:tc>
          <w:tcPr>
            <w:tcW w:w="6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 per share</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6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-1219835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-1202690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Share-based compensation is accounted for in accordance with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68"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Share-based compensation expense for options granted under the 2016 Plan is reflected in the consolidated statements of operations and comprehensive loss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180" w:type="dxa"/>
            <w:vAlign w:val="bottom"/>
            <w:gridSpan w:val="4"/>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57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9"/>
                <w:szCs w:val="19"/>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40" w:type="dxa"/>
            <w:vAlign w:val="bottom"/>
            <w:gridSpan w:val="2"/>
            <w:shd w:val="clear" w:color="auto" w:fill="CFF0FC"/>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6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6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FF0FC"/>
          </w:tcPr>
          <w:p>
            <w:pPr>
              <w:spacing w:after="0"/>
              <w:rPr>
                <w:sz w:val="21"/>
                <w:szCs w:val="2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20"/>
                <w:szCs w:val="20"/>
                <w:color w:val="auto"/>
              </w:rPr>
            </w:pPr>
          </w:p>
        </w:tc>
      </w:tr>
      <w:tr>
        <w:trPr>
          <w:trHeight w:val="277"/>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4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stock options granted under the 2011 Plan and the 2016 Plan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43"/>
        </w:trPr>
        <w:tc>
          <w:tcPr>
            <w:tcW w:w="43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50"/>
        </w:trPr>
        <w:tc>
          <w:tcPr>
            <w:tcW w:w="43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1"/>
                <w:szCs w:val="21"/>
                <w:color w:val="auto"/>
              </w:rPr>
            </w:pPr>
          </w:p>
        </w:tc>
      </w:tr>
      <w:tr>
        <w:trPr>
          <w:trHeight w:val="243"/>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4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9,865,770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21"/>
                <w:szCs w:val="21"/>
                <w:color w:val="auto"/>
              </w:rPr>
            </w:pPr>
          </w:p>
        </w:tc>
      </w:tr>
      <w:tr>
        <w:trPr>
          <w:trHeight w:val="239"/>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3,034,375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r>
      <w:tr>
        <w:trPr>
          <w:trHeight w:val="247"/>
        </w:trPr>
        <w:tc>
          <w:tcPr>
            <w:tcW w:w="4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52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(10,000 )</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21"/>
                <w:szCs w:val="21"/>
                <w:color w:val="auto"/>
              </w:rPr>
            </w:pPr>
          </w:p>
        </w:tc>
      </w:tr>
      <w:tr>
        <w:trPr>
          <w:trHeight w:val="243"/>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334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(138,724 )</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r>
      <w:tr>
        <w:trPr>
          <w:trHeight w:val="276"/>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September 30, 2024</w:t>
            </w:r>
          </w:p>
        </w:tc>
        <w:tc>
          <w:tcPr>
            <w:tcW w:w="334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12,751,421</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3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2023</w:t>
            </w:r>
          </w:p>
        </w:tc>
        <w:tc>
          <w:tcPr>
            <w:tcW w:w="4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5,494,746</w:t>
            </w:r>
          </w:p>
        </w:tc>
        <w:tc>
          <w:tcPr>
            <w:tcW w:w="2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FF0FC"/>
          </w:tcPr>
          <w:p>
            <w:pPr>
              <w:spacing w:after="0"/>
              <w:rPr>
                <w:sz w:val="24"/>
                <w:szCs w:val="24"/>
                <w:color w:val="auto"/>
              </w:rPr>
            </w:pPr>
          </w:p>
        </w:tc>
      </w:tr>
      <w:tr>
        <w:trPr>
          <w:trHeight w:val="224"/>
        </w:trPr>
        <w:tc>
          <w:tcPr>
            <w:tcW w:w="4340" w:type="dxa"/>
            <w:vAlign w:val="bottom"/>
            <w:tcBorders>
              <w:top w:val="single" w:sz="8" w:color="CFF0FC"/>
            </w:tcBorders>
          </w:tcPr>
          <w:p>
            <w:pPr>
              <w:spacing w:after="0"/>
              <w:rPr>
                <w:sz w:val="19"/>
                <w:szCs w:val="19"/>
                <w:color w:val="auto"/>
              </w:rPr>
            </w:pPr>
          </w:p>
        </w:tc>
        <w:tc>
          <w:tcPr>
            <w:tcW w:w="3340" w:type="dxa"/>
            <w:vAlign w:val="bottom"/>
            <w:tcBorders>
              <w:top w:val="single" w:sz="8" w:color="CFF0FC"/>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4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September 30, 2024</w:t>
            </w:r>
          </w:p>
        </w:tc>
        <w:tc>
          <w:tcPr>
            <w:tcW w:w="4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7,353,005</w:t>
            </w:r>
          </w:p>
        </w:tc>
        <w:tc>
          <w:tcPr>
            <w:tcW w:w="2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24"/>
                <w:szCs w:val="24"/>
                <w:color w:val="auto"/>
              </w:rPr>
            </w:pPr>
          </w:p>
        </w:tc>
      </w:tr>
      <w:tr>
        <w:trPr>
          <w:trHeight w:val="412"/>
        </w:trPr>
        <w:tc>
          <w:tcPr>
            <w:tcW w:w="4340" w:type="dxa"/>
            <w:vAlign w:val="bottom"/>
            <w:tcBorders>
              <w:top w:val="single" w:sz="8" w:color="CFF0FC"/>
            </w:tcBorders>
          </w:tcPr>
          <w:p>
            <w:pPr>
              <w:spacing w:after="0"/>
              <w:rPr>
                <w:sz w:val="24"/>
                <w:szCs w:val="24"/>
                <w:color w:val="auto"/>
              </w:rPr>
            </w:pPr>
          </w:p>
        </w:tc>
        <w:tc>
          <w:tcPr>
            <w:tcW w:w="3340" w:type="dxa"/>
            <w:vAlign w:val="bottom"/>
            <w:tcBorders>
              <w:top w:val="single" w:sz="8" w:color="CFF0FC"/>
            </w:tcBorders>
          </w:tcPr>
          <w:p>
            <w:pPr>
              <w:jc w:val="right"/>
              <w:ind w:right="1870"/>
              <w:spacing w:after="0"/>
              <w:rPr>
                <w:sz w:val="20"/>
                <w:szCs w:val="20"/>
                <w:color w:val="auto"/>
              </w:rPr>
            </w:pPr>
            <w:r>
              <w:rPr>
                <w:rFonts w:ascii="Times New Roman" w:cs="Times New Roman" w:eastAsia="Times New Roman" w:hAnsi="Times New Roman"/>
                <w:sz w:val="18"/>
                <w:szCs w:val="18"/>
                <w:color w:val="auto"/>
              </w:rPr>
              <w:t>13</w:t>
            </w:r>
          </w:p>
        </w:tc>
        <w:tc>
          <w:tcPr>
            <w:tcW w:w="16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3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-1464945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-1113790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-779145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$4.8 million of unrecognized compensation expense related to unvested stock options, which is expected to be recognized over a weighted average period of 2.4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has granted restricted stock units (“RSUs”) to employees under the 2016 Plan. The shares underlying the RSU awards have vesting terms of four years from the date of grant subject to the employees’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total share-based compensation expense related to RSUs is reflected in the consolidated statements of operations and comprehensive loss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180" w:type="dxa"/>
            <w:vAlign w:val="bottom"/>
            <w:gridSpan w:val="4"/>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57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9"/>
                <w:szCs w:val="19"/>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40" w:type="dxa"/>
            <w:vAlign w:val="bottom"/>
            <w:gridSpan w:val="2"/>
            <w:shd w:val="clear" w:color="auto" w:fill="CFF0FC"/>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6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FF0FC"/>
          </w:tcPr>
          <w:p>
            <w:pPr>
              <w:spacing w:after="0"/>
              <w:rPr>
                <w:sz w:val="21"/>
                <w:szCs w:val="2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0"/>
                <w:szCs w:val="20"/>
                <w:color w:val="auto"/>
              </w:rPr>
            </w:pPr>
          </w:p>
        </w:tc>
      </w:tr>
      <w:tr>
        <w:trPr>
          <w:trHeight w:val="277"/>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RSUs during the nine months ended September 30,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43"/>
        </w:trPr>
        <w:tc>
          <w:tcPr>
            <w:tcW w:w="7680" w:type="dxa"/>
            <w:vAlign w:val="bottom"/>
          </w:tcPr>
          <w:p>
            <w:pPr>
              <w:spacing w:after="0"/>
              <w:rPr>
                <w:sz w:val="21"/>
                <w:szCs w:val="21"/>
                <w:color w:val="auto"/>
              </w:rPr>
            </w:pPr>
          </w:p>
        </w:tc>
        <w:tc>
          <w:tcPr>
            <w:tcW w:w="1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50"/>
        </w:trPr>
        <w:tc>
          <w:tcPr>
            <w:tcW w:w="7680" w:type="dxa"/>
            <w:vAlign w:val="bottom"/>
          </w:tcPr>
          <w:p>
            <w:pPr>
              <w:spacing w:after="0"/>
              <w:rPr>
                <w:sz w:val="21"/>
                <w:szCs w:val="21"/>
                <w:color w:val="auto"/>
              </w:rPr>
            </w:pPr>
          </w:p>
        </w:tc>
        <w:tc>
          <w:tcPr>
            <w:tcW w:w="19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RSUs outstanding at December 31,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834,899</w:t>
            </w:r>
          </w:p>
        </w:tc>
        <w:tc>
          <w:tcPr>
            <w:tcW w:w="2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FF0FC"/>
          </w:tcPr>
          <w:p>
            <w:pPr>
              <w:spacing w:after="0"/>
              <w:rPr>
                <w:sz w:val="21"/>
                <w:szCs w:val="21"/>
                <w:color w:val="auto"/>
              </w:rPr>
            </w:pPr>
          </w:p>
        </w:tc>
      </w:tr>
      <w:tr>
        <w:trPr>
          <w:trHeight w:val="243"/>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(397,594 )</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1"/>
                <w:szCs w:val="2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RSUs outstanding at September 30,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437,305</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both"/>
        <w:ind w:right="440" w:firstLine="569"/>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$0.6 million of unrecognized compensation expense related to the RSUs which is expected to be recognized over a weighted average period of 0.9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2016 Employee Stock Purchase Plan (the “2016 ESPP”) became effective on June 1, 2016. The 2016 ESPP is considered a compensatory plan and the fair value of the discount and the look-back period are estimated using the Black-Scholes option pricing model and expense is recognized over the six-month withholding period prior to the purchase date.</w:t>
      </w:r>
    </w:p>
    <w:p>
      <w:pPr>
        <w:spacing w:after="0" w:line="6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share-based compensation expense recognized for the 2016 ESPP is reflected in the consolidated statements of operations and comprehensive loss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240" w:type="dxa"/>
            <w:vAlign w:val="bottom"/>
            <w:gridSpan w:val="4"/>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57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9"/>
                <w:szCs w:val="19"/>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shd w:val="clear" w:color="auto" w:fill="CFF0FC"/>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77"/>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nine months ended September 30, 2024, the Company issued 36,114 shares of common stock purchased under the 2016 ESPP.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 Summary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 signed an amended office lease agreement to lease approximately 14,000 square feet of office space in Alpharetta, Georgia for its corporate headquarters. The amended office lease agreement is for a four year term with a renewal option for an additional 38 months. Rental payments are $30,747 per month subject to an increase of 3% per year. Rent expense under this lease is recognized on a straight-line basis over the term of the lease. In addition, the office lease agreement requires payment of the pro-rata share of the annual operating expenses associated with the premises.</w:t>
      </w:r>
    </w:p>
    <w:p>
      <w:pPr>
        <w:spacing w:after="0" w:line="75" w:lineRule="exact"/>
        <w:rPr>
          <w:sz w:val="20"/>
          <w:szCs w:val="20"/>
          <w:color w:val="auto"/>
        </w:rPr>
      </w:pPr>
    </w:p>
    <w:p>
      <w:pPr>
        <w:ind w:right="220" w:firstLine="562"/>
        <w:spacing w:after="0" w:line="261" w:lineRule="auto"/>
        <w:rPr>
          <w:sz w:val="20"/>
          <w:szCs w:val="20"/>
          <w:color w:val="auto"/>
        </w:rPr>
      </w:pPr>
      <w:r>
        <w:rPr>
          <w:rFonts w:ascii="Times New Roman" w:cs="Times New Roman" w:eastAsia="Times New Roman" w:hAnsi="Times New Roman"/>
          <w:sz w:val="18"/>
          <w:szCs w:val="18"/>
          <w:color w:val="auto"/>
        </w:rPr>
        <w:t>The Company recognizes a right-of-use asset for the right to use the underlying asset for the lease term, and a lease liability, which represents the present value of the Company’s obligation to make payments over the lease term. The renewal option is not</w:t>
      </w: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180"/>
        <w:spacing w:after="0" w:line="282" w:lineRule="auto"/>
        <w:rPr>
          <w:sz w:val="20"/>
          <w:szCs w:val="20"/>
          <w:color w:val="auto"/>
        </w:rPr>
      </w:pPr>
      <w:r>
        <w:rPr>
          <w:rFonts w:ascii="Times New Roman" w:cs="Times New Roman" w:eastAsia="Times New Roman" w:hAnsi="Times New Roman"/>
          <w:sz w:val="18"/>
          <w:szCs w:val="18"/>
          <w:color w:val="auto"/>
        </w:rPr>
        <w:t>included in the calculation of the right-of-use asset and the lease liabilities as the Company has not yet determined if the Alpharetta, Georgia lease will be renewed.</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Equipment leases with an initial term of 12 months or less are not recorded with operating lease liabilities. The Company recognizes expense for these leases on a straight-line basis over the lease term. The equipment leases were deemed to be immaterial.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Georgia Tech License Agreement</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described in Note 1, the Company entered into a fourth amendment to the Georgia Tech License Agreement pursuant to which the parties agreed to revised Maintenance Fee payments in exchange for a reduction to the contractual Sublicense Percentage owed by the Company on certain fees and other payments it may receive from future sublicensing activities. The Company paid the $0.3 million Maintenance Fee for 2023 in February 2024 and the $0.3 million Maintenance Fee for 2024 in October 2024. The remaining annual Maintenance Fee payments are due on October 1st of each year from 2025 through 2028, as show in the table below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80" w:type="dxa"/>
            <w:vAlign w:val="bottom"/>
          </w:tcPr>
          <w:p>
            <w:pPr>
              <w:spacing w:after="0"/>
              <w:rPr>
                <w:sz w:val="19"/>
                <w:szCs w:val="19"/>
                <w:color w:val="auto"/>
              </w:rPr>
            </w:pP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8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FF0FC"/>
          </w:tcPr>
          <w:p>
            <w:pPr>
              <w:spacing w:after="0"/>
              <w:rPr>
                <w:sz w:val="19"/>
                <w:szCs w:val="19"/>
                <w:color w:val="auto"/>
              </w:rPr>
            </w:pPr>
          </w:p>
        </w:tc>
      </w:tr>
      <w:tr>
        <w:trPr>
          <w:trHeight w:val="220"/>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9"/>
                <w:szCs w:val="19"/>
                <w:color w:val="auto"/>
              </w:rPr>
            </w:pPr>
          </w:p>
        </w:tc>
      </w:tr>
      <w:tr>
        <w:trPr>
          <w:trHeight w:val="239"/>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FF0FC"/>
          </w:tcPr>
          <w:p>
            <w:pPr>
              <w:spacing w:after="0"/>
              <w:rPr>
                <w:sz w:val="20"/>
                <w:szCs w:val="20"/>
                <w:color w:val="auto"/>
              </w:rPr>
            </w:pPr>
          </w:p>
        </w:tc>
      </w:tr>
      <w:tr>
        <w:trPr>
          <w:trHeight w:val="226"/>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9"/>
                <w:szCs w:val="19"/>
                <w:color w:val="auto"/>
              </w:rPr>
            </w:pPr>
          </w:p>
        </w:tc>
      </w:tr>
      <w:tr>
        <w:trPr>
          <w:trHeight w:val="260"/>
        </w:trPr>
        <w:tc>
          <w:tcPr>
            <w:tcW w:w="9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Service Providers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and Other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Bausch + Lomb</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On October 22, 2019, the Company entered into a License Agreement (as amended, the "Bausch License Agreement") with Bausch + Lomb (“Bausch”). Pursuant to the Bausch License Agreement, the Company has granted an exclusive license to Bausch to develop, manufacture, distribute, promote, market and commercialize XIPERE using the Company’s proprietary SCS Microinjector (the “Device”), as well as specified other steroids, corticosteroids and NSAIDs in combination with the Device (together with XIPERE, the “Products”), subject to specified exceptions, in the United States and Canada (the “Territory”) for the treatment of ophthalmology indications, including non-infectious uveitis.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Bausch License Agreement, Bausch paid the Company an aggregate of $20.0 million in upfront and milestone payments. In addition, Bausch has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in each case subject to reductions in specified circumstances; provided that the Company will not receive any royalties on the first $45.0 million of cumulative net sales of all products in the Territory. Bausch launched XIPERE in the United States in the first quarter of 2022. The Company's rights to these royalties and milestone payments have been sold pursuant to the terms and conditions of the Purchase and Sale Agreement described in Note 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Arctic Vision (Hong Kong) Limited</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March 10, 2020, the Company entered into a License Agreement (the “Arctic License Agreement”) with Arctic Vision (Hong Kong) Limited (“Arctic Vision”). Pursuant to the Arctic License Agreement, the Company has granted an exclusive license to Arctic Vision to develop, distribute, promote, market and commercialize XIPERE, subject to specified exceptions, in China, Hong Kong, Macau, Taiwan and South Korea (the “Arctic Territory”). Under the terms of the Arctic License Agreement, neither party may commercialize XIPERE in the other party’s territory. Arctic Vision has agreed to use commercially reasonable efforts to pursue the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the Arctic License Agreement, Arctic Vision has paid the Company an aggregate of $9.0 million in upfront and milestone payments. In addition, Arctic Vision has agreed to pay the Company up to $22.5 million in development and sales milestones. Further, during the applicable royalty term, the Company will also be entitled to receive tiered royalties of ten to twelve percent of net sales based on achieving certain annual net sales thresholds in the Arctic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120"/>
        <w:spacing w:after="0" w:line="312" w:lineRule="auto"/>
        <w:rPr>
          <w:sz w:val="20"/>
          <w:szCs w:val="20"/>
          <w:color w:val="auto"/>
        </w:rPr>
      </w:pPr>
      <w:r>
        <w:rPr>
          <w:rFonts w:ascii="Times New Roman" w:cs="Times New Roman" w:eastAsia="Times New Roman" w:hAnsi="Times New Roman"/>
          <w:sz w:val="17"/>
          <w:szCs w:val="17"/>
          <w:color w:val="auto"/>
        </w:rPr>
        <w:t>regulatory exclusivity of XIPERE in a given country, or (iii) ten years from the first commercial sale of XIPERE in a given country. The Company's rights to these royalties and milestone payments have been sold pursuant to the terms and conditions of the Purchase and Sale Agreement described in Note 5.</w:t>
      </w:r>
    </w:p>
    <w:p>
      <w:pPr>
        <w:spacing w:after="0" w:line="3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August 2021, the Company entered into an amendment to the Arctic License Agreement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Arctic Territory to include Australia and New Zealand. The Company received an aggregate of $3.0 million in consideration for the expansion of the Arctic Territory.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BioCryst Pharmaceuticals, Inc.</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November 1, 2023, the Company entered into the BioCryst License Agreement pursuant to which the Company granted BioCryst an exclusive, worldwide and sublicensable license to the Company’s SCS Microinjector for the delivery of BioCryst’s proprietary plasma kallikrein inhibitor known as avoralstat for the treatment and prevention of DME.</w:t>
      </w:r>
    </w:p>
    <w:p>
      <w:pPr>
        <w:spacing w:after="0" w:line="68" w:lineRule="exact"/>
        <w:rPr>
          <w:sz w:val="20"/>
          <w:szCs w:val="20"/>
          <w:color w:val="auto"/>
        </w:rPr>
      </w:pPr>
    </w:p>
    <w:p>
      <w:pPr>
        <w:ind w:right="120" w:firstLine="509"/>
        <w:spacing w:after="0" w:line="263" w:lineRule="auto"/>
        <w:rPr>
          <w:sz w:val="20"/>
          <w:szCs w:val="20"/>
          <w:color w:val="auto"/>
        </w:rPr>
      </w:pPr>
      <w:r>
        <w:rPr>
          <w:rFonts w:ascii="Times New Roman" w:cs="Times New Roman" w:eastAsia="Times New Roman" w:hAnsi="Times New Roman"/>
          <w:sz w:val="18"/>
          <w:szCs w:val="18"/>
          <w:color w:val="auto"/>
        </w:rPr>
        <w:t>The Company received an upfront license fee payment of $5.0 million in connection with signing of the BioCryst License Agreement. In addition, the Company is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the Company tiered mid-single digit royalties on annual global net product sales, with the highest royalty rate applied to sales over $1.5 billion, subject to reductions in specified circumstances. The Company's rights to these royalties and milestone payments have been sold pursuant to the terms and conditions of the Purchase and Sale Agreement described in Note 5.</w:t>
      </w:r>
    </w:p>
    <w:p>
      <w:pPr>
        <w:spacing w:after="0" w:line="7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BioCryst will be responsible for all development, regulatory and commercialization activities for avoralstat. The Company is responsible for supplying SCS Microinjectors to meet BioCryst’s reasonable needs.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Available-for-Sale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short-term investments by type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43"/>
        </w:trPr>
        <w:tc>
          <w:tcPr>
            <w:tcW w:w="58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Cost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40" w:type="dxa"/>
            <w:vAlign w:val="bottom"/>
          </w:tcPr>
          <w:p>
            <w:pPr>
              <w:spacing w:after="0"/>
              <w:rPr>
                <w:sz w:val="21"/>
                <w:szCs w:val="21"/>
                <w:color w:val="auto"/>
              </w:rPr>
            </w:pPr>
          </w:p>
        </w:tc>
        <w:tc>
          <w:tcPr>
            <w:tcW w:w="9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21"/>
                <w:szCs w:val="21"/>
                <w:color w:val="auto"/>
              </w:rPr>
            </w:pPr>
          </w:p>
        </w:tc>
      </w:tr>
      <w:tr>
        <w:trPr>
          <w:trHeight w:val="243"/>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3"/>
              </w:rPr>
              <w:t>(1 )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100" w:type="dxa"/>
            <w:vAlign w:val="bottom"/>
            <w:shd w:val="clear" w:color="auto" w:fill="CFF0FC"/>
          </w:tcPr>
          <w:p>
            <w:pPr>
              <w:spacing w:after="0"/>
              <w:rPr>
                <w:sz w:val="21"/>
                <w:szCs w:val="21"/>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(1 )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100" w:type="dxa"/>
            <w:vAlign w:val="bottom"/>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-187960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-187960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-187960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Company’s material financial instruments at September 30, 2024 and December 31, 2023 consisted primarily of cash and cash equivalents and short-term investments. The fair values of cash and cash equivalents, short-term investments, other current assets and accounts payable approximate their respective carrying values due to the short term nature of these instruments and are classified as Level 1 in the fair value hierarchy. The fair value of the warrant liabilities (see Note 7) require significant unobservable inputs and is classified as Level 3 in the fair value hierarchy.</w:t>
      </w:r>
    </w:p>
    <w:p>
      <w:pPr>
        <w:spacing w:after="0" w:line="72"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Levels 1, 2 and 3 during the nine months ended September 30, 2024 and the year ended December 31, 2023.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assets and liabilities that are measured at fair value and the classification by level of input within the fair value hierarchy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Recorded</w:t>
            </w:r>
          </w:p>
        </w:tc>
        <w:tc>
          <w:tcPr>
            <w:tcW w:w="100" w:type="dxa"/>
            <w:vAlign w:val="bottom"/>
          </w:tcPr>
          <w:p>
            <w:pPr>
              <w:spacing w:after="0"/>
              <w:rPr>
                <w:sz w:val="17"/>
                <w:szCs w:val="17"/>
                <w:color w:val="auto"/>
              </w:rPr>
            </w:pPr>
          </w:p>
        </w:tc>
      </w:tr>
      <w:tr>
        <w:trPr>
          <w:trHeight w:val="225"/>
        </w:trPr>
        <w:tc>
          <w:tcPr>
            <w:tcW w:w="5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4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13,888</w:t>
            </w: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13,888</w:t>
            </w:r>
          </w:p>
        </w:tc>
        <w:tc>
          <w:tcPr>
            <w:tcW w:w="100" w:type="dxa"/>
            <w:vAlign w:val="bottom"/>
          </w:tcPr>
          <w:p>
            <w:pPr>
              <w:spacing w:after="0"/>
              <w:rPr>
                <w:sz w:val="20"/>
                <w:szCs w:val="20"/>
                <w:color w:val="auto"/>
              </w:rPr>
            </w:pPr>
          </w:p>
        </w:tc>
      </w:tr>
      <w:tr>
        <w:trPr>
          <w:trHeight w:val="243"/>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4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23,591</w:t>
            </w: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23,591</w:t>
            </w:r>
          </w:p>
        </w:tc>
        <w:tc>
          <w:tcPr>
            <w:tcW w:w="10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4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4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0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0"/>
        </w:trPr>
        <w:tc>
          <w:tcPr>
            <w:tcW w:w="5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0"/>
        </w:trPr>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Recorded</w:t>
            </w:r>
          </w:p>
        </w:tc>
        <w:tc>
          <w:tcPr>
            <w:tcW w:w="100" w:type="dxa"/>
            <w:vAlign w:val="bottom"/>
          </w:tcPr>
          <w:p>
            <w:pPr>
              <w:spacing w:after="0"/>
              <w:rPr>
                <w:sz w:val="17"/>
                <w:szCs w:val="17"/>
                <w:color w:val="auto"/>
              </w:rPr>
            </w:pPr>
          </w:p>
        </w:tc>
      </w:tr>
      <w:tr>
        <w:trPr>
          <w:trHeight w:val="225"/>
        </w:trPr>
        <w:tc>
          <w:tcPr>
            <w:tcW w:w="5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4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4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00" w:type="dxa"/>
            <w:vAlign w:val="bottom"/>
          </w:tcPr>
          <w:p>
            <w:pPr>
              <w:spacing w:after="0"/>
              <w:rPr>
                <w:sz w:val="20"/>
                <w:szCs w:val="20"/>
                <w:color w:val="auto"/>
              </w:rPr>
            </w:pPr>
          </w:p>
        </w:tc>
      </w:tr>
      <w:tr>
        <w:trPr>
          <w:trHeight w:val="277"/>
        </w:trPr>
        <w:tc>
          <w:tcPr>
            <w:tcW w:w="5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4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-2047875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-2047875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-2047875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-1396365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-1396365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-1396365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 member of the Company's Board of Directors is the chief executive officer of a company that is a vendor of the Company. As of September 30, 2024, the Company has recorded $0.2 million in accounts payable and $0.3 million in accrued expense with this vendor in the consolidated balance sheets. The Company has recorded $0.3 million and $0.6 million for the three months ended September 30, 2024 and 2023, respectively, and $0.5 million and $0.6 million for the nine months ended September 30, 2024 and 2023, respectively, of expense related to this vendor in the consolidated statements of operations and comprehensive loss.</w:t>
      </w:r>
    </w:p>
    <w:p>
      <w:pPr>
        <w:spacing w:after="0" w:line="75"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chair of the board of directors of BioCryst also serves on the Company’s Board of Directors. For the three and nine months ended September 30, 2024, the Company has recorded $81,000 and $0.2 million, respectively, in license and other revenue in the consolidated statements of operations and comprehensive loss related to the BioCryst License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restricted stock units and common stock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60" w:type="dxa"/>
            <w:vAlign w:val="bottom"/>
            <w:gridSpan w:val="3"/>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60" w:type="dxa"/>
            <w:vAlign w:val="bottom"/>
            <w:tcBorders>
              <w:bottom w:val="single" w:sz="8" w:color="auto"/>
            </w:tcBorders>
            <w:gridSpan w:val="3"/>
          </w:tcPr>
          <w:p>
            <w:pPr>
              <w:jc w:val="center"/>
              <w:ind w:left="8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6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5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12,751,421</w:t>
            </w: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10,116,074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437,305</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37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11,140,907</w:t>
            </w:r>
          </w:p>
        </w:tc>
        <w:tc>
          <w:tcPr>
            <w:tcW w:w="2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24,329,633</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11,015,048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72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17</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9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-959485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under the heading “Risk Factors”.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8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unaudited consolidated financial statements and related notes that appear in Item 1 of this Quarterly Report on Form 10-Q and with our audited consolidated financial statements and related notes for the year ended December 31, 2023 appearing in our Annual Report on Form 10-K filed with the SEC on March 12,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are a biopharmaceutical company focused on revolutionizing the delivery of therapies to the back of the eye through the suprachoroidal space, or SCS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Our novel SCS injection platform, utilizing our proprietary SCS Microinjector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enables an in-office, repeatable, non-surgical procedure for the targeted and compartmentalized delivery of a wide variety of therapies to the macula, retina or choroid to potentially preserve and improve vision in participants with sight-threatening eye diseases. Our SCS injection platform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spacing w:after="0" w:line="90"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platform. Our first product, XIPERE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 We believe that we are creating a broad therapeutic platform for developing product candidates to treat serious eye diseases.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auto"/>
        </w:rPr>
        <w:t>The current development status of our pipeline of internal product candidates and external collaborations is summarized in the charts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85725</wp:posOffset>
            </wp:positionV>
            <wp:extent cx="6172200" cy="41230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72200" cy="412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Pipeline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CLS-AX (axitinib injectable suspension)</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CLS-AX, our most advanced product candidate, is our proprietary suspension of the TKI axitinib for suprachoroidal injection delivered via our SCS Microinjector. We are developing CLS-AX for administration to the SCS as a long-acting therapy for neovascular age-related macular degeneration (wet AMD), a retinal degenerative disease that causes a progressive loss of central vision.</w:t>
      </w:r>
    </w:p>
    <w:p>
      <w:pPr>
        <w:spacing w:after="0" w:line="68"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February 2023, we announced the final, positive results from the OASIS Phase 1/2a clinical trial in wet AMD. CLS-AX was well-tolerated and demonstrated a favorable safety profile across all cohorts. The full extension data for Cohorts 3 and 4 showed promising durability and signs of biological effect.</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Based on the results from the OASIS trial, we conducted a randomized, active-controlled, double-masked, parallel-group, multicenter, 36-week, Phase 2b clinical trial of CLS-AX in participants with wet AMD previously treated with intravitreal anti-vascular endothelial growth factor, or VEGF, which is the standard of care therapy for the treatment of wet AMD. The trial is referred to as ODYSSEY. A total of 60 participants were treated for 36 weeks and randomized to either CLS-AX (1 mg) or aflibercept (2 mg) with a 2:1 randomization schedule (40 participants in CLS-AX arm and 20 participants in aflibercept arm). CLS-AX was administered by suprachoroidal injection via our SCS Microinjector, and aflibercept was administered via intravitreal injection. Participants in the trial were determined to have active disease with a median duration of wet AMD diagnosis of 9.9 months. Eligible participants underwent diagnostic imaging at their screening visit, followed by masked reading center confirmation of persistent active disease.</w:t>
      </w:r>
    </w:p>
    <w:p>
      <w:pPr>
        <w:spacing w:after="0" w:line="81"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On October 9, 2024, we announced positive topline results from the ODYSSEY trial of CLS-AX for the treatment of wet AMD. The ODYSSEY trial achieved its primary and secondary outcomes including the mean change from baseline in best corrected visual acuity, or BCVA, changes from baseline in visual function and ocular anatomy, the need for supplemental treatment, treatment burden as measured by total injections over the trial duration, and safety measures.</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9" w:name="page20"/>
    <w:bookmarkEnd w:id="19"/>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Participants in the trial maintained stable BCVA throughout the trial as measured by the mean change in BCVA from baseline to week 36. In addition, participants maintained stable central subfield retinal thickness, or CSRT, throughout the trial as measured by the mean change in CSRT from baseline to week 36, as confirmed by the independent reading center.</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terms of durability, after receiving the baseline CLS-AX dose, 100% (40/40) of participants went 3 months without receiving any additional treatment, 90% (35/39) of participants went 4 months without receiving any additional treatment, 81% (30/37) of participants went 5 months without receiving any additional treatment and 67% (26/39) of participants went 6 months without receiving any additional treatment before mandatory re-dosing at week 24. If intervention were strictly based on the disease activity assessment criteria, 100% (40/40) of participants would have gone 3 months without receiving any additional treatment, 95% (37/39) of CLS-AX participants would have gone 4 months without receiving any additional treatment, 87% (32/37) of participants would have gone 5 months without receiving any additional treatment and 79% (30/38) of participants would have gone 6 months without receiving any additional treatment before mandatory re-dosing at week 24.</w:t>
      </w:r>
    </w:p>
    <w:p>
      <w:pPr>
        <w:spacing w:after="0" w:line="8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Additionally, we observed reduced injection frequency by 84% in the 24 weeks after baseline compared to the average monthly injections in the 24 weeks prior to screening.</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CLS-AX was well-tolerated with a safety profile through 36 weeks that included mandatory re-dosing of CLS-AX at week 24. There were no reported ocular serious adverse events, or SAEs, and no treatment or injection procedure-related SAEs. All ocular adverse events were considered clinically mild in both groups. We observed similar discontinuation rates in the CLS-AX and aflibercept arms.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Although our Phase 3 plans are in development and subject to change, we are currently planning to run two Phase 3 trials with aflibercept 2 mg as a comparator. We are likely to conduct the studies in treatment-naïve patients with a flexible dosing component, consistent with the Phase 3 trial designs for recently approved aflibercept high dose and faricimab. We expect to conduct an End-of-Phase 2 meeting with the FDA in early 2025 to align on the essential components of our Phase 3 program.</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an experienced team of scientists and researchers evaluating small molecules that may be utilized as potential treatment options for back of the eye diseases utilizing our SCS Microinjector for delivery in the suprachoroidal space. Our research team is currently evaluating various small molecules through in vivo models for the potential treatment of geographic atrophy, or GA. We believe that GA is primarily a choroidal disease. Delivery of small molecules via suprachoroidal injection enables comprehensive drug coverage of both the retina and choroid, while also potentially minimizing systemic and anterior segment side effects.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Collaborations Pipeline</w:t>
      </w:r>
    </w:p>
    <w:p>
      <w:pPr>
        <w:spacing w:after="0" w:line="121" w:lineRule="exact"/>
        <w:rPr>
          <w:sz w:val="20"/>
          <w:szCs w:val="20"/>
          <w:color w:val="auto"/>
        </w:rPr>
      </w:pPr>
    </w:p>
    <w:p>
      <w:pPr>
        <w:jc w:val="both"/>
        <w:ind w:right="340" w:firstLine="509"/>
        <w:spacing w:after="0" w:line="261" w:lineRule="auto"/>
        <w:rPr>
          <w:sz w:val="20"/>
          <w:szCs w:val="20"/>
          <w:color w:val="auto"/>
        </w:rPr>
      </w:pPr>
      <w:r>
        <w:rPr>
          <w:rFonts w:ascii="Times New Roman" w:cs="Times New Roman" w:eastAsia="Times New Roman" w:hAnsi="Times New Roman"/>
          <w:sz w:val="18"/>
          <w:szCs w:val="18"/>
          <w:color w:val="auto"/>
        </w:rPr>
        <w:t>In order to expand the global reach of our suprachoroidal injection platform, we have strategically partnered some of our assets for development and/or commercialization and intend to continue partnering our assets. By entering into these partnerships, we have been able to expand the use of our suprachoroidal injection platform to other indications and geographies globally. We currently have collaborations with Bausch + Lomb, Arctic Vision, REGENXBIO, Inc., Aura Biosciences and BioCryst Pharmaceuticals,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Product</w:t>
      </w:r>
    </w:p>
    <w:p>
      <w:pPr>
        <w:spacing w:after="0" w:line="128" w:lineRule="exact"/>
        <w:rPr>
          <w:sz w:val="20"/>
          <w:szCs w:val="20"/>
          <w:color w:val="auto"/>
        </w:rPr>
      </w:pPr>
    </w:p>
    <w:p>
      <w:pPr>
        <w:ind w:right="100" w:firstLine="509"/>
        <w:spacing w:after="0" w:line="237" w:lineRule="auto"/>
        <w:rPr>
          <w:sz w:val="20"/>
          <w:szCs w:val="20"/>
          <w:color w:val="auto"/>
        </w:rPr>
      </w:pPr>
      <w:r>
        <w:rPr>
          <w:rFonts w:ascii="Times New Roman" w:cs="Times New Roman" w:eastAsia="Times New Roman" w:hAnsi="Times New Roman"/>
          <w:sz w:val="18"/>
          <w:szCs w:val="18"/>
          <w:color w:val="auto"/>
        </w:rPr>
        <w:t>XIPERE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(triamcinolone acetonide injectable suspension) for suprachoroidal use, was approved by the FDA in October 2021. XIPERE is the first approved therapeutic delivered into the SCS, the first commercial product developed by us and the first therapy for macular edema associated with uveitis. XIPERE commercialization rights are licensed to Bausch + Lomb in the United States and Canada and Arctic Vision in the Asia Pacific region, not including Japan.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ISO and EC Certifications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have received the International Organization for Standardization (ISO) Certification EN ISO 13485:2016 for “The design, development, and manufacture of sterile piston syringes, needles, and associated accessories for the area of ophthalmology.” The certificate is available on our website. The information contained on our website is not incorporated by reference into this Quarterly Report on Form 10-Q.</w:t>
      </w:r>
    </w:p>
    <w:p>
      <w:pPr>
        <w:spacing w:after="0" w:line="68"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We have received European Community (EC) Certification for the SCS Microinjector from our Notified Body, Intertek Medical Notified Body, AB. The Certificate of Conformance with the Medical Device Regulation 2017/745, Annex IV was issued July 21, 2023, with the Intended Purpose of the SCS Microinjector as "delivery of triamcinolone acetonide injectable suspension, 40 mg/mL to the suprachoroidal space of the eye".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Operating Outlook</w:t>
      </w:r>
    </w:p>
    <w:p>
      <w:pPr>
        <w:spacing w:after="0" w:line="121" w:lineRule="exact"/>
        <w:rPr>
          <w:sz w:val="20"/>
          <w:szCs w:val="20"/>
          <w:color w:val="auto"/>
        </w:rPr>
      </w:pPr>
    </w:p>
    <w:p>
      <w:pPr>
        <w:ind w:firstLine="549"/>
        <w:spacing w:after="0" w:line="254" w:lineRule="auto"/>
        <w:rPr>
          <w:sz w:val="20"/>
          <w:szCs w:val="20"/>
          <w:color w:val="auto"/>
        </w:rPr>
      </w:pPr>
      <w:r>
        <w:rPr>
          <w:rFonts w:ascii="Times New Roman" w:cs="Times New Roman" w:eastAsia="Times New Roman" w:hAnsi="Times New Roman"/>
          <w:sz w:val="18"/>
          <w:szCs w:val="18"/>
          <w:color w:val="auto"/>
        </w:rPr>
        <w:t>We have incurred net losses since our inception. In recent years, our operations have consisted primarily of conducting preclinical studies and clinical trials, raising capital and undertaking other research and development initiatives. To date, we primarily generated revenue through upfront payments and milestone payments related to license agreements and from collaboration agreements, and we have primarily financed our operations through public offerings and private placements of our equity securities, issuance of warrants, issuances of convertible promissory notes and loan agreements. As of September 30, 2024, we had an accumulated deficit of $348.0 million. We recorded net losses of $7.7 million and $9.3 million for the three months ended September 30, 2024 and 2023, respectively, and $27.0 million and $27.7 million for the nine months ended September 30, 2024 and 2023,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formulations to utilize with our SCS Microinjector.</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and increasing operating losses at least for the next several years. We do not expect to generate significant product or license and other revenue unless and until XIPERE is successfully commercialized by our licensees or until we successfully complete the development of, obtain regulatory approval for and commercialize additional product candidates, either on our own or together with a third party. Our financial results may fluctuate significantly from quarter to quarter and year to year, depending on the timing of our clinical trials and our expenditures on other research and development activities. We expect clinical trial expenses to increase in the remainder of 2024 as a result of our Phase 2b clinical trial of CLS-AX and activities related to preparation for a Phase 3 clinical trial of CLS-AX, as well as continuing our pipeline development. We also will continue our efforts to discover, research and develop additional product candidates and obtain regulatory approvals in additional regions for XIPERE for the treatment of macular edema associated with uveitis.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Unfavorable conditions in the economy in the United States and abroad may negatively affect the growth of our business and our results of operations. For example, macroeconomic events, rising inflation, the U.S. Federal Reserve raising interest rates, and conflicts in Ukraine, Russia and the Middle East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 Item 1A of the Annual Report on Form 10-K filed with the SEC on March 12,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Other Revenue</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have not generated any revenue from the sale of XIPERE and we do not expect to generate any other product revenue unless or until we obtain regulatory approval for and commercialize our other product candidates, either on our own or with a third party. The revenue received under the Bausch license agreement, as well as other certain payments from our licensees, will be recorded as non-cash revenue until we have fulfilled our obligations under the Purchase and Sale Agreement. Our revenue in recent years has been generated primarily from our license agreements. We are seeking to enter into additional licenses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goods sold are related to the sales of our SCS Microinjector kits to our licensees for approved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research and development of our preclinical and clinical product candidates, which include:</w:t>
      </w:r>
    </w:p>
    <w:p>
      <w:pPr>
        <w:spacing w:after="0" w:line="54" w:lineRule="exact"/>
        <w:rPr>
          <w:sz w:val="20"/>
          <w:szCs w:val="20"/>
          <w:color w:val="auto"/>
        </w:rPr>
      </w:pPr>
    </w:p>
    <w:p>
      <w:pPr>
        <w:ind w:left="1020" w:right="7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share-based compensation expense for research and development personnel;</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activities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submitting regulatory approval applications for our product candidates;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1" w:name="page22"/>
    <w:bookmarkEnd w:id="21"/>
    <w:p>
      <w:pPr>
        <w:ind w:left="1020" w:right="5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training physicians on the suprachoroidal injection procedure and educating and providing them with appropriate product candidate information;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our research and development facility;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assets used in research and development activities.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to operations as incurred. These costs include preclinical activities, such as manufacturing and stability and toxicology studies, that are supportive of the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participant enrollment, clinical site activations and additional information provided to us by our vendors about their actual costs incurred.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spacing w:after="0" w:line="7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our research and development expenses by program for the three and nine months ended September 30, 2024 and 2023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4"/>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5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9"/>
                <w:szCs w:val="19"/>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XIPERE (uveitis program)</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21"/>
                <w:szCs w:val="2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CLS-AX (wet AMD program)</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00" w:type="dxa"/>
            <w:vAlign w:val="bottom"/>
          </w:tcPr>
          <w:p>
            <w:pPr>
              <w:spacing w:after="0"/>
              <w:rPr>
                <w:sz w:val="20"/>
                <w:szCs w:val="20"/>
                <w:color w:val="auto"/>
              </w:rPr>
            </w:pPr>
          </w:p>
        </w:tc>
      </w:tr>
      <w:tr>
        <w:trPr>
          <w:trHeight w:val="241"/>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4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00" w:type="dxa"/>
            <w:vAlign w:val="bottom"/>
            <w:shd w:val="clear" w:color="auto" w:fill="CFF0FC"/>
          </w:tcPr>
          <w:p>
            <w:pPr>
              <w:spacing w:after="0"/>
              <w:rPr>
                <w:sz w:val="20"/>
                <w:szCs w:val="20"/>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Pr>
          <w:p>
            <w:pPr>
              <w:spacing w:after="0"/>
              <w:rPr>
                <w:sz w:val="20"/>
                <w:szCs w:val="20"/>
                <w:color w:val="auto"/>
              </w:rPr>
            </w:pPr>
          </w:p>
        </w:tc>
      </w:tr>
      <w:tr>
        <w:trPr>
          <w:trHeight w:val="276"/>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4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expenses related to clinical trials are based on estimates of participant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participant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current or future product candidates.</w:t>
      </w:r>
    </w:p>
    <w:p>
      <w:pPr>
        <w:spacing w:after="0" w:line="7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duration, costs and timing of clinical trials and development of our product candidates will depend on a variety of factors that may include, among others:</w:t>
      </w:r>
    </w:p>
    <w:p>
      <w:pPr>
        <w:spacing w:after="0" w:line="54" w:lineRule="exact"/>
        <w:rPr>
          <w:sz w:val="20"/>
          <w:szCs w:val="20"/>
          <w:color w:val="auto"/>
        </w:rPr>
      </w:pPr>
    </w:p>
    <w:p>
      <w:pPr>
        <w:ind w:left="1020" w:right="2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process development, scale-up and manufacturing of our product candidates including the SCS Microinjector for clinical trials and for requirements associated with regulatory filings;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 and any requirement for extension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participant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participants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participants receive;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participant follow-up;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profiles of the product candidates.</w:t>
      </w:r>
    </w:p>
    <w:p>
      <w:pPr>
        <w:spacing w:after="0" w:line="11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the accrued interest and interest income earned on our cash and cash equivalents. Interest income is not considered significant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Other income, net consists of expenses allocated to the warrants issued in connection with our registered direct offering in February 2024 and the change in fair value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on Liability Related to the Sales of Future Royalties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Non-cash interest expense on liability related to the sales of future royalties consists of imputed interest on the carrying value of the liability and the amortization of the related issuance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generally accepted accounting principles or U.S. GAAP. The preparation of these consolidated financial statements requires us to make estimates, judgments and assumptions that affect the reported amounts of assets and liabilities, disclosure of contingent assets and liabilities as of the dates of the consolidated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consolidated financial condition and results of operations, as well as the specific manner in which we apply those principles. During the nine months ended September 30, 2024, there were no significant changes to our critical accounting policies disclosed in our audited consolidated financial statements for the year ended December 31, 2023, which are included in our Annual Report on Form 10-K, as filed with the SEC on March 12, 2024, other than the warrant liabilities discussed in Note 2 to the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September 30, 2024 and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2440" w:type="dxa"/>
            <w:vAlign w:val="bottom"/>
            <w:gridSpan w:val="4"/>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Period-to-Period</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1"/>
        </w:trPr>
        <w:tc>
          <w:tcPr>
            <w:tcW w:w="66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840" w:type="dxa"/>
            <w:vAlign w:val="bottom"/>
            <w:shd w:val="clear" w:color="auto" w:fill="CFF0FC"/>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(1,006 )</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(941 )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8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4"/>
              </w:rPr>
              <w:t>(5,934 )</w:t>
            </w:r>
          </w:p>
        </w:tc>
        <w:tc>
          <w:tcPr>
            <w:tcW w:w="8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4"/>
              </w:rPr>
              <w:t>(7,054 )</w:t>
            </w: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 on liability</w:t>
            </w:r>
          </w:p>
        </w:tc>
        <w:tc>
          <w:tcPr>
            <w:tcW w:w="840" w:type="dxa"/>
            <w:vAlign w:val="bottom"/>
          </w:tcPr>
          <w:p>
            <w:pPr>
              <w:spacing w:after="0"/>
              <w:rPr>
                <w:sz w:val="18"/>
                <w:szCs w:val="18"/>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w w:val="94"/>
              </w:rPr>
              <w:t>(2,457 )</w:t>
            </w:r>
          </w:p>
        </w:tc>
        <w:tc>
          <w:tcPr>
            <w:tcW w:w="820" w:type="dxa"/>
            <w:vAlign w:val="bottom"/>
          </w:tcPr>
          <w:p>
            <w:pPr>
              <w:spacing w:after="0"/>
              <w:rPr>
                <w:sz w:val="18"/>
                <w:szCs w:val="18"/>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w w:val="94"/>
              </w:rPr>
              <w:t>(2,622 )</w:t>
            </w:r>
          </w:p>
        </w:tc>
        <w:tc>
          <w:tcPr>
            <w:tcW w:w="2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the sales of future royalties</w:t>
            </w:r>
          </w:p>
        </w:tc>
        <w:tc>
          <w:tcPr>
            <w:tcW w:w="84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shd w:val="clear" w:color="auto" w:fill="CFF0FC"/>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4"/>
              </w:rPr>
              <w:t>(7,688 )</w:t>
            </w: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4"/>
              </w:rPr>
              <w:t>(9,267 )</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-1104900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-1104900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License and other revenue</w:t>
      </w:r>
      <w:r>
        <w:rPr>
          <w:rFonts w:ascii="Times New Roman" w:cs="Times New Roman" w:eastAsia="Times New Roman" w:hAnsi="Times New Roman"/>
          <w:sz w:val="18"/>
          <w:szCs w:val="18"/>
          <w:color w:val="auto"/>
        </w:rPr>
        <w:t>. In the three months ended September 30, 2024 and 2023, we recognized $1.0 million and $0.9 million, respectively,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associated with our license agreements, which includes revenue for services and the sales of our SCS Microinjector kits to our licensees.</w:t>
      </w:r>
    </w:p>
    <w:p>
      <w:pPr>
        <w:spacing w:after="0" w:line="50"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In the three months ended September 30, 2023, we recognized $0.1 million in cost of goods sold related to the sales of our SCS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Microinjector kits to our licensees of approved products.</w:t>
      </w:r>
    </w:p>
    <w:p>
      <w:pPr>
        <w:spacing w:after="0" w:line="5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decreased by $1.0 million from $5.1 million for the three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2023 to $4.1 million for the three months ended September 30, 2024. This decrease was primarily due to a $1.9 million decrease in costs related to the CLS-AX program, which includes costs for ODYSSEY, our Phase 2b clinical trial. This is partially offset by a $0.2 million increase in employee related costs, a $0.2 million increase in device development and a $0.3 million research and development tax credit received in the prior year.</w:t>
      </w:r>
    </w:p>
    <w:p>
      <w:pPr>
        <w:spacing w:after="0" w:line="72"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$0.2 million from $2.6 million for the three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2023 to $2.8 million for the three months ended September 30, 2024. This is primarily due to an increase in patent-related expenses and consulting fees.</w:t>
      </w:r>
    </w:p>
    <w:p>
      <w:pPr>
        <w:spacing w:after="0" w:line="50"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decreased by $0.1 million from $0.4 million for the three months ended September 30, 2023 to $0.3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2024. The decrease is due to the lower balance of our cash, cash equivalents and short-term investments.</w:t>
      </w:r>
    </w:p>
    <w:p>
      <w:pPr>
        <w:spacing w:after="0" w:line="50"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$0.4 million for the three months ended September 30, 2024 and was due to the decrease in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warrant liabilities from the June 30, 2024 valuation date.</w:t>
      </w:r>
    </w:p>
    <w:p>
      <w:pPr>
        <w:spacing w:after="0" w:line="5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Non-cash interest expense on liability related to the sales of future royalties</w:t>
      </w:r>
      <w:r>
        <w:rPr>
          <w:rFonts w:ascii="Times New Roman" w:cs="Times New Roman" w:eastAsia="Times New Roman" w:hAnsi="Times New Roman"/>
          <w:sz w:val="18"/>
          <w:szCs w:val="18"/>
          <w:color w:val="auto"/>
        </w:rPr>
        <w:t>. Non-cash interest expense on liability related to the sales of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royalties was $2.5 million and $2.6 million for the three months ended September 30, 2024 and 2023, respectively, and was comprised of imputed interest on the liability related to the sales of future royalties and the amortization of the associated issuance costs.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2024 and 2023</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nine months ended September 30, 2024 and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5"/>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5"/>
          </w:tcPr>
          <w:p>
            <w:pPr>
              <w:jc w:val="right"/>
              <w:ind w:right="1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Period-to-Period</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1"/>
        </w:trPr>
        <w:tc>
          <w:tcPr>
            <w:tcW w:w="66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(523 )</w:t>
            </w: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(21,733 )</w:t>
            </w:r>
          </w:p>
        </w:tc>
        <w:tc>
          <w:tcPr>
            <w:tcW w:w="1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(21,929 )</w:t>
            </w: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 on liability</w:t>
            </w:r>
          </w:p>
        </w:tc>
        <w:tc>
          <w:tcPr>
            <w:tcW w:w="300" w:type="dxa"/>
            <w:vAlign w:val="bottom"/>
          </w:tcPr>
          <w:p>
            <w:pPr>
              <w:spacing w:after="0"/>
              <w:rPr>
                <w:sz w:val="18"/>
                <w:szCs w:val="18"/>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(7,200 )</w:t>
            </w:r>
          </w:p>
        </w:tc>
        <w:tc>
          <w:tcPr>
            <w:tcW w:w="120" w:type="dxa"/>
            <w:vAlign w:val="bottom"/>
          </w:tcPr>
          <w:p>
            <w:pPr>
              <w:spacing w:after="0"/>
              <w:rPr>
                <w:sz w:val="18"/>
                <w:szCs w:val="18"/>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(7,083 )</w:t>
            </w:r>
          </w:p>
        </w:tc>
        <w:tc>
          <w:tcPr>
            <w:tcW w:w="240" w:type="dxa"/>
            <w:vAlign w:val="bottom"/>
          </w:tcPr>
          <w:p>
            <w:pPr>
              <w:spacing w:after="0"/>
              <w:rPr>
                <w:sz w:val="18"/>
                <w:szCs w:val="18"/>
                <w:color w:val="auto"/>
              </w:rPr>
            </w:pPr>
          </w:p>
        </w:tc>
        <w:tc>
          <w:tcPr>
            <w:tcW w:w="1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34"/>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the sales of future royalties</w:t>
            </w:r>
          </w:p>
        </w:tc>
        <w:tc>
          <w:tcPr>
            <w:tcW w:w="3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(27,046 )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(27,653 )</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-1105535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-1105535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License and other revenue</w:t>
      </w:r>
      <w:r>
        <w:rPr>
          <w:rFonts w:ascii="Times New Roman" w:cs="Times New Roman" w:eastAsia="Times New Roman" w:hAnsi="Times New Roman"/>
          <w:sz w:val="18"/>
          <w:szCs w:val="18"/>
          <w:color w:val="auto"/>
        </w:rPr>
        <w:t>. In the nine months ended September 30, 2024 and 2023, we recognized $1.4 million and $1.9 million, respectively,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associated with our license agreements, which includes revenue for services and the sales of our SCS Microinjector kits to our licensees.</w:t>
      </w:r>
    </w:p>
    <w:p>
      <w:pPr>
        <w:spacing w:after="0" w:line="50"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In the nine months ended September 30, 2023, we recognized $0.4 million in cost of goods sold related to the sales of our SCS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Microinjector kits to our licensees.</w:t>
      </w:r>
    </w:p>
    <w:p>
      <w:pPr>
        <w:spacing w:after="0" w:line="50"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decreased by $0.2 million from $14.5 million for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2023 to $14.3 million for the nine months ended September 30, 2024. This decrease was primarily due to a $1.2 million decrease in costs related to the CLS-AX program, which includes costs for ODYSSEY, our Phase 2b clinical trial, and a $0.7 million decrease in costs related to our preclinical programs. This is partially offset by a $0.3 million increase in consulting fees, a $0.2 million increase in recruiting fees, a $0.1 million increase in depreciation and a $0.1 million increase in the amortization of a license maintenance fee. In addition, there was a $0.8 million research and development tax credit received in the prior year.</w:t>
      </w:r>
    </w:p>
    <w:p>
      <w:pPr>
        <w:spacing w:after="0" w:line="74" w:lineRule="exact"/>
        <w:rPr>
          <w:sz w:val="20"/>
          <w:szCs w:val="20"/>
          <w:color w:val="auto"/>
        </w:rPr>
      </w:pPr>
    </w:p>
    <w:p>
      <w:pPr>
        <w:jc w:val="both"/>
        <w:ind w:right="8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decreased by $0.2 million, from $8.9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to $8.7 million for the nine months ended September 30, 2024. This was primarily attributable to a $0.6 million decrease in professional fees partially offset by a $0.4 million increase in consulting fees.</w:t>
      </w:r>
    </w:p>
    <w:p>
      <w:pPr>
        <w:spacing w:after="0" w:line="65"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decreased by $0.3 million from $1.4 million for the nine months ended September 30, 2023 to $1.1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2024. The decrease is due to the lower balance of our cash, cash equivalents and short-term investments.</w:t>
      </w:r>
    </w:p>
    <w:p>
      <w:pPr>
        <w:spacing w:after="0" w:line="50" w:lineRule="exact"/>
        <w:rPr>
          <w:sz w:val="20"/>
          <w:szCs w:val="20"/>
          <w:color w:val="auto"/>
        </w:rPr>
      </w:pPr>
    </w:p>
    <w:p>
      <w:pPr>
        <w:jc w:val="both"/>
        <w:ind w:right="2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$0.8 million for the nine months ended September 30, 2024 and was due to the decrease in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warrant liabilities of $1.6 million from February 9, 2024, the issuance date of the warrants, to September 30, 2024 partially offset by $0.8 million of direct registered offering costs that were allocated to the warrants.</w:t>
      </w:r>
    </w:p>
    <w:p>
      <w:pPr>
        <w:spacing w:after="0" w:line="65" w:lineRule="exact"/>
        <w:rPr>
          <w:sz w:val="20"/>
          <w:szCs w:val="20"/>
          <w:color w:val="auto"/>
        </w:rPr>
      </w:pPr>
    </w:p>
    <w:p>
      <w:pPr>
        <w:ind w:right="2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Non-cash interest expense on liability related to the sales of future royalties</w:t>
      </w:r>
      <w:r>
        <w:rPr>
          <w:rFonts w:ascii="Times New Roman" w:cs="Times New Roman" w:eastAsia="Times New Roman" w:hAnsi="Times New Roman"/>
          <w:sz w:val="18"/>
          <w:szCs w:val="18"/>
          <w:color w:val="auto"/>
        </w:rPr>
        <w:t>. Non-cash interest expense on liability related to the sales of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royalties was $7.2 million and $7.1 million for the nine months ended September 30, 2024 and 2023, respectively, and was comprised of imputed interest on the liability related to the sales of future royalties and the amortization of the associated issuance costs.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funded our operations primarily through the proceeds of public offerings of our common stock, sales of convertible preferred stock, issuance of warrants and the issuance of long-term debt. As of September 30, 2024, we had cash, cash equivalents and short-term investments of $23.6 million. We invest any cash in excess of our immediate requirements primarily with a view to liquidity and capital preservation. As of September 30, 2024, our funds were held in cash, money market funds and treasury bills.</w:t>
      </w:r>
    </w:p>
    <w:p>
      <w:pPr>
        <w:spacing w:after="0" w:line="72" w:lineRule="exact"/>
        <w:rPr>
          <w:sz w:val="20"/>
          <w:szCs w:val="20"/>
          <w:color w:val="auto"/>
        </w:rPr>
      </w:pPr>
    </w:p>
    <w:p>
      <w:pPr>
        <w:jc w:val="both"/>
        <w:ind w:right="20" w:firstLine="509"/>
        <w:spacing w:after="0" w:line="257" w:lineRule="auto"/>
        <w:rPr>
          <w:sz w:val="20"/>
          <w:szCs w:val="20"/>
          <w:color w:val="auto"/>
        </w:rPr>
      </w:pPr>
      <w:r>
        <w:rPr>
          <w:rFonts w:ascii="Times New Roman" w:cs="Times New Roman" w:eastAsia="Times New Roman" w:hAnsi="Times New Roman"/>
          <w:sz w:val="18"/>
          <w:szCs w:val="18"/>
          <w:color w:val="auto"/>
        </w:rPr>
        <w:t>On February 6, 2024, we entered into the Purchase Agreement, pursuant to which we issued and sold, in a registered direct offering: (i) an aggregate of 11,111,111 shares of our common stock; and (ii) 11,111,111 Warrants. The combined purchase price of each share and accompanying Warrant was $1.35. The exercise price for the Warrants is $1.62 per share. The Warrants will be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exercisable from August 9, 2024 and will expire on August 9, 2029. The net proceeds to us from the Registered Direct Offering were $13.9 million.</w:t>
      </w:r>
    </w:p>
    <w:p>
      <w:pPr>
        <w:spacing w:after="0" w:line="117"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7"/>
          <w:szCs w:val="17"/>
          <w:color w:val="auto"/>
        </w:rPr>
        <w:t>On January 31, 2024, or the Amendment Effective Date, we entered into a fourth amendment to the license agreement, or the Emory License Agreement, with Emory University and Georgia Tech Research Corporation, or, collectively, the Licensor, pursuant to which the parties agreed to reduce the Sublicense Percentage (as defined in the Emory License Agreement) from a low double digit percentage to a high single digit percentage that we will pay the Licensor applicable to any fees or payments paid to us by any Sublicensee (as defined in the Emory License Agreement) of the Licensed Patents and/or Licensed Technology (each as defined in the Emory License Agreement), excluding (i) amounts paid to us by a Sublicensee to reimburse us for certain research and development costs pursuant to a written agreement between us and such Sublicensee, (ii) the value of intellectual property transferred or granted to us if necessary or helpful to the development or commercialization of Licensed Products (as defined in the Emory License Agreement) and</w:t>
      </w:r>
    </w:p>
    <w:p>
      <w:pPr>
        <w:spacing w:after="0" w:line="2" w:lineRule="exact"/>
        <w:rPr>
          <w:sz w:val="20"/>
          <w:szCs w:val="20"/>
          <w:color w:val="auto"/>
        </w:rPr>
      </w:pPr>
    </w:p>
    <w:p>
      <w:pPr>
        <w:ind w:right="20" w:firstLine="8"/>
        <w:spacing w:after="0" w:line="252"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for shares of our stock. The payment to Licensor of any such Sublicense Percentage is due within 30 days of receipt by us of a qualifying payment from a Sublicensee, provided however, with respect to any qualifying payments received by us from a Sublicensee prior to January 1, 2025, the payment to Licensor of any such Sublicensee Percentage is due to Licensor by March 31, 2025. The parties also agreed to a revised annual license maintenance fee due each year, or the Maintenance Fee, starting in 2023 through 2028, as follows: $0.3 million for 2023 through 2025, $0.4 million for each of 2026 and 2027 and $0.5 million for 2028. We paid the Maintenance Fee for 2023 in February 2024 and the Maintenance Fee for 2024 in October 2024. The remaining annual Maintenance Fee payments are due on October 1st of each year.</w:t>
      </w:r>
    </w:p>
    <w:p>
      <w:pPr>
        <w:spacing w:after="0" w:line="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December 22, 2023, we, through our wholly owned subsidiary Royalty Sub, entered into a letter agreement, or the Letter Agreement, with HCR and HCR Clearside SPV, LLC (as assignee of HCR Collateral Management, LLC), or the Agent, amending that certain Purchase and Sale Agreement, dated as of August 8, 2022, by and among Royalty Sub, HCR and Agent. Pursuant to the terms of the Letter Agreement, Royalty Sub and Agent mutually agreed that Royalty Sub waived any and all rights to the $12.5 million milestone payment which was deposited in an escrow account, or the First Milestone Payment, in connection with the closing of the transactions contemplated by the Purchase and Sale Agreement and agreed to the release of the First Milestone Payment to Agent.</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November 2023, we entered into a license agreement, or the BioCryst License Agreement, with BioCryst Pharmaceuticals, Inc., or BioCryst, pursuant to which we granted BioCryst an exclusive, worldwide and sublicensable license to our SCS Microinjector for the delivery of BioCryst’s proprietary plasma kallikrein inhibitor known as avoralstat for the treatment and prevention of diabetic macular edema, or DME. We received an upfront license fee payment of $5.0 million in connection with signing of the BioCryst License Agreement. In addition, we are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us tiered mid-single digit royalties on annual global net product sales, with the highest royalty rate applied to sales over $1.5 billion, subject to reductions in specified circumstances. Our rights to these royalties and milestone payments have been sold pursuant to the terms and conditions of the Purchase and Sale Agreement described in Note 5 to our consolidated financial statements included in this Quarterly Report on Form 10-Q.</w:t>
      </w:r>
    </w:p>
    <w:p>
      <w:pPr>
        <w:spacing w:after="0" w:line="7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May 2023, we terminated our at-the-market sales agreement with Cowen and Company, LLC (the "ATM Agreement"). During the nine months ended September 30, 2023, prior to the termination of the ATM Agreement, we sold 515,959 shares of our common stock for net proceeds of $0.7 million under the ATM Agreement.</w:t>
      </w:r>
    </w:p>
    <w:p>
      <w:pPr>
        <w:spacing w:after="0" w:line="75" w:lineRule="exact"/>
        <w:rPr>
          <w:sz w:val="20"/>
          <w:szCs w:val="20"/>
          <w:color w:val="auto"/>
        </w:rPr>
      </w:pPr>
    </w:p>
    <w:p>
      <w:pPr>
        <w:ind w:right="80" w:firstLine="562"/>
        <w:spacing w:after="0" w:line="242" w:lineRule="auto"/>
        <w:rPr>
          <w:sz w:val="20"/>
          <w:szCs w:val="20"/>
          <w:color w:val="auto"/>
        </w:rPr>
      </w:pPr>
      <w:r>
        <w:rPr>
          <w:rFonts w:ascii="Times New Roman" w:cs="Times New Roman" w:eastAsia="Times New Roman" w:hAnsi="Times New Roman"/>
          <w:sz w:val="18"/>
          <w:szCs w:val="18"/>
          <w:color w:val="auto"/>
        </w:rPr>
        <w:t>In May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or Cantor, under which we may offer and sell, from time to time at our sole discretion, shares of our common stock, having an aggregate offering price of up to $50.0 million through Cantor as our sales agent. During the nine months ended September 30, 2024, we sold 339,912 shares of our common stock for net proceeds of $0.5 million under the Sales Agreement. During the nine months ended September 30, 2023, we sold 330,210 shares of our common stock for net proceeds of $0.4 million under the Sales Agreement. Subsequent to September 30, 2024, we sold 1,097,932 shares of our common stock for net proceeds of $1.3 million under the Sales Agreement .</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research and development costs to build our product candidate pipeline, legal and other regulatory expenses and general overhead costs. In addition, we have certain contractual obligations for future payments. Refer to Note 5 to our consolidated financial statements included in this Quarterly Report on Form 10-Q.</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CLS-AX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2"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w:t>
      </w:r>
    </w:p>
    <w:p>
      <w:pPr>
        <w:spacing w:after="0" w:line="11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Sales Agreement with Cantor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disruptions to, and volatility in, the credit and financial markets in the United States and worldwide and related macroeconomic changes, such as rising inflation.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79" w:lineRule="exact"/>
        <w:rPr>
          <w:sz w:val="20"/>
          <w:szCs w:val="20"/>
          <w:color w:val="auto"/>
        </w:rPr>
      </w:pPr>
    </w:p>
    <w:p>
      <w:pPr>
        <w:jc w:val="both"/>
        <w:ind w:right="620" w:firstLine="509"/>
        <w:spacing w:after="0" w:line="266" w:lineRule="auto"/>
        <w:rPr>
          <w:sz w:val="20"/>
          <w:szCs w:val="20"/>
          <w:color w:val="auto"/>
        </w:rPr>
      </w:pPr>
      <w:r>
        <w:rPr>
          <w:rFonts w:ascii="Times New Roman" w:cs="Times New Roman" w:eastAsia="Times New Roman" w:hAnsi="Times New Roman"/>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suffered recurring losses and negative cash flows from operations since inception and anticipate incurring additional losses until such time, if ever, that we can generate significant milestone payments and royalties from XIPERE and other licensing arrangements or revenues from other product candidates. We will need additional financing to fund our operations. Our plans primarily consist of raising additional capital, potentially in a combination of equity or debt financings, monetizing royalties, or restructurings, or potentially entering into additional collaborations, partnerships and other strategic arrangements.</w:t>
      </w:r>
    </w:p>
    <w:p>
      <w:pPr>
        <w:spacing w:after="0" w:line="75"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Based on our current plans and forecasted expenses, we expect that our cash, cash equivalents and short-term investments as of the filing date, November 12, 2024, will enable us to fund our planned operating expenses and capital expenditure requirements into the third quarter of 2025. We have based this estimate on assumptions that may prove to be wrong, and we could exhaust our capital resources sooner than we expect. We will require additional capital in order to complete the clinical development of CLS-AX.</w:t>
      </w:r>
    </w:p>
    <w:p>
      <w:pPr>
        <w:spacing w:after="0" w:line="7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These factors raise substantial doubt regarding our ability to continue as a going concern. Our consolidated financial statements have been prepared on a going concern basis, which contemplates the realization of assets and satisfaction of liabilities in the normal course of business. The consolidated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net cash flows (used in) provided by our operating, investing and financing activities (in thousands):</w:t>
      </w:r>
    </w:p>
    <w:p>
      <w:pPr>
        <w:spacing w:after="0" w:line="13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(19,444 )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(18,630 )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(9,945 )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(1,657 )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14,357</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0"/>
                <w:szCs w:val="20"/>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8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(15,032 )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(19,616 )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and 2023, our operating activities used net cash of $19.4 million and $18.6 million, respectively. The net cash used in operating activities for the nine months ended September 30, 2024 was due to ongoing research and development expenses to develop our pipeline and ongoing costs for ODYSSEY, as well as the supporting general and administrative costs. The net cash used in operating activities for the nine months ended September 30, 2023 was due to ongoing research and development expenses to develop our pipeline and startup costs for ODYSSEY, as well as the supporting general and administrative costs.</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and 2023, our investing activities used net cash of $9.9 million and $1.7 million, respectively. The net cash used in investing activities for the nine months ended September 30, 2024 consisted of $16.9 million for the purchase of short-term investments and $0.5 million for the acquisition of property and equipment, partially offset by $7.5 million of maturity of short-term investments. The net cash used in investing activities for the nine months ended September 30, 2023 consisted of $1.7 million for the acquisition of property and equipment.</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and 2023, our financing activities provided net cash of $14.4 million and $0.7 million, respectively. The cash provided by financing activities for the nine months ended September 30, 2024 consisted primarily of $13.9 million of net proceeds from the sale of shares of our common stock in a registered direct offering and $0.5 million of net proceeds from the sale of shares of our common stock under the Sales Agreement. The cash provided by financing activities for the nine months ended September 30, 2023 consisted primarily of $0.9 million of proceeds received from the sale of our common stock under the ATM Agreement partially offset by a payment of $0.4 million related to the Purchase and Sale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8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September 30, 2024 that has materially affected, or is reasonably likely to materially affect, our internal control over financial reporting. We have not experienced any material impact to our internal control over financial reporting.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below and in “Part I, Item 1A. Risk Factors” of our Annual Report on Form 10-K for the fiscal year ended December 31, 2023, filed with the Securities and Exchange Commission on March 12,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consolidated financial statements have been prepared assuming that we will continue as a going concern.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historical financial statements have been prepared under the assumption that we will continue as a going concern. As of September 30, 2024, we had an accumulated deficit of $348.0 million and we had cash, cash equivalents and short-term investments of $23.6 million. These conditions raise substantial doubt about the Company’s ability to continue as a going concern within one year after the date the financial statements are issued. Based on its current plans and forecasted expenses, the Company expects that its cash, cash equivalents and short-term investments as of the filing date, November 12, 2024, will enable the Company to fund its planned operating expenses and capital expenditure requirements into the third quarter of 2025.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84"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perception of our ability to continue as a going concern may make it more difficult for us to obtain financing for the continuation of our operations and could result in the loss of confidence by investors and employees. Additionally, if we are unable to continue as a going concern, our stockholders may lose some or all of their investment in the Company.</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Additional financing may not be available to us when needed or, if available, it may not be obtained on commercially reasonable terms. If we are not able to obtain the necessary additional financing on a timely or commercially reasonable basis, we will be forced to delay or scale down some or all of our development activities (or perhaps even cease the operation of our business). Our access to additional capital may be negatively affected by future recessions, downturns in the economy or the markets as a whole, or inflation.</w:t>
      </w:r>
    </w:p>
    <w:p>
      <w:pPr>
        <w:spacing w:after="0" w:line="7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have no commitments for any additional financing and such commitments may not be obtained on favorable terms, if at all. Any additional equity financing will be dilutive to our stockholders, and debt financing, if available, may involve restrictive covenants with respect to dividends, raising future capital, and other financial and operational matters. If we are unable to obtain additional financing as needed, we may be required to reduce the scope of our operations or our anticipated expansion, which could have a material adverse effect on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2024, none of our directors or officers (as defined in Rule 16a-1(f) under the Exchange Act) adopted, modified or terminated a “Rule 10b5-1 trading arrangement” or a “non-Rule 10b5-1 trading arrangement” (as each term is defined in Item 408 of Regulation S-K).</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3"/>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338"/>
        </w:trPr>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9940" w:type="dxa"/>
            <w:vAlign w:val="bottom"/>
            <w:tcBorders>
              <w:top w:val="single" w:sz="8" w:color="auto"/>
              <w:bottom w:val="single" w:sz="8" w:color="0000FF"/>
            </w:tcBorders>
            <w:gridSpan w:val="11"/>
          </w:tcPr>
          <w:p>
            <w:pPr>
              <w:ind w:left="20"/>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Amended and Restated Certificate of Incorporation (incorporated herein by reference to Exhibit 3.1 to the Registrant’s Current Report on</w:t>
              </w:r>
            </w:hyperlink>
          </w:p>
        </w:tc>
        <w:tc>
          <w:tcPr>
            <w:tcW w:w="60" w:type="dxa"/>
            <w:vAlign w:val="bottom"/>
            <w:tcBorders>
              <w:top w:val="single" w:sz="8" w:color="auto"/>
            </w:tcBorders>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FF"/>
            </w:tcBorders>
            <w:gridSpan w:val="4"/>
          </w:tcPr>
          <w:p>
            <w:pPr>
              <w:ind w:left="20"/>
              <w:spacing w:after="0" w:line="19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Form 8-K (File No. 001-37783) filed with the SEC on June 7, 2016).</w:t>
              </w:r>
            </w:hyperlink>
          </w:p>
        </w:tc>
        <w:tc>
          <w:tcPr>
            <w:tcW w:w="20" w:type="dxa"/>
            <w:vAlign w:val="bottom"/>
            <w:tcBorders>
              <w:bottom w:val="single" w:sz="8" w:color="0000EE"/>
            </w:tcBorders>
          </w:tcPr>
          <w:p>
            <w:pPr>
              <w:spacing w:after="0"/>
              <w:rPr>
                <w:sz w:val="17"/>
                <w:szCs w:val="17"/>
                <w:color w:val="auto"/>
              </w:rPr>
            </w:pPr>
          </w:p>
        </w:tc>
        <w:tc>
          <w:tcPr>
            <w:tcW w:w="5000" w:type="dxa"/>
            <w:vAlign w:val="bottom"/>
            <w:gridSpan w:val="7"/>
          </w:tcPr>
          <w:p>
            <w:pPr>
              <w:spacing w:after="0"/>
              <w:rPr>
                <w:sz w:val="17"/>
                <w:szCs w:val="17"/>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9800" w:type="dxa"/>
            <w:vAlign w:val="bottom"/>
            <w:tcBorders>
              <w:bottom w:val="single" w:sz="8" w:color="0000FF"/>
            </w:tcBorders>
            <w:gridSpan w:val="10"/>
          </w:tcPr>
          <w:p>
            <w:pPr>
              <w:ind w:left="20"/>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Certificate of Amendment to Amended and Restated Certificate of Incorporation (incorporated herein by reference to Exhibit 3.1 to the</w:t>
              </w:r>
            </w:hyperlink>
          </w:p>
        </w:tc>
        <w:tc>
          <w:tcPr>
            <w:tcW w:w="20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12"/>
          </w:tcPr>
          <w:p>
            <w:pPr>
              <w:ind w:left="20"/>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Registrant's Current Report on Form 8-K (File No. 001-37783) filed with the SEC on June 23, 2022).</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9940" w:type="dxa"/>
            <w:vAlign w:val="bottom"/>
            <w:tcBorders>
              <w:bottom w:val="single" w:sz="8" w:color="0000FF"/>
            </w:tcBorders>
            <w:gridSpan w:val="11"/>
          </w:tcPr>
          <w:p>
            <w:pPr>
              <w:ind w:left="20"/>
              <w:spacing w:after="0"/>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Amended and Restated Bylaws (incorporated herein by reference to Exhibit 3.2 to the Registrant’s Current Report on Form 8-K (File No.</w:t>
              </w:r>
            </w:hyperlink>
          </w:p>
        </w:tc>
        <w:tc>
          <w:tcPr>
            <w:tcW w:w="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Borders>
              <w:bottom w:val="single" w:sz="8" w:color="0000FF"/>
            </w:tcBorders>
            <w:gridSpan w:val="2"/>
          </w:tcPr>
          <w:p>
            <w:pPr>
              <w:ind w:left="20"/>
              <w:spacing w:after="0" w:line="196"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001-37783) filed with the SEC on June 7, 2016).</w:t>
              </w:r>
            </w:hyperlink>
          </w:p>
        </w:tc>
        <w:tc>
          <w:tcPr>
            <w:tcW w:w="20" w:type="dxa"/>
            <w:vAlign w:val="bottom"/>
            <w:tcBorders>
              <w:bottom w:val="single" w:sz="8" w:color="0000EE"/>
            </w:tcBorders>
          </w:tcPr>
          <w:p>
            <w:pPr>
              <w:spacing w:after="0"/>
              <w:rPr>
                <w:sz w:val="17"/>
                <w:szCs w:val="17"/>
                <w:color w:val="auto"/>
              </w:rPr>
            </w:pPr>
          </w:p>
        </w:tc>
        <w:tc>
          <w:tcPr>
            <w:tcW w:w="6460" w:type="dxa"/>
            <w:vAlign w:val="bottom"/>
            <w:gridSpan w:val="9"/>
          </w:tcPr>
          <w:p>
            <w:pPr>
              <w:spacing w:after="0"/>
              <w:rPr>
                <w:sz w:val="17"/>
                <w:szCs w:val="17"/>
                <w:color w:val="auto"/>
              </w:rPr>
            </w:pPr>
          </w:p>
        </w:tc>
      </w:tr>
      <w:tr>
        <w:trPr>
          <w:trHeight w:val="37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65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under Section 302 of the Sarbanes-Oxley Act.</w:t>
            </w:r>
          </w:p>
        </w:tc>
        <w:tc>
          <w:tcPr>
            <w:tcW w:w="3500" w:type="dxa"/>
            <w:vAlign w:val="bottom"/>
            <w:gridSpan w:val="5"/>
          </w:tcPr>
          <w:p>
            <w:pPr>
              <w:spacing w:after="0"/>
              <w:rPr>
                <w:sz w:val="24"/>
                <w:szCs w:val="24"/>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under Section 302 of the Sarbanes-Oxley Act.</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60" w:type="dxa"/>
            <w:vAlign w:val="bottom"/>
            <w:tcBorders>
              <w:right w:val="single" w:sz="8" w:color="0000EE"/>
            </w:tcBorders>
            <w:gridSpan w:val="6"/>
            <w:shd w:val="clear" w:color="auto" w:fill="0000FF"/>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88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Certifications of Principal Executive Officer and Principal Financial Officer under Section 906 of the Sarbanes-Oxley Act.</w:t>
            </w:r>
          </w:p>
        </w:tc>
        <w:tc>
          <w:tcPr>
            <w:tcW w:w="1160" w:type="dxa"/>
            <w:vAlign w:val="bottom"/>
            <w:gridSpan w:val="3"/>
          </w:tcPr>
          <w:p>
            <w:pPr>
              <w:spacing w:after="0"/>
              <w:rPr>
                <w:sz w:val="24"/>
                <w:szCs w:val="24"/>
                <w:color w:val="auto"/>
              </w:rPr>
            </w:pPr>
          </w:p>
        </w:tc>
      </w:tr>
      <w:tr>
        <w:trPr>
          <w:trHeight w:val="41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9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tc>
      </w:tr>
      <w:tr>
        <w:trPr>
          <w:trHeight w:val="39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Exhibits 101)</w:t>
            </w:r>
          </w:p>
        </w:tc>
      </w:tr>
      <w:tr>
        <w:trPr>
          <w:trHeight w:val="148"/>
        </w:trPr>
        <w:tc>
          <w:tcPr>
            <w:tcW w:w="1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238" w:lineRule="exact"/>
        <w:rPr>
          <w:sz w:val="20"/>
          <w:szCs w:val="20"/>
          <w:color w:val="auto"/>
        </w:rPr>
      </w:pPr>
    </w:p>
    <w:p>
      <w:pPr>
        <w:ind w:left="600" w:hanging="464"/>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0" w:right="240" w:hanging="464"/>
        <w:spacing w:after="0" w:line="263"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Clearside Biomedical, Inc.</w:t>
      </w:r>
    </w:p>
    <w:p>
      <w:pPr>
        <w:sectPr>
          <w:pgSz w:w="11900" w:h="16838" w:orient="portrait"/>
          <w:cols w:equalWidth="0" w:num="1">
            <w:col w:w="10800"/>
          </w:cols>
          <w:pgMar w:left="320" w:top="981" w:right="779" w:bottom="1440" w:gutter="0" w:footer="0" w:header="0"/>
        </w:sect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27305</wp:posOffset>
            </wp:positionV>
            <wp:extent cx="258000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3">
            <w:col w:w="6060" w:space="720"/>
            <w:col w:w="880" w:space="720"/>
            <w:col w:w="2420"/>
          </w:cols>
          <w:pgMar w:left="320" w:top="981" w:right="779" w:bottom="1440" w:gutter="0" w:footer="0" w:header="0"/>
          <w:type w:val="continuous"/>
        </w:sectPr>
      </w:pPr>
    </w:p>
    <w:p>
      <w:pPr>
        <w:jc w:val="center"/>
        <w:ind w:left="7160"/>
        <w:spacing w:after="0"/>
        <w:rPr>
          <w:sz w:val="20"/>
          <w:szCs w:val="20"/>
          <w:color w:val="auto"/>
        </w:rPr>
      </w:pPr>
      <w:r>
        <w:rPr>
          <w:rFonts w:ascii="Times New Roman" w:cs="Times New Roman" w:eastAsia="Times New Roman" w:hAnsi="Times New Roman"/>
          <w:sz w:val="18"/>
          <w:szCs w:val="18"/>
          <w:color w:val="auto"/>
        </w:rPr>
        <w:t>Charles A. Deignan</w:t>
      </w:r>
    </w:p>
    <w:p>
      <w:pPr>
        <w:spacing w:after="0" w:line="23"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(On behalf of the Registrant and as</w:t>
      </w:r>
    </w:p>
    <w:p>
      <w:pPr>
        <w:spacing w:after="0" w:line="2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type w:val="continuous"/>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Lasezkay, certify that:</w:t>
      </w:r>
    </w:p>
    <w:p>
      <w:pPr>
        <w:spacing w:after="0" w:line="117"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2024 of Clearside Biomedical, Inc. (the “registrant”);</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480" w:right="260" w:hanging="472"/>
        <w:spacing w:after="0" w:line="282"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George Lasezkay, Pharm. D., J.D.</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A. Deignan, certify that:</w:t>
      </w:r>
    </w:p>
    <w:p>
      <w:pPr>
        <w:spacing w:after="0" w:line="117"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2024 of Clearside Biomedical, Inc. (the “registrant”);</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22860</wp:posOffset>
            </wp:positionV>
            <wp:extent cx="28460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Charles A. Deignan</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spacing w:after="0" w:line="50" w:lineRule="exact"/>
        <w:rPr>
          <w:sz w:val="20"/>
          <w:szCs w:val="20"/>
          <w:color w:val="auto"/>
        </w:rPr>
      </w:pPr>
    </w:p>
    <w:p>
      <w:pPr>
        <w:ind w:left="5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2024,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5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12th day of November,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Lasezkay, Pharm. D., J.D.</w:t>
            </w:r>
          </w:p>
        </w:tc>
        <w:tc>
          <w:tcPr>
            <w:tcW w:w="2260" w:type="dxa"/>
            <w:vAlign w:val="bottom"/>
          </w:tcPr>
          <w:p>
            <w:pPr>
              <w:spacing w:after="0"/>
              <w:rPr>
                <w:sz w:val="20"/>
                <w:szCs w:val="20"/>
                <w:color w:val="auto"/>
              </w:rPr>
            </w:pP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Charles. A. Deignan</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Lasezkay, Pharm. D., J.D.</w:t>
            </w:r>
          </w:p>
        </w:tc>
        <w:tc>
          <w:tcPr>
            <w:tcW w:w="22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A. Deignan</w:t>
            </w: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52" w:lineRule="exact"/>
        <w:rPr>
          <w:sz w:val="20"/>
          <w:szCs w:val="20"/>
          <w:color w:val="auto"/>
        </w:rPr>
      </w:pPr>
    </w:p>
    <w:p>
      <w:pPr>
        <w:ind w:left="520" w:right="100" w:hanging="512"/>
        <w:spacing w:after="0" w:line="266" w:lineRule="auto"/>
        <w:tabs>
          <w:tab w:leader="none" w:pos="3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Roman"/>
      <w:start w:val="3"/>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28" Type="http://schemas.openxmlformats.org/officeDocument/2006/relationships/hyperlink" Target="https://www.sec.gov/Archives/edgar/data/1539029/000119312516615374/d208521dex31.htm" TargetMode="External"/><Relationship Id="rId229" Type="http://schemas.openxmlformats.org/officeDocument/2006/relationships/hyperlink" Target="https://www.sec.gov/Archives/edgar/data/1539029/000095017022012039/clsd-ex3_1.htm" TargetMode="External"/><Relationship Id="rId230" Type="http://schemas.openxmlformats.org/officeDocument/2006/relationships/hyperlink" Target="https://www.sec.gov/Archives/edgar/data/1539029/000119312516615374/d20852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2024-11-12T15:59:17Z</dcterms:created>
  <dcterms:modified xsi:type="dcterms:W3CDTF">2024-11-12T15:59:17Z</dcterms:modified>
</cp:coreProperties>
</file>