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b w:val="1"/>
          <w:bCs w:val="1"/>
          <w:color w:val="auto"/>
        </w:rPr>
        <w:t>Mark One)</w:t>
      </w:r>
    </w:p>
    <w:p>
      <w:pPr>
        <w:spacing w:after="0" w:line="26" w:lineRule="exact"/>
        <w:rPr>
          <w:sz w:val="24"/>
          <w:szCs w:val="24"/>
          <w:color w:val="auto"/>
        </w:rPr>
      </w:pPr>
    </w:p>
    <w:p>
      <w:pPr>
        <w:ind w:left="4180" w:right="3160" w:hanging="4071"/>
        <w:spacing w:after="0" w:line="377" w:lineRule="auto"/>
        <w:tabs>
          <w:tab w:leader="none" w:pos="501"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-320040</wp:posOffset>
            </wp:positionV>
            <wp:extent cx="73660" cy="74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156" w:lineRule="exact"/>
        <w:rPr>
          <w:sz w:val="24"/>
          <w:szCs w:val="24"/>
          <w:color w:val="auto"/>
        </w:rPr>
      </w:pPr>
    </w:p>
    <w:p>
      <w:pPr>
        <w:ind w:left="4060" w:right="2840" w:hanging="3951"/>
        <w:spacing w:after="0" w:line="328" w:lineRule="auto"/>
        <w:tabs>
          <w:tab w:leader="none" w:pos="507"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 to __________</w:t>
      </w:r>
    </w:p>
    <w:p>
      <w:pPr>
        <w:spacing w:after="0" w:line="1" w:lineRule="exact"/>
        <w:rPr>
          <w:rFonts w:ascii="MS PGothic" w:cs="MS PGothic" w:eastAsia="MS PGothic" w:hAnsi="MS PGothic"/>
          <w:sz w:val="15"/>
          <w:szCs w:val="15"/>
          <w:color w:val="auto"/>
        </w:rPr>
      </w:pPr>
    </w:p>
    <w:p>
      <w:pPr>
        <w:ind w:left="442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-378460</wp:posOffset>
            </wp:positionV>
            <wp:extent cx="73660" cy="74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135" w:lineRule="exact"/>
        <w:rPr>
          <w:sz w:val="24"/>
          <w:szCs w:val="24"/>
          <w:color w:val="auto"/>
        </w:rPr>
      </w:pPr>
    </w:p>
    <w:tbl>
      <w:tblPr>
        <w:tblLayout w:type="fixed"/>
        <w:tblInd w:w="520" w:type="dxa"/>
        <w:tblCellMar>
          <w:top w:w="0" w:type="dxa"/>
          <w:left w:w="0" w:type="dxa"/>
          <w:bottom w:w="0" w:type="dxa"/>
          <w:right w:w="0" w:type="dxa"/>
        </w:tblCellMar>
      </w:tblPr>
      <w:tr>
        <w:trPr>
          <w:trHeight w:val="257"/>
        </w:trPr>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980" w:type="dxa"/>
            <w:vAlign w:val="bottom"/>
            <w:gridSpan w:val="6"/>
          </w:tcPr>
          <w:p>
            <w:pPr>
              <w:jc w:val="center"/>
              <w:ind w:left="319"/>
              <w:spacing w:after="0"/>
              <w:rPr>
                <w:sz w:val="20"/>
                <w:szCs w:val="20"/>
                <w:color w:val="auto"/>
              </w:rPr>
            </w:pPr>
            <w:r>
              <w:rPr>
                <w:rFonts w:ascii="Arial" w:cs="Arial" w:eastAsia="Arial" w:hAnsi="Arial"/>
                <w:sz w:val="22"/>
                <w:szCs w:val="22"/>
                <w:b w:val="1"/>
                <w:bCs w:val="1"/>
                <w:color w:val="auto"/>
                <w:w w:val="88"/>
              </w:rPr>
              <w:t>Clearside Biomedical, Inc.</w:t>
            </w:r>
          </w:p>
        </w:tc>
        <w:tc>
          <w:tcPr>
            <w:tcW w:w="1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20" w:type="dxa"/>
            <w:vAlign w:val="bottom"/>
            <w:gridSpan w:val="8"/>
          </w:tcPr>
          <w:p>
            <w:pPr>
              <w:jc w:val="center"/>
              <w:ind w:right="2387"/>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114"/>
        </w:trPr>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vMerge w:val="restart"/>
          </w:tcPr>
          <w:p>
            <w:pPr>
              <w:jc w:val="center"/>
              <w:ind w:right="244"/>
              <w:spacing w:after="0"/>
              <w:rPr>
                <w:sz w:val="20"/>
                <w:szCs w:val="20"/>
                <w:color w:val="auto"/>
              </w:rPr>
            </w:pPr>
            <w:r>
              <w:rPr>
                <w:rFonts w:ascii="Arial" w:cs="Arial" w:eastAsia="Arial" w:hAnsi="Arial"/>
                <w:sz w:val="15"/>
                <w:szCs w:val="15"/>
                <w:b w:val="1"/>
                <w:bCs w:val="1"/>
                <w:color w:val="auto"/>
                <w:w w:val="94"/>
              </w:rPr>
              <w:t>Delaware</w:t>
            </w: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40" w:type="dxa"/>
            <w:vAlign w:val="bottom"/>
            <w:gridSpan w:val="2"/>
            <w:vMerge w:val="restart"/>
          </w:tcPr>
          <w:p>
            <w:pPr>
              <w:jc w:val="right"/>
              <w:ind w:right="1387"/>
              <w:spacing w:after="0"/>
              <w:rPr>
                <w:sz w:val="20"/>
                <w:szCs w:val="20"/>
                <w:color w:val="auto"/>
              </w:rPr>
            </w:pPr>
            <w:r>
              <w:rPr>
                <w:rFonts w:ascii="Arial" w:cs="Arial" w:eastAsia="Arial" w:hAnsi="Arial"/>
                <w:sz w:val="15"/>
                <w:szCs w:val="15"/>
                <w:b w:val="1"/>
                <w:bCs w:val="1"/>
                <w:color w:val="auto"/>
              </w:rPr>
              <w:t>45-2437375</w:t>
            </w:r>
          </w:p>
        </w:tc>
        <w:tc>
          <w:tcPr>
            <w:tcW w:w="0" w:type="dxa"/>
            <w:vAlign w:val="bottom"/>
          </w:tcPr>
          <w:p>
            <w:pPr>
              <w:spacing w:after="0"/>
              <w:rPr>
                <w:sz w:val="1"/>
                <w:szCs w:val="1"/>
                <w:color w:val="auto"/>
              </w:rPr>
            </w:pPr>
          </w:p>
        </w:tc>
      </w:tr>
      <w:tr>
        <w:trPr>
          <w:trHeight w:val="254"/>
        </w:trPr>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20" w:type="dxa"/>
            <w:vAlign w:val="bottom"/>
            <w:gridSpan w:val="8"/>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0" w:type="dxa"/>
            <w:vAlign w:val="bottom"/>
          </w:tcPr>
          <w:p>
            <w:pPr>
              <w:spacing w:after="0"/>
              <w:rPr>
                <w:sz w:val="12"/>
                <w:szCs w:val="12"/>
                <w:color w:val="auto"/>
              </w:rPr>
            </w:pPr>
          </w:p>
        </w:tc>
        <w:tc>
          <w:tcPr>
            <w:tcW w:w="2700" w:type="dxa"/>
            <w:vAlign w:val="bottom"/>
          </w:tcPr>
          <w:p>
            <w:pPr>
              <w:jc w:val="center"/>
              <w:ind w:right="867"/>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6020" w:type="dxa"/>
            <w:vAlign w:val="bottom"/>
            <w:gridSpan w:val="8"/>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0" w:type="dxa"/>
            <w:vAlign w:val="bottom"/>
          </w:tcPr>
          <w:p>
            <w:pPr>
              <w:spacing w:after="0"/>
              <w:rPr>
                <w:sz w:val="16"/>
                <w:szCs w:val="16"/>
                <w:color w:val="auto"/>
              </w:rPr>
            </w:pPr>
          </w:p>
        </w:tc>
        <w:tc>
          <w:tcPr>
            <w:tcW w:w="2700" w:type="dxa"/>
            <w:vAlign w:val="bottom"/>
          </w:tcPr>
          <w:p>
            <w:pPr>
              <w:jc w:val="center"/>
              <w:ind w:right="88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6020" w:type="dxa"/>
            <w:vAlign w:val="bottom"/>
            <w:gridSpan w:val="8"/>
          </w:tcPr>
          <w:p>
            <w:pPr>
              <w:jc w:val="center"/>
              <w:ind w:right="3200"/>
              <w:spacing w:after="0"/>
              <w:rPr>
                <w:sz w:val="20"/>
                <w:szCs w:val="20"/>
                <w:color w:val="auto"/>
              </w:rPr>
            </w:pPr>
            <w:r>
              <w:rPr>
                <w:rFonts w:ascii="Arial" w:cs="Arial" w:eastAsia="Arial" w:hAnsi="Arial"/>
                <w:sz w:val="15"/>
                <w:szCs w:val="15"/>
                <w:b w:val="1"/>
                <w:bCs w:val="1"/>
                <w:color w:val="auto"/>
                <w:w w:val="93"/>
              </w:rPr>
              <w:t>900 North Point Parkway, Suite 200</w:t>
            </w:r>
          </w:p>
        </w:tc>
        <w:tc>
          <w:tcPr>
            <w:tcW w:w="1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2040" w:type="dxa"/>
            <w:vAlign w:val="bottom"/>
            <w:gridSpan w:val="2"/>
          </w:tcPr>
          <w:p>
            <w:pPr>
              <w:jc w:val="center"/>
              <w:ind w:left="706"/>
              <w:spacing w:after="0" w:line="156" w:lineRule="exact"/>
              <w:rPr>
                <w:sz w:val="20"/>
                <w:szCs w:val="20"/>
                <w:color w:val="auto"/>
              </w:rPr>
            </w:pPr>
            <w:r>
              <w:rPr>
                <w:rFonts w:ascii="Arial" w:cs="Arial" w:eastAsia="Arial" w:hAnsi="Arial"/>
                <w:sz w:val="15"/>
                <w:szCs w:val="15"/>
                <w:b w:val="1"/>
                <w:bCs w:val="1"/>
                <w:color w:val="auto"/>
                <w:w w:val="97"/>
              </w:rPr>
              <w:t>Alpharetta, GA</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40" w:type="dxa"/>
            <w:vAlign w:val="bottom"/>
            <w:gridSpan w:val="2"/>
          </w:tcPr>
          <w:p>
            <w:pPr>
              <w:jc w:val="right"/>
              <w:ind w:right="1567"/>
              <w:spacing w:after="0" w:line="156" w:lineRule="exact"/>
              <w:rPr>
                <w:sz w:val="20"/>
                <w:szCs w:val="20"/>
                <w:color w:val="auto"/>
              </w:rPr>
            </w:pPr>
            <w:r>
              <w:rPr>
                <w:rFonts w:ascii="Arial" w:cs="Arial" w:eastAsia="Arial" w:hAnsi="Arial"/>
                <w:sz w:val="15"/>
                <w:szCs w:val="15"/>
                <w:b w:val="1"/>
                <w:bCs w:val="1"/>
                <w:color w:val="auto"/>
              </w:rPr>
              <w:t>30005</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6020" w:type="dxa"/>
            <w:vAlign w:val="bottom"/>
            <w:gridSpan w:val="8"/>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 w:type="dxa"/>
            <w:vAlign w:val="bottom"/>
          </w:tcPr>
          <w:p>
            <w:pPr>
              <w:spacing w:after="0"/>
              <w:rPr>
                <w:sz w:val="16"/>
                <w:szCs w:val="16"/>
                <w:color w:val="auto"/>
              </w:rPr>
            </w:pPr>
          </w:p>
        </w:tc>
        <w:tc>
          <w:tcPr>
            <w:tcW w:w="2700" w:type="dxa"/>
            <w:vAlign w:val="bottom"/>
          </w:tcPr>
          <w:p>
            <w:pPr>
              <w:jc w:val="center"/>
              <w:ind w:right="887"/>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20" w:type="dxa"/>
            <w:vAlign w:val="bottom"/>
            <w:gridSpan w:val="8"/>
          </w:tcPr>
          <w:p>
            <w:pPr>
              <w:jc w:val="center"/>
              <w:ind w:right="2367"/>
              <w:spacing w:after="0"/>
              <w:rPr>
                <w:sz w:val="20"/>
                <w:szCs w:val="20"/>
                <w:color w:val="auto"/>
              </w:rPr>
            </w:pPr>
            <w:r>
              <w:rPr>
                <w:rFonts w:ascii="Arial" w:cs="Arial" w:eastAsia="Arial" w:hAnsi="Arial"/>
                <w:sz w:val="14"/>
                <w:szCs w:val="14"/>
                <w:b w:val="1"/>
                <w:bCs w:val="1"/>
                <w:color w:val="auto"/>
                <w:w w:val="92"/>
              </w:rPr>
              <w:t>Registrant’s telephone number, including area code: (678) 270-3631</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80" w:type="dxa"/>
            <w:vAlign w:val="bottom"/>
            <w:gridSpan w:val="6"/>
          </w:tcPr>
          <w:p>
            <w:pPr>
              <w:jc w:val="center"/>
              <w:ind w:left="29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040" w:type="dxa"/>
            <w:vAlign w:val="bottom"/>
            <w:gridSpan w:val="2"/>
          </w:tcPr>
          <w:p>
            <w:pPr>
              <w:jc w:val="center"/>
              <w:ind w:right="864"/>
              <w:spacing w:after="0" w:line="162" w:lineRule="exact"/>
              <w:rPr>
                <w:sz w:val="20"/>
                <w:szCs w:val="20"/>
                <w:color w:val="auto"/>
              </w:rPr>
            </w:pPr>
            <w:r>
              <w:rPr>
                <w:rFonts w:ascii="Arial" w:cs="Arial" w:eastAsia="Arial" w:hAnsi="Arial"/>
                <w:sz w:val="15"/>
                <w:szCs w:val="15"/>
                <w:color w:val="auto"/>
                <w:w w:val="91"/>
              </w:rPr>
              <w:t>Title of each class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1660"/>
              <w:spacing w:after="0" w:line="162" w:lineRule="exact"/>
              <w:rPr>
                <w:sz w:val="20"/>
                <w:szCs w:val="20"/>
                <w:color w:val="auto"/>
              </w:rPr>
            </w:pPr>
            <w:r>
              <w:rPr>
                <w:rFonts w:ascii="Arial" w:cs="Arial" w:eastAsia="Arial" w:hAnsi="Arial"/>
                <w:sz w:val="15"/>
                <w:szCs w:val="15"/>
                <w:color w:val="auto"/>
                <w:w w:val="94"/>
              </w:rPr>
              <w:t>Trading Symbol(s)</w:t>
            </w:r>
          </w:p>
        </w:tc>
        <w:tc>
          <w:tcPr>
            <w:tcW w:w="2840" w:type="dxa"/>
            <w:vAlign w:val="bottom"/>
            <w:gridSpan w:val="2"/>
          </w:tcPr>
          <w:p>
            <w:pPr>
              <w:jc w:val="center"/>
              <w:ind w:left="64"/>
              <w:spacing w:after="0" w:line="162" w:lineRule="exact"/>
              <w:rPr>
                <w:sz w:val="20"/>
                <w:szCs w:val="20"/>
                <w:color w:val="auto"/>
              </w:rPr>
            </w:pPr>
            <w:r>
              <w:rPr>
                <w:rFonts w:ascii="Arial" w:cs="Arial" w:eastAsia="Arial" w:hAnsi="Arial"/>
                <w:sz w:val="15"/>
                <w:szCs w:val="15"/>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gridSpan w:val="3"/>
          </w:tcPr>
          <w:p>
            <w:pPr>
              <w:jc w:val="center"/>
              <w:spacing w:after="0"/>
              <w:rPr>
                <w:sz w:val="20"/>
                <w:szCs w:val="20"/>
                <w:color w:val="auto"/>
              </w:rPr>
            </w:pPr>
            <w:r>
              <w:rPr>
                <w:rFonts w:ascii="Arial" w:cs="Arial" w:eastAsia="Arial" w:hAnsi="Arial"/>
                <w:sz w:val="15"/>
                <w:szCs w:val="15"/>
                <w:color w:val="auto"/>
                <w:w w:val="91"/>
              </w:rPr>
              <w:t>Common Stock, par value $0.001 per share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660"/>
              <w:spacing w:after="0"/>
              <w:rPr>
                <w:sz w:val="20"/>
                <w:szCs w:val="20"/>
                <w:color w:val="auto"/>
              </w:rPr>
            </w:pPr>
            <w:r>
              <w:rPr>
                <w:rFonts w:ascii="Arial" w:cs="Arial" w:eastAsia="Arial" w:hAnsi="Arial"/>
                <w:sz w:val="15"/>
                <w:szCs w:val="15"/>
                <w:color w:val="auto"/>
                <w:w w:val="99"/>
              </w:rPr>
              <w:t>CLSD</w:t>
            </w:r>
          </w:p>
        </w:tc>
        <w:tc>
          <w:tcPr>
            <w:tcW w:w="14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361"/>
        </w:trPr>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20" w:type="dxa"/>
            <w:vAlign w:val="bottom"/>
            <w:gridSpan w:val="8"/>
          </w:tcPr>
          <w:p>
            <w:pPr>
              <w:jc w:val="center"/>
              <w:ind w:right="2367"/>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0" w:type="dxa"/>
            <w:vAlign w:val="bottom"/>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9740" w:type="dxa"/>
            <w:vAlign w:val="bottom"/>
            <w:gridSpan w:val="11"/>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7"/>
        </w:trPr>
        <w:tc>
          <w:tcPr>
            <w:tcW w:w="6900" w:type="dxa"/>
            <w:vAlign w:val="bottom"/>
            <w:gridSpan w:val="9"/>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w:t>
            </w:r>
          </w:p>
        </w:tc>
        <w:tc>
          <w:tcPr>
            <w:tcW w:w="2840" w:type="dxa"/>
            <w:vAlign w:val="bottom"/>
            <w:gridSpan w:val="2"/>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4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360" w:firstLine="51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40"/>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0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40"/>
              <w:spacing w:after="0"/>
              <w:rPr>
                <w:sz w:val="20"/>
                <w:szCs w:val="20"/>
                <w:color w:val="auto"/>
              </w:rPr>
            </w:pPr>
            <w:r>
              <w:rPr>
                <w:rFonts w:ascii="Arial" w:cs="Arial" w:eastAsia="Arial" w:hAnsi="Arial"/>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1"/>
        </w:trPr>
        <w:tc>
          <w:tcPr>
            <w:tcW w:w="20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0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40"/>
              <w:spacing w:after="0"/>
              <w:rPr>
                <w:sz w:val="20"/>
                <w:szCs w:val="20"/>
                <w:color w:val="auto"/>
              </w:rPr>
            </w:pPr>
            <w:r>
              <w:rPr>
                <w:rFonts w:ascii="Arial" w:cs="Arial" w:eastAsia="Arial" w:hAnsi="Arial"/>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1"/>
        </w:trPr>
        <w:tc>
          <w:tcPr>
            <w:tcW w:w="20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820" w:type="dxa"/>
            <w:vAlign w:val="bottom"/>
          </w:tcPr>
          <w:p>
            <w:pPr>
              <w:ind w:left="2740"/>
              <w:spacing w:after="0"/>
              <w:rPr>
                <w:sz w:val="20"/>
                <w:szCs w:val="20"/>
                <w:color w:val="auto"/>
              </w:rPr>
            </w:pPr>
            <w:r>
              <w:rPr>
                <w:rFonts w:ascii="Arial" w:cs="Arial" w:eastAsia="Arial" w:hAnsi="Arial"/>
                <w:sz w:val="15"/>
                <w:szCs w:val="15"/>
                <w:color w:val="auto"/>
              </w:rPr>
              <w:t>Emerging growth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27" w:lineRule="exact"/>
        <w:rPr>
          <w:sz w:val="24"/>
          <w:szCs w:val="24"/>
          <w:color w:val="auto"/>
        </w:rPr>
      </w:pPr>
    </w:p>
    <w:p>
      <w:pPr>
        <w:ind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0" w:lineRule="exact"/>
        <w:rPr>
          <w:sz w:val="24"/>
          <w:szCs w:val="24"/>
          <w:color w:val="auto"/>
        </w:rPr>
      </w:pPr>
    </w:p>
    <w:p>
      <w:pPr>
        <w:ind w:right="180" w:firstLine="568"/>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ind w:left="520"/>
        <w:spacing w:after="0" w:line="173" w:lineRule="exact"/>
        <w:tabs>
          <w:tab w:leader="none" w:pos="7600" w:val="left"/>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14" w:lineRule="exact"/>
        <w:rPr>
          <w:sz w:val="24"/>
          <w:szCs w:val="24"/>
          <w:color w:val="auto"/>
        </w:rPr>
      </w:pPr>
    </w:p>
    <w:p>
      <w:pPr>
        <w:ind w:right="400" w:firstLine="510"/>
        <w:spacing w:after="0"/>
        <w:rPr>
          <w:sz w:val="20"/>
          <w:szCs w:val="20"/>
          <w:color w:val="auto"/>
        </w:rPr>
      </w:pPr>
      <w:r>
        <w:rPr>
          <w:rFonts w:ascii="Arial" w:cs="Arial" w:eastAsia="Arial" w:hAnsi="Arial"/>
          <w:sz w:val="15"/>
          <w:szCs w:val="15"/>
          <w:color w:val="auto"/>
        </w:rPr>
        <w:t>The aggregate market value of Clearside Biomedical, Inc. voting and non-voting common equity held by non-affiliates as of June 30, 2020 (the last business day of the registrant's most recently completed second fiscal quarter) based on the closing sale price of $1.88 as reported on the Nasdaq Global Market on that date was approximately $66,100,000.</w:t>
      </w:r>
    </w:p>
    <w:p>
      <w:pPr>
        <w:spacing w:after="0" w:line="3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March 10, 2021, the registrant had 57,422,475 shares of common stock, par value $0.001 per share, outstanding.</w:t>
      </w:r>
    </w:p>
    <w:p>
      <w:pPr>
        <w:spacing w:after="0" w:line="56"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0" w:lineRule="exact"/>
        <w:rPr>
          <w:sz w:val="24"/>
          <w:szCs w:val="24"/>
          <w:color w:val="auto"/>
        </w:rPr>
      </w:pPr>
    </w:p>
    <w:p>
      <w:pPr>
        <w:ind w:right="260" w:firstLine="510"/>
        <w:spacing w:after="0" w:line="255" w:lineRule="auto"/>
        <w:rPr>
          <w:sz w:val="20"/>
          <w:szCs w:val="20"/>
          <w:color w:val="auto"/>
        </w:rPr>
      </w:pPr>
      <w:r>
        <w:rPr>
          <w:rFonts w:ascii="Arial" w:cs="Arial" w:eastAsia="Arial" w:hAnsi="Arial"/>
          <w:sz w:val="15"/>
          <w:szCs w:val="15"/>
          <w:color w:val="auto"/>
        </w:rPr>
        <w:t>Portions of the Company’s definitive proxy statement, to be filed pursuant to Regulation 14A under the Securities Exchange Act of 1934, for its 2021 Annual Meeting of Stockholders are incorporated by reference in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64"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the development and potential commercialization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preclinical studies and clinical trials for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planned regulatory filings, including the resubmission of our new drug application for XIPERE™;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XIPERE, if approved, would be the first drug specifically indicated for the treatment of macular edema associated with uveitis;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clinical utility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and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enter into and maintain collaborations with other companies;</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 candidates with significant commercial potential that are compatible with suprachoroidal injection and which are consistent with our commercial objectives;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cash resources, our future expenses and needs for additional financing.</w:t>
      </w:r>
    </w:p>
    <w:p>
      <w:pPr>
        <w:spacing w:after="0" w:line="225" w:lineRule="exact"/>
        <w:rPr>
          <w:sz w:val="20"/>
          <w:szCs w:val="20"/>
          <w:color w:val="auto"/>
        </w:rPr>
      </w:pPr>
    </w:p>
    <w:p>
      <w:pPr>
        <w:ind w:right="20" w:firstLine="510"/>
        <w:spacing w:after="0" w:line="217" w:lineRule="exact"/>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As a result of these factors, we cannot assure you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will prove to be accurate. Furthermore, if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prove to be inaccurate, the inaccuracy may be material. In light of the significant uncertainties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have proprietary rights to a number of trademarks used in this Annual Report which are important to our business, including Clearside, XIPERE,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Risk Factors Summary</w:t>
      </w:r>
    </w:p>
    <w:p>
      <w:pPr>
        <w:spacing w:after="0" w:line="3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273" w:lineRule="exact"/>
        <w:rPr>
          <w:sz w:val="20"/>
          <w:szCs w:val="20"/>
          <w:color w:val="auto"/>
        </w:rPr>
      </w:pPr>
    </w:p>
    <w:p>
      <w:pPr>
        <w:ind w:left="740" w:right="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170" w:lineRule="exact"/>
        <w:rPr>
          <w:rFonts w:ascii="Arial" w:cs="Arial" w:eastAsia="Arial" w:hAnsi="Arial"/>
          <w:sz w:val="18"/>
          <w:szCs w:val="18"/>
          <w:color w:val="auto"/>
        </w:rPr>
      </w:pPr>
    </w:p>
    <w:p>
      <w:pPr>
        <w:ind w:left="740" w:right="380" w:hanging="36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123" w:lineRule="exact"/>
        <w:rPr>
          <w:rFonts w:ascii="Arial" w:cs="Arial" w:eastAsia="Arial" w:hAnsi="Arial"/>
          <w:sz w:val="16"/>
          <w:szCs w:val="16"/>
          <w:color w:val="auto"/>
        </w:rPr>
      </w:pPr>
    </w:p>
    <w:p>
      <w:pPr>
        <w:ind w:left="740" w:right="20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Suprachoroidal injection is a novel approach and may fail to achieve and sustain market acceptance.</w:t>
      </w:r>
    </w:p>
    <w:p>
      <w:pPr>
        <w:spacing w:after="0" w:line="183"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of our product candidates are in clinical or preclinical development. If we are unable to obtain regulatory approval for and commercialize our product candidates, either on our own or with a third party, or if we experience significant delays in doing so, our business may be harmed.</w:t>
      </w:r>
    </w:p>
    <w:p>
      <w:pPr>
        <w:spacing w:after="0" w:line="123" w:lineRule="exact"/>
        <w:rPr>
          <w:rFonts w:ascii="Arial" w:cs="Arial" w:eastAsia="Arial" w:hAnsi="Arial"/>
          <w:sz w:val="16"/>
          <w:szCs w:val="16"/>
          <w:color w:val="auto"/>
        </w:rPr>
      </w:pPr>
    </w:p>
    <w:p>
      <w:pPr>
        <w:ind w:left="740" w:right="2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170"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granted an exclusive license to Bausch for the commercialization and development of XIPERE in the United States and Canada. If we are delayed in receiving FDA approval for XIPERE, or we are unable to maintain our partnership with Bausch, or if Bausch fails to successfully commercialize XIPERE, our business and prospects will be materially harmed.</w:t>
      </w:r>
    </w:p>
    <w:p>
      <w:pPr>
        <w:spacing w:after="0" w:line="183"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and intend to continue intend to enter into, collaborations with third parties for the development and commercialization of product candidates. If those collaborations are not successful, we may not be able to capitalize on the market potential of these product candidates.</w:t>
      </w:r>
    </w:p>
    <w:p>
      <w:pPr>
        <w:spacing w:after="0" w:line="183"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9960" w:type="dxa"/>
            <w:vAlign w:val="bottom"/>
            <w:vMerge w:val="restart"/>
          </w:tcPr>
          <w:p>
            <w:pPr>
              <w:jc w:val="center"/>
              <w:spacing w:after="0"/>
              <w:rPr>
                <w:rFonts w:ascii="Arial" w:cs="Arial" w:eastAsia="Arial" w:hAnsi="Arial"/>
                <w:sz w:val="18"/>
                <w:szCs w:val="18"/>
                <w:b w:val="1"/>
                <w:bCs w:val="1"/>
                <w:u w:val="single" w:color="auto"/>
                <w:color w:val="0000EE"/>
                <w:w w:val="98"/>
              </w:rPr>
            </w:pPr>
            <w:hyperlink w:anchor="page5">
              <w:r>
                <w:rPr>
                  <w:rFonts w:ascii="Arial" w:cs="Arial" w:eastAsia="Arial" w:hAnsi="Arial"/>
                  <w:sz w:val="18"/>
                  <w:szCs w:val="18"/>
                  <w:b w:val="1"/>
                  <w:bCs w:val="1"/>
                  <w:u w:val="single" w:color="auto"/>
                  <w:color w:val="0000EE"/>
                  <w:w w:val="98"/>
                </w:rPr>
                <w:t>PART I</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1B.</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Properties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PART II</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Selected Financial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7.</w:t>
            </w:r>
          </w:p>
        </w:tc>
        <w:tc>
          <w:tcPr>
            <w:tcW w:w="996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7A.</w:t>
            </w:r>
          </w:p>
        </w:tc>
        <w:tc>
          <w:tcPr>
            <w:tcW w:w="996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8.</w:t>
            </w:r>
          </w:p>
        </w:tc>
        <w:tc>
          <w:tcPr>
            <w:tcW w:w="9960" w:type="dxa"/>
            <w:vAlign w:val="bottom"/>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Financial Statements and Supplementary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9.</w:t>
            </w:r>
          </w:p>
        </w:tc>
        <w:tc>
          <w:tcPr>
            <w:tcW w:w="9960" w:type="dxa"/>
            <w:vAlign w:val="bottom"/>
          </w:tcPr>
          <w:p>
            <w:pPr>
              <w:ind w:left="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9A.</w:t>
            </w:r>
          </w:p>
        </w:tc>
        <w:tc>
          <w:tcPr>
            <w:tcW w:w="9960" w:type="dxa"/>
            <w:vAlign w:val="bottom"/>
          </w:tcPr>
          <w:p>
            <w:pPr>
              <w:ind w:left="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9B.</w:t>
            </w:r>
          </w:p>
        </w:tc>
        <w:tc>
          <w:tcPr>
            <w:tcW w:w="9960" w:type="dxa"/>
            <w:vAlign w:val="bottom"/>
          </w:tcPr>
          <w:p>
            <w:pPr>
              <w:ind w:left="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45"/>
        </w:trPr>
        <w:tc>
          <w:tcPr>
            <w:tcW w:w="84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PART III</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10.</w:t>
            </w:r>
          </w:p>
        </w:tc>
        <w:tc>
          <w:tcPr>
            <w:tcW w:w="9960" w:type="dxa"/>
            <w:vAlign w:val="bottom"/>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11.</w:t>
            </w:r>
          </w:p>
        </w:tc>
        <w:tc>
          <w:tcPr>
            <w:tcW w:w="9960" w:type="dxa"/>
            <w:vAlign w:val="bottom"/>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12.</w:t>
            </w:r>
          </w:p>
        </w:tc>
        <w:tc>
          <w:tcPr>
            <w:tcW w:w="9960" w:type="dxa"/>
            <w:vAlign w:val="bottom"/>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13.</w:t>
            </w:r>
          </w:p>
        </w:tc>
        <w:tc>
          <w:tcPr>
            <w:tcW w:w="9960" w:type="dxa"/>
            <w:vAlign w:val="bottom"/>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14.</w:t>
            </w:r>
          </w:p>
        </w:tc>
        <w:tc>
          <w:tcPr>
            <w:tcW w:w="9960" w:type="dxa"/>
            <w:vAlign w:val="bottom"/>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Principal Accountant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9960" w:type="dxa"/>
            <w:vAlign w:val="bottom"/>
          </w:tcPr>
          <w:p>
            <w:pPr>
              <w:jc w:val="cente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PART IV</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15.</w:t>
            </w:r>
          </w:p>
        </w:tc>
        <w:tc>
          <w:tcPr>
            <w:tcW w:w="9960" w:type="dxa"/>
            <w:vAlign w:val="bottom"/>
          </w:tcPr>
          <w:p>
            <w:pPr>
              <w:ind w:left="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Exhibits,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16</w:t>
            </w:r>
          </w:p>
        </w:tc>
        <w:tc>
          <w:tcPr>
            <w:tcW w:w="9960" w:type="dxa"/>
            <w:vAlign w:val="bottom"/>
          </w:tcPr>
          <w:p>
            <w:pPr>
              <w:ind w:left="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Form 10-K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97">
              <w:r>
                <w:rPr>
                  <w:rFonts w:ascii="Arial" w:cs="Arial" w:eastAsia="Arial" w:hAnsi="Arial"/>
                  <w:sz w:val="18"/>
                  <w:szCs w:val="18"/>
                  <w:u w:val="single" w:color="auto"/>
                  <w:color w:val="0000EE"/>
                  <w:w w:val="95"/>
                </w:rPr>
                <w:t>Signatures</w:t>
              </w:r>
            </w:hyperlink>
          </w:p>
        </w:tc>
        <w:tc>
          <w:tcPr>
            <w:tcW w:w="9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280" w:firstLine="549"/>
        <w:spacing w:after="0" w:line="257" w:lineRule="auto"/>
        <w:rPr>
          <w:sz w:val="20"/>
          <w:szCs w:val="20"/>
          <w:color w:val="auto"/>
        </w:rPr>
      </w:pPr>
      <w:r>
        <w:rPr>
          <w:rFonts w:ascii="Arial" w:cs="Arial" w:eastAsia="Arial" w:hAnsi="Arial"/>
          <w:sz w:val="18"/>
          <w:szCs w:val="18"/>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Our SCS injection platform is an inherently flexible, in-office, non-surgical procedure intended to provide targeted delivery to the site of disease and to work with both established and new formulations of medications, as well as future therapeutic innovations.</w:t>
      </w:r>
    </w:p>
    <w:p>
      <w:pPr>
        <w:spacing w:after="0" w:line="215" w:lineRule="exact"/>
        <w:rPr>
          <w:sz w:val="20"/>
          <w:szCs w:val="20"/>
          <w:color w:val="auto"/>
        </w:rPr>
      </w:pPr>
    </w:p>
    <w:p>
      <w:pPr>
        <w:ind w:firstLine="549"/>
        <w:spacing w:after="0" w:line="311"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Using our suprachoroidal injection technology in conjunction with proprietary formulations of existing drugs as well as novel therapies, we believe that we have created a broad therapeutic platform for developing product candidates to treat serious eye diseases.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Suprachoroidal Injection Technology Platform</w:t>
      </w:r>
    </w:p>
    <w:p>
      <w:pPr>
        <w:spacing w:after="0" w:line="239" w:lineRule="exact"/>
        <w:rPr>
          <w:sz w:val="20"/>
          <w:szCs w:val="20"/>
          <w:color w:val="auto"/>
        </w:rPr>
      </w:pPr>
    </w:p>
    <w:p>
      <w:pPr>
        <w:ind w:right="60" w:firstLine="549"/>
        <w:spacing w:after="0" w:line="296" w:lineRule="auto"/>
        <w:rPr>
          <w:sz w:val="20"/>
          <w:szCs w:val="20"/>
          <w:color w:val="auto"/>
        </w:rPr>
      </w:pPr>
      <w:r>
        <w:rPr>
          <w:rFonts w:ascii="Arial" w:cs="Arial" w:eastAsia="Arial" w:hAnsi="Arial"/>
          <w:sz w:val="16"/>
          <w:szCs w:val="16"/>
          <w:color w:val="auto"/>
        </w:rPr>
        <w:t>Our suprachoroidal injection platform is a novel, patented approach for delivering pharmacotherapy to the back of the eye via the SCS.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 The suprachoroidal injection procedure is depicted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128905</wp:posOffset>
            </wp:positionV>
            <wp:extent cx="3188970" cy="1791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897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549"/>
        <w:spacing w:after="0" w:line="254" w:lineRule="auto"/>
        <w:rPr>
          <w:sz w:val="20"/>
          <w:szCs w:val="20"/>
          <w:color w:val="auto"/>
        </w:rPr>
      </w:pPr>
      <w:r>
        <w:rPr>
          <w:rFonts w:ascii="Arial" w:cs="Arial" w:eastAsia="Arial" w:hAnsi="Arial"/>
          <w:sz w:val="18"/>
          <w:szCs w:val="18"/>
          <w:color w:val="auto"/>
        </w:rPr>
        <w:t>With suprachoroidal injections, product candidates are more directly administered to the retina and choroid, limiting exposure to non-target tissues as compared to other ocular drug administration techniques. Intravitreal injections, the current standard for delivery of many drugs for eye diseases, rely on diffusion of drug outward from the vitreous, a jelly-like substance that occupies the central portion of the eye, to the retina and choroid. This diffusion can result in lower concentrations of drug in these targeted areas and the drug spreading to unintended parts of the eye, potentially causing significant side effects. We believe treatment of eye disease via suprachoroidal injection of our product candidates may provide a number of benefits, including a non-surgical procedure, lower frequency of administration, limited exposure to non-targeted tissues, faster onset of therapeutic effect and an improved safety profile.</w:t>
      </w:r>
    </w:p>
    <w:p>
      <w:pPr>
        <w:spacing w:after="0" w:line="208" w:lineRule="exact"/>
        <w:rPr>
          <w:sz w:val="20"/>
          <w:szCs w:val="20"/>
          <w:color w:val="auto"/>
        </w:rPr>
      </w:pPr>
    </w:p>
    <w:p>
      <w:pPr>
        <w:ind w:firstLine="549"/>
        <w:spacing w:after="0" w:line="257" w:lineRule="auto"/>
        <w:rPr>
          <w:sz w:val="20"/>
          <w:szCs w:val="20"/>
          <w:color w:val="auto"/>
        </w:rPr>
      </w:pPr>
      <w:r>
        <w:rPr>
          <w:rFonts w:ascii="Arial" w:cs="Arial" w:eastAsia="Arial" w:hAnsi="Arial"/>
          <w:sz w:val="18"/>
          <w:szCs w:val="18"/>
          <w:color w:val="auto"/>
        </w:rPr>
        <w:t>Our extensive patent portfolio provides us with exclusive rights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drug candidates, SCS Microinjector and method of drug administration into the SCS are protected by 22 issued U.S. patents and more than 50 European and international patents broadly directed to the use of the device, administration of any drug into the SCS by injection, as well as specific product candidates.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SCS Microinjector</w:t>
      </w:r>
    </w:p>
    <w:p>
      <w:pPr>
        <w:spacing w:after="0" w:line="25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Our proprietary SCS Microinjector, shown in the picture below, can be used to inject a wide variety of drugs into the SCS. Our internally developed and our collaborators’ drug candidates are specifically formulated to be injected via suprachoroidal injection with our SCS Microinjector in order to flow to the back of the eye. The SCS Microinjector is composed of a syringe and two 30-gauge hollow microneedles of varying lengths, each less than 1.2 millimeters, within a custom-designed hub that optimizes insertion and suprachoroidal administration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408940</wp:posOffset>
            </wp:positionV>
            <wp:extent cx="4920615" cy="2820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0615"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549"/>
        <w:spacing w:after="0" w:line="275" w:lineRule="auto"/>
        <w:rPr>
          <w:sz w:val="20"/>
          <w:szCs w:val="20"/>
          <w:color w:val="auto"/>
        </w:rPr>
      </w:pPr>
      <w:r>
        <w:rPr>
          <w:rFonts w:ascii="Arial" w:cs="Arial" w:eastAsia="Arial" w:hAnsi="Arial"/>
          <w:sz w:val="17"/>
          <w:szCs w:val="17"/>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Intravitreal injections are typically performed using a needle that is approximately five millimeters in length, or five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w:t>
      </w:r>
    </w:p>
    <w:p>
      <w:pPr>
        <w:spacing w:after="0" w:line="190" w:lineRule="exact"/>
        <w:rPr>
          <w:sz w:val="20"/>
          <w:szCs w:val="20"/>
          <w:color w:val="auto"/>
        </w:rPr>
      </w:pPr>
    </w:p>
    <w:p>
      <w:pPr>
        <w:ind w:right="120" w:firstLine="549"/>
        <w:spacing w:after="0" w:line="257" w:lineRule="auto"/>
        <w:rPr>
          <w:sz w:val="20"/>
          <w:szCs w:val="20"/>
          <w:color w:val="auto"/>
        </w:rPr>
      </w:pPr>
      <w:r>
        <w:rPr>
          <w:rFonts w:ascii="Arial" w:cs="Arial" w:eastAsia="Arial" w:hAnsi="Arial"/>
          <w:sz w:val="18"/>
          <w:szCs w:val="18"/>
          <w:color w:val="auto"/>
        </w:rPr>
        <w:t>By contrast, our SCS Microinjector is designed to inject drug into the suprachoroidal space. This suprachoroidal injection is designed to be carried out perpendicular to the sclera, at a site similar to an intravitreal injection, under local anesthesia. Once the microneedle penetrates the sclera and reaches the SCS, the boundary between the sclera and the choroid, the open bevel of the needle releases the drug between these two layers. Once drug is injected into the SCS, it spreads within the SCS to the back of the eye, precisely targeting the cells of interest. Our SCS Microinjector has been used in over 1,200 suprachoroidal injections as part of our clinical trials.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We have research capabilities focused on developing proprietary therapeutic formulations to utilize with our SCS Microinjector. Our internal research and development initiatives are focused on small molecules and gene therapy to address unmet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needs in back-of-the-eye diseases. In addition to growing our internal pipeline, we are also focused on collaborating with other companies to provide access to the suprachoroidal space through the use of our SCS Microinjector.</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90805</wp:posOffset>
            </wp:positionV>
            <wp:extent cx="5657850" cy="269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Internal Development Pipeline</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We are developing a proprietary suspension of axitinib, a tyrosine kinase inhibitor, or TKI, for suprachoroidal injection, which we refer to as CLS-AX. In our preclinical studies, administration of CLS-AX through suprachoroidal injection was well tolerated and showed durability over several months, providing us with the opportunity to potentially reduce treatment burden and address a primary need for wet age-related macular degeneration, or AMD, patients.</w:t>
      </w:r>
    </w:p>
    <w:p>
      <w:pPr>
        <w:spacing w:after="0" w:line="79" w:lineRule="exact"/>
        <w:rPr>
          <w:sz w:val="20"/>
          <w:szCs w:val="20"/>
          <w:color w:val="auto"/>
        </w:rPr>
      </w:pPr>
    </w:p>
    <w:p>
      <w:pPr>
        <w:ind w:right="280" w:firstLine="549"/>
        <w:spacing w:after="0" w:line="277" w:lineRule="auto"/>
        <w:rPr>
          <w:sz w:val="20"/>
          <w:szCs w:val="20"/>
          <w:color w:val="auto"/>
        </w:rPr>
      </w:pPr>
      <w:r>
        <w:rPr>
          <w:rFonts w:ascii="Arial" w:cs="Arial" w:eastAsia="Arial" w:hAnsi="Arial"/>
          <w:sz w:val="18"/>
          <w:szCs w:val="18"/>
          <w:color w:val="auto"/>
        </w:rPr>
        <w:t>In August 2020, we announced that the U.S. Food and Drug Administration, or FDA, had accepted our Investigational New Drug application, or IND, for CLS-AX.</w:t>
      </w:r>
    </w:p>
    <w:p>
      <w:pPr>
        <w:spacing w:after="0" w:line="62" w:lineRule="exact"/>
        <w:rPr>
          <w:sz w:val="20"/>
          <w:szCs w:val="20"/>
          <w:color w:val="auto"/>
        </w:rPr>
      </w:pPr>
    </w:p>
    <w:p>
      <w:pPr>
        <w:ind w:right="380" w:firstLine="549"/>
        <w:spacing w:after="0" w:line="308" w:lineRule="auto"/>
        <w:rPr>
          <w:sz w:val="20"/>
          <w:szCs w:val="20"/>
          <w:color w:val="auto"/>
        </w:rPr>
      </w:pPr>
      <w:r>
        <w:rPr>
          <w:rFonts w:ascii="Arial" w:cs="Arial" w:eastAsia="Arial" w:hAnsi="Arial"/>
          <w:sz w:val="17"/>
          <w:szCs w:val="17"/>
          <w:color w:val="auto"/>
        </w:rPr>
        <w:t>In January 2021, we announced that the first patients had been enrolled in our Phase 1/2a clinical trial of CLS-AX, known as OASIS. In March 2021, we completed patient dosing in the first cohort of OASIS and we expect to report initial safety data from this cohort in mid-2021.</w:t>
      </w:r>
    </w:p>
    <w:p>
      <w:pPr>
        <w:spacing w:after="0" w:line="146" w:lineRule="exact"/>
        <w:rPr>
          <w:sz w:val="20"/>
          <w:szCs w:val="20"/>
          <w:color w:val="auto"/>
        </w:rPr>
      </w:pPr>
    </w:p>
    <w:p>
      <w:pPr>
        <w:ind w:firstLine="562"/>
        <w:spacing w:after="0" w:line="271" w:lineRule="auto"/>
        <w:rPr>
          <w:sz w:val="20"/>
          <w:szCs w:val="20"/>
          <w:color w:val="auto"/>
        </w:rPr>
      </w:pPr>
      <w:r>
        <w:rPr>
          <w:rFonts w:ascii="Arial" w:cs="Arial" w:eastAsia="Arial" w:hAnsi="Arial"/>
          <w:sz w:val="17"/>
          <w:szCs w:val="17"/>
          <w:color w:val="auto"/>
        </w:rPr>
        <w:t>We have initiated another small molecule program utilizing suprachoroidal administration of an integrin inhibitor suspension.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 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We expect to conclude these studies this year.</w:t>
      </w:r>
    </w:p>
    <w:p>
      <w:pPr>
        <w:spacing w:after="0" w:line="70" w:lineRule="exact"/>
        <w:rPr>
          <w:sz w:val="20"/>
          <w:szCs w:val="20"/>
          <w:color w:val="auto"/>
        </w:rPr>
      </w:pPr>
    </w:p>
    <w:p>
      <w:pPr>
        <w:ind w:right="160" w:firstLine="549"/>
        <w:spacing w:after="0" w:line="296" w:lineRule="auto"/>
        <w:rPr>
          <w:sz w:val="20"/>
          <w:szCs w:val="20"/>
          <w:color w:val="auto"/>
        </w:rPr>
      </w:pPr>
      <w:r>
        <w:rPr>
          <w:rFonts w:ascii="Arial" w:cs="Arial" w:eastAsia="Arial" w:hAnsi="Arial"/>
          <w:sz w:val="16"/>
          <w:szCs w:val="16"/>
          <w:color w:val="auto"/>
        </w:rPr>
        <w:t>Based on our preclinical studies, we believe that gene therapy is a promising approach to treating retinal diseases, particularly those that are inherited, and that our suprachoroidal injection technology can enhance the benefits of this approach. Multiple, peer-reviewed publications have also validated a suprachoroidal gene therapy treatment approach. Our work in this area includes suprachoroidal administration of therapeutic transgenes and non-viral vector gene therapy. Our preclinical proof-of-concept studies utilizing suprachoroidal delivery of marker genes using DNA nanoparticles have shown the potential for suprachoroidal administration to deliver genes. We plan to present this data at a medical conference in the second quarter of 2021.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External Collaborations Pipeline</w:t>
      </w:r>
    </w:p>
    <w:p>
      <w:pPr>
        <w:spacing w:after="0" w:line="117" w:lineRule="exact"/>
        <w:rPr>
          <w:sz w:val="20"/>
          <w:szCs w:val="20"/>
          <w:color w:val="auto"/>
        </w:rPr>
      </w:pPr>
    </w:p>
    <w:p>
      <w:pPr>
        <w:ind w:right="20" w:firstLine="549"/>
        <w:spacing w:after="0" w:line="255" w:lineRule="auto"/>
        <w:rPr>
          <w:sz w:val="20"/>
          <w:szCs w:val="20"/>
          <w:color w:val="auto"/>
        </w:rPr>
      </w:pPr>
      <w:r>
        <w:rPr>
          <w:rFonts w:ascii="Arial" w:cs="Arial" w:eastAsia="Arial" w:hAnsi="Arial"/>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suprachoroidal injectable suspension) in the United States and Canada. In April 2020, we granted Bausch an exclusive option to develop, manufacture, distribute, promote, market and commercialize XIPERE in one or more of the following regions: (i) the European Union, including the United Kingdom, (ii) Australia and New Zealand and (iii) South America and Mexico.</w:t>
      </w:r>
    </w:p>
    <w:p>
      <w:pPr>
        <w:spacing w:after="0" w:line="84" w:lineRule="exact"/>
        <w:rPr>
          <w:sz w:val="20"/>
          <w:szCs w:val="20"/>
          <w:color w:val="auto"/>
        </w:rPr>
      </w:pPr>
    </w:p>
    <w:p>
      <w:pPr>
        <w:ind w:right="100" w:firstLine="549"/>
        <w:spacing w:after="0" w:line="257" w:lineRule="auto"/>
        <w:rPr>
          <w:sz w:val="20"/>
          <w:szCs w:val="20"/>
          <w:color w:val="auto"/>
        </w:rPr>
      </w:pPr>
      <w:r>
        <w:rPr>
          <w:rFonts w:ascii="Arial" w:cs="Arial" w:eastAsia="Arial" w:hAnsi="Arial"/>
          <w:sz w:val="18"/>
          <w:szCs w:val="18"/>
          <w:color w:val="auto"/>
        </w:rPr>
        <w:t>In October 2019, REGENXBIO Inc., or REGENXBIO, exercised its option to license our SCS Microinjector technology for in-office delivery of adeno-associated virus, or AAV,-based therapeutics to the SCS to potentially treat AMD, diabetic retinopathy and other conditions for which chronic anti-VEGF treatment is currently the standard of care. REGENXBIO has initiated their Phase 2 clinical trial, entitled AAVIATE, for the treatment of wet AMD and in January 2021 announced the completion of enrollment in Cohort 1. They also expect to report data from their Phase 2 clinical trial, entitled ALTITUDE, for the treatment of diabetic retinopathy, in 2021.</w:t>
      </w:r>
    </w:p>
    <w:p>
      <w:pPr>
        <w:spacing w:after="0" w:line="80" w:lineRule="exact"/>
        <w:rPr>
          <w:sz w:val="20"/>
          <w:szCs w:val="20"/>
          <w:color w:val="auto"/>
        </w:rPr>
      </w:pPr>
    </w:p>
    <w:p>
      <w:pPr>
        <w:jc w:val="both"/>
        <w:ind w:right="620" w:firstLine="549"/>
        <w:spacing w:after="0" w:line="263" w:lineRule="auto"/>
        <w:rPr>
          <w:sz w:val="20"/>
          <w:szCs w:val="20"/>
          <w:color w:val="auto"/>
        </w:rPr>
      </w:pPr>
      <w:r>
        <w:rPr>
          <w:rFonts w:ascii="Arial" w:cs="Arial" w:eastAsia="Arial" w:hAnsi="Arial"/>
          <w:sz w:val="18"/>
          <w:szCs w:val="18"/>
          <w:color w:val="auto"/>
        </w:rPr>
        <w:t>In July 2019, Aura Biosciences, or Aura, licensed our SCS Microinjector to deliver Aura’s proprietary drug candidates into the SCS for the potential treatment of certain ocular cancers, including choroidal melanoma. Aura has initiated a Phase 2 clinical trial for the treatment of choroidal melanoma.</w:t>
      </w:r>
    </w:p>
    <w:p>
      <w:pPr>
        <w:spacing w:after="0" w:line="76"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In December 2020, Arctic Vision announced approval of its IND for a Phase 3 clinical trial of XIPERE in China.</w:t>
      </w:r>
    </w:p>
    <w:p>
      <w:pPr>
        <w:spacing w:after="0" w:line="63" w:lineRule="exact"/>
        <w:rPr>
          <w:sz w:val="20"/>
          <w:szCs w:val="20"/>
          <w:color w:val="auto"/>
        </w:rPr>
      </w:pPr>
    </w:p>
    <w:p>
      <w:pPr>
        <w:ind w:right="100" w:firstLine="549"/>
        <w:spacing w:after="0" w:line="259" w:lineRule="auto"/>
        <w:rPr>
          <w:sz w:val="20"/>
          <w:szCs w:val="20"/>
          <w:color w:val="auto"/>
        </w:rPr>
      </w:pPr>
      <w:r>
        <w:rPr>
          <w:rFonts w:ascii="Arial" w:cs="Arial" w:eastAsia="Arial" w:hAnsi="Arial"/>
          <w:sz w:val="18"/>
          <w:szCs w:val="18"/>
          <w:color w:val="auto"/>
        </w:rPr>
        <w:t>By entering into these partnerships, we are able to expand the use of our suprachoroidal injection platform to other indications and geographies globally. Under these license agreements, we received $11.1 million of non-dilutive capital in the form of upfront payments during 2019 and 2020, and we are eligible to receive up to an aggregate of more than $200 million in potential future development and sales milestones, as well as and royalties from net sales of covered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XIPERE (triamcinolone acetonide suprachoroidal injectable suspension)</w:t>
      </w:r>
    </w:p>
    <w:p>
      <w:pPr>
        <w:spacing w:after="0" w:line="256" w:lineRule="exact"/>
        <w:rPr>
          <w:sz w:val="20"/>
          <w:szCs w:val="20"/>
          <w:color w:val="auto"/>
        </w:rPr>
      </w:pPr>
    </w:p>
    <w:p>
      <w:pPr>
        <w:ind w:right="140" w:firstLine="549"/>
        <w:spacing w:after="0" w:line="257"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201" w:lineRule="exact"/>
        <w:rPr>
          <w:sz w:val="20"/>
          <w:szCs w:val="20"/>
          <w:color w:val="auto"/>
        </w:rPr>
      </w:pPr>
    </w:p>
    <w:p>
      <w:pPr>
        <w:ind w:right="40" w:firstLine="555"/>
        <w:spacing w:after="0" w:line="275" w:lineRule="auto"/>
        <w:rPr>
          <w:sz w:val="20"/>
          <w:szCs w:val="20"/>
          <w:color w:val="auto"/>
        </w:rPr>
      </w:pPr>
      <w:r>
        <w:rPr>
          <w:rFonts w:ascii="Arial" w:cs="Arial" w:eastAsia="Arial" w:hAnsi="Arial"/>
          <w:sz w:val="17"/>
          <w:szCs w:val="17"/>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XIPERE regulatory approval pathway</w:t>
      </w:r>
    </w:p>
    <w:p>
      <w:pPr>
        <w:spacing w:after="0" w:line="117" w:lineRule="exact"/>
        <w:rPr>
          <w:sz w:val="20"/>
          <w:szCs w:val="20"/>
          <w:color w:val="auto"/>
        </w:rPr>
      </w:pPr>
    </w:p>
    <w:p>
      <w:pPr>
        <w:jc w:val="both"/>
        <w:ind w:firstLine="549"/>
        <w:spacing w:after="0" w:line="263" w:lineRule="auto"/>
        <w:rPr>
          <w:sz w:val="20"/>
          <w:szCs w:val="20"/>
          <w:color w:val="auto"/>
        </w:rPr>
      </w:pPr>
      <w:r>
        <w:rPr>
          <w:rFonts w:ascii="Arial" w:cs="Arial" w:eastAsia="Arial" w:hAnsi="Arial"/>
          <w:sz w:val="18"/>
          <w:szCs w:val="18"/>
          <w:color w:val="auto"/>
        </w:rPr>
        <w:t>In December 2018, we submitted a New Drug Application, or NDA, to the FDA for XIPERE for the treatment of macular edema associated with uveitis. In February 2019, we announced that we had received notification that the FDA had accepted the NDA and assigned a Prescription Drug User Fee Act, or PDUFA, goal date for completion of its review by October 2019.</w:t>
      </w:r>
    </w:p>
    <w:p>
      <w:pPr>
        <w:spacing w:after="0" w:line="76"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color w:val="auto"/>
        </w:rPr>
        <w:t>In October 2019, we received a complete response letter, or CRL, from the FDA regarding our NDA for XIPERE. The FDA did not identify any efficacy issues, and there were no requests for further clinical efficacy studies. As anticipated, the CRL included the FDA’s request for additional stability data, additional clarifying information on components of the manufacturing process, and reinspection of the drug product manufacturer. The CRL included one new request for additional data on clinical use of the final to-be-marketed SCS Microinjector delivery system. In response to that request, we proposed the submission of SCS Microinjector clinical use information in 160 subjects from our TOPAZ study, as described below, for the treatment of macular edema associated with retinal vein occlusion, or RVO. In subsequent correspondence, the FDA agreed that it would be acceptable for us to submit such data in lieu of the requested clinical use evaluation.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562"/>
        <w:spacing w:after="0" w:line="275" w:lineRule="auto"/>
        <w:rPr>
          <w:sz w:val="20"/>
          <w:szCs w:val="20"/>
          <w:color w:val="auto"/>
        </w:rPr>
      </w:pPr>
      <w:r>
        <w:rPr>
          <w:rFonts w:ascii="Arial" w:cs="Arial" w:eastAsia="Arial" w:hAnsi="Arial"/>
          <w:sz w:val="17"/>
          <w:szCs w:val="17"/>
          <w:color w:val="auto"/>
        </w:rPr>
        <w:t>In August 2020, we secured a new contract manufacturing organization, or CMO, to manufacture the registration batches of XIPERE for the resubmission of our NDA, as well as to manufacture batches of XIPERE for potential commercialization. Our prior CMO notified us that they were no longer willing to serve as our commercial supplier for XIPERE and that they were uncertain about being prepared for an FDA pre-approval inspection on our timeline. We transferred the technology underlying the manufacturing process to the new CMO. We expect to resubmit the XIPERE NDA in the second quarter of 2021. We anticipate that the FDA will review the NDA within six months of the resubmission date.</w:t>
      </w:r>
    </w:p>
    <w:p>
      <w:pPr>
        <w:spacing w:after="0" w:line="284" w:lineRule="exact"/>
        <w:rPr>
          <w:sz w:val="20"/>
          <w:szCs w:val="20"/>
          <w:color w:val="auto"/>
        </w:rPr>
      </w:pPr>
    </w:p>
    <w:p>
      <w:pPr>
        <w:ind w:right="100" w:firstLine="549"/>
        <w:spacing w:after="0" w:line="277" w:lineRule="auto"/>
        <w:rPr>
          <w:sz w:val="20"/>
          <w:szCs w:val="20"/>
          <w:color w:val="auto"/>
        </w:rPr>
      </w:pPr>
      <w:r>
        <w:rPr>
          <w:rFonts w:ascii="Arial" w:cs="Arial" w:eastAsia="Arial" w:hAnsi="Arial"/>
          <w:sz w:val="18"/>
          <w:szCs w:val="18"/>
          <w:color w:val="auto"/>
        </w:rPr>
        <w:t>We are also evaluating options for potential submissions to regulatory agencies in additional territories outside of the United States and Canada for XIPERE for the treatment of patients with macular edema associated with uveitis.</w:t>
      </w:r>
    </w:p>
    <w:p>
      <w:pPr>
        <w:spacing w:after="0" w:line="3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for commercialization of XIPERE in United States and Canada</w:t>
      </w:r>
    </w:p>
    <w:p>
      <w:pPr>
        <w:spacing w:after="0" w:line="117" w:lineRule="exact"/>
        <w:rPr>
          <w:sz w:val="20"/>
          <w:szCs w:val="20"/>
          <w:color w:val="auto"/>
        </w:rPr>
      </w:pPr>
    </w:p>
    <w:p>
      <w:pPr>
        <w:ind w:right="60" w:firstLine="618"/>
        <w:spacing w:after="0" w:line="270" w:lineRule="auto"/>
        <w:rPr>
          <w:sz w:val="20"/>
          <w:szCs w:val="20"/>
          <w:color w:val="auto"/>
        </w:rPr>
      </w:pPr>
      <w:r>
        <w:rPr>
          <w:rFonts w:ascii="Arial" w:cs="Arial" w:eastAsia="Arial" w:hAnsi="Arial"/>
          <w:sz w:val="17"/>
          <w:szCs w:val="17"/>
          <w:color w:val="auto"/>
        </w:rPr>
        <w:t>In October 2019, we entered into an exclusive license agreement with Bausch for the commercialization and development of XIPERE in the United States and Canada, or the License Agreement. Pursuant to the License Agreement, Bausch paid us an upfront payment of $5.0 million, which is subject to a refund if the License Agreement is terminated in specified circumstances. In addition, Bausch has agreed to make additional payments of up to $15.0 million upon the achievement of specified pre-launch development and regulatory milestones and up to an aggregate of $56.0 million in additional milestone payments upon the achievement of regulatory approvals for specified additional indications of XIPERE and certain levels of annual net sales. Further, during the applicable royalty term, we will also be entitled to receive tiered royalties at increasing percentages, from the high-teens to twenty percent, based on XIPERE achieving certain annual net sales thresholds in the United States and Canada, as well as a lower royalty on annual net sales of other products, in each case subject to reductions in specified circumstances, although we will not receive any royalties on the first $30.0 million of cumulative net sales of all products.</w:t>
      </w:r>
    </w:p>
    <w:p>
      <w:pPr>
        <w:spacing w:after="0" w:line="73" w:lineRule="exact"/>
        <w:rPr>
          <w:sz w:val="20"/>
          <w:szCs w:val="20"/>
          <w:color w:val="auto"/>
        </w:rPr>
      </w:pPr>
    </w:p>
    <w:p>
      <w:pPr>
        <w:ind w:right="40" w:firstLine="549"/>
        <w:spacing w:after="0" w:line="257" w:lineRule="auto"/>
        <w:rPr>
          <w:sz w:val="20"/>
          <w:szCs w:val="20"/>
          <w:color w:val="auto"/>
        </w:rPr>
      </w:pPr>
      <w:r>
        <w:rPr>
          <w:rFonts w:ascii="Arial" w:cs="Arial" w:eastAsia="Arial" w:hAnsi="Arial"/>
          <w:sz w:val="18"/>
          <w:szCs w:val="18"/>
          <w:color w:val="auto"/>
        </w:rPr>
        <w:t>We are responsible for all development expenses for XIPERE until our NDA for XIPERE is approved by the FDA, subject to specified exceptions, as well as manufacturing costs in connection with the NDA. We are also responsible for all clinical and development expenses conducted to satisfy the FDA’s requests in the CRL and any subsequent CRL related to the NDA, or the CRL-related expenses. If XIPERE is approved by the FDA, Bausch will be responsible for all expenses following such approval, although we will be responsible for one-half of the costs of any post-approval clinical trials required by the FDA, up to a specified maximum amount.</w:t>
      </w:r>
    </w:p>
    <w:p>
      <w:pPr>
        <w:spacing w:after="0" w:line="80" w:lineRule="exact"/>
        <w:rPr>
          <w:sz w:val="20"/>
          <w:szCs w:val="20"/>
          <w:color w:val="auto"/>
        </w:rPr>
      </w:pPr>
    </w:p>
    <w:p>
      <w:pPr>
        <w:ind w:firstLine="549"/>
        <w:spacing w:after="0" w:line="255" w:lineRule="auto"/>
        <w:rPr>
          <w:sz w:val="20"/>
          <w:szCs w:val="20"/>
          <w:color w:val="auto"/>
        </w:rPr>
      </w:pPr>
      <w:r>
        <w:rPr>
          <w:rFonts w:ascii="Arial" w:cs="Arial" w:eastAsia="Arial" w:hAnsi="Arial"/>
          <w:sz w:val="18"/>
          <w:szCs w:val="18"/>
          <w:color w:val="auto"/>
        </w:rPr>
        <w:t>In April 2020, we amended the License Agreement to grant Bausch an exclusive option, or the Option, to develop, manufacture, distribute, promote, market and commercialize XIPERE in one or more of the following regions: (i) the European Union, including the United Kingdom, (ii) Australia and New Zealand and (iii) South America and Mexico, or collectively the Additional Regions, in exchange for Bausch extending the deadline by which we must obtain regulatory approval for XIPERE in the United States. The Option may be exercised as to any or all of the Additional Regions any time before the earlier of regulatory approval of XIPERE in the United States and August 31, 2021. Under the terms of the amendment, we will not receive any royalties on the first $45.0 million of cumulative net sales of all products.</w:t>
      </w:r>
    </w:p>
    <w:p>
      <w:pPr>
        <w:spacing w:after="0" w:line="200" w:lineRule="exact"/>
        <w:rPr>
          <w:sz w:val="20"/>
          <w:szCs w:val="20"/>
          <w:color w:val="auto"/>
        </w:rPr>
      </w:pP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for commercialization of XIPERE in China, Hong Kong, Macau, Taiwan and South Korea</w:t>
      </w:r>
    </w:p>
    <w:p>
      <w:pPr>
        <w:spacing w:after="0" w:line="117" w:lineRule="exact"/>
        <w:rPr>
          <w:sz w:val="20"/>
          <w:szCs w:val="20"/>
          <w:color w:val="auto"/>
        </w:rPr>
      </w:pPr>
    </w:p>
    <w:p>
      <w:pPr>
        <w:ind w:right="20" w:firstLine="562"/>
        <w:spacing w:after="0" w:line="296" w:lineRule="auto"/>
        <w:rPr>
          <w:sz w:val="20"/>
          <w:szCs w:val="20"/>
          <w:color w:val="auto"/>
        </w:rPr>
      </w:pPr>
      <w:r>
        <w:rPr>
          <w:rFonts w:ascii="Arial" w:cs="Arial" w:eastAsia="Arial" w:hAnsi="Arial"/>
          <w:sz w:val="16"/>
          <w:szCs w:val="16"/>
          <w:color w:val="auto"/>
        </w:rPr>
        <w:t>In March 2020, we entered into the Arctic License Agreement and granted an exclusive license to Arctic Vision to develop, distribute, promote, market and commercialize XIPERE, subject to specified exceptions, in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53" w:lineRule="exact"/>
        <w:rPr>
          <w:sz w:val="20"/>
          <w:szCs w:val="20"/>
          <w:color w:val="auto"/>
        </w:rPr>
      </w:pPr>
    </w:p>
    <w:p>
      <w:pPr>
        <w:ind w:right="140" w:firstLine="562"/>
        <w:spacing w:after="0" w:line="291" w:lineRule="auto"/>
        <w:rPr>
          <w:sz w:val="20"/>
          <w:szCs w:val="20"/>
          <w:color w:val="auto"/>
        </w:rPr>
      </w:pPr>
      <w:r>
        <w:rPr>
          <w:rFonts w:ascii="Arial" w:cs="Arial" w:eastAsia="Arial" w:hAnsi="Arial"/>
          <w:sz w:val="16"/>
          <w:szCs w:val="16"/>
          <w:color w:val="auto"/>
        </w:rPr>
        <w:t>Pursuant to the Arctic License Agreement, Arctic Vision agreed to pay us up to a total of $35.5 million. This amount included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we will also be entitled to receive tiered royalties of 10% to 12%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XIPERE Phase 3 clinical trial data</w:t>
      </w:r>
    </w:p>
    <w:p>
      <w:pPr>
        <w:spacing w:after="0" w:line="117" w:lineRule="exact"/>
        <w:rPr>
          <w:sz w:val="20"/>
          <w:szCs w:val="20"/>
          <w:color w:val="auto"/>
        </w:rPr>
      </w:pPr>
    </w:p>
    <w:p>
      <w:pPr>
        <w:ind w:right="160" w:firstLine="555"/>
        <w:spacing w:after="0" w:line="293" w:lineRule="auto"/>
        <w:rPr>
          <w:sz w:val="20"/>
          <w:szCs w:val="20"/>
          <w:color w:val="auto"/>
        </w:rPr>
      </w:pPr>
      <w:r>
        <w:rPr>
          <w:rFonts w:ascii="Arial" w:cs="Arial" w:eastAsia="Arial" w:hAnsi="Arial"/>
          <w:sz w:val="16"/>
          <w:szCs w:val="16"/>
          <w:color w:val="auto"/>
        </w:rPr>
        <w:t>In PEACHTREE, a pivotal Phase 3 randomized, controlled, multi-center clinical trial, we evaluated the safety and efficacy of XIPERE administered through the SCS in patients with macular edema associated with non-infectious uveitis. PEACHTREE was conducted at 63 investigational sites and enrolled 160 patients with macular edema associated with non-infectious uveitis, randomized either to a treatment arm consisting of 96 patients who received a 4.0 mg dose of XIPERE or to a sham injection procedure arm consisting of 64 patients. We used a sham injection procedure as a comparator for XIPERE, as opposed to an active drug, because there were no approved therapies for macular edema associated with uveitis against which to compare XIPERE, and there were no controlled, randomized trials with data in patients who could be used as an appropriate comparator arm.</w:t>
      </w:r>
    </w:p>
    <w:p>
      <w:pPr>
        <w:spacing w:after="0" w:line="56" w:lineRule="exact"/>
        <w:rPr>
          <w:sz w:val="20"/>
          <w:szCs w:val="20"/>
          <w:color w:val="auto"/>
        </w:rPr>
      </w:pPr>
    </w:p>
    <w:p>
      <w:pPr>
        <w:ind w:right="220" w:firstLine="549"/>
        <w:spacing w:after="0" w:line="273" w:lineRule="auto"/>
        <w:rPr>
          <w:sz w:val="20"/>
          <w:szCs w:val="20"/>
          <w:color w:val="auto"/>
        </w:rPr>
      </w:pPr>
      <w:r>
        <w:rPr>
          <w:rFonts w:ascii="Arial" w:cs="Arial" w:eastAsia="Arial" w:hAnsi="Arial"/>
          <w:sz w:val="17"/>
          <w:szCs w:val="17"/>
          <w:color w:val="auto"/>
        </w:rPr>
        <w:t>PEACHTREE was the first Phase 3 clinical trial of a drug candidate for patients with uveitic macular edema in which improvement in best corrected visual acuity, or BCVA, was the primary efficacy endpoint. It was also the first pivotal trial in which patients were evaluated across all types of uveitis: anterior, posterior, intermediate, and panuveitis. The trial met its primary endpoint with 47% of patients who received XIPERE every 12 weeks gaining at least 15 letters in BCVA as measured using the Early Treatment of Diabetic Retinopathy Study, or ETDRS, scale, from baseline at week 24, compared to 16% of patients who underwent a sham procedure. This difference was statistically significant, with a p-value of less than 0.001. All key secondary and additional endpoints of the PEACHTREE trial were also achieved.</w:t>
      </w:r>
    </w:p>
    <w:p>
      <w:pPr>
        <w:spacing w:after="0" w:line="70" w:lineRule="exact"/>
        <w:rPr>
          <w:sz w:val="20"/>
          <w:szCs w:val="20"/>
          <w:color w:val="auto"/>
        </w:rPr>
      </w:pPr>
    </w:p>
    <w:p>
      <w:pPr>
        <w:ind w:firstLine="549"/>
        <w:spacing w:after="0" w:line="287" w:lineRule="auto"/>
        <w:rPr>
          <w:sz w:val="20"/>
          <w:szCs w:val="20"/>
          <w:color w:val="auto"/>
        </w:rPr>
      </w:pPr>
      <w:r>
        <w:rPr>
          <w:rFonts w:ascii="Arial" w:cs="Arial" w:eastAsia="Arial" w:hAnsi="Arial"/>
          <w:sz w:val="16"/>
          <w:szCs w:val="16"/>
          <w:color w:val="auto"/>
        </w:rPr>
        <w:t>XIPERE was generally well tolerated, with no treatment-related serious adverse events reported in the trial. Through 24 weeks, corticosteroid-related elevated IOP adverse events were reported for approximately 11.5% of patients in the treatment arm, compared to 15.6% of patients in the control arm, when including patients who received corticosteroid rescue medication. Specifically, 72% of patients in the control arm were administered rescue medication, with 37 of the 46 receiving intravitreal or periocular corticosteroid injections, such as intravitreal OZURDEX and periocular and intravitreal triamcinolone acetonide. Of those 37 control arm patients receiving local corticosteroid rescue medication, 10 patients, or 27%, experienced elevated IOP adverse events. In the PeriOcular and INTravitreal Corticosteroids for Uveitic Macular Edema Trial (POINT) Study, a recent National Eye Institute clinical trial studying the effect of current commercial treatments on macular edema associated with uveitis, over 30% of uveitis patients who received intravitreal steroid injections experienced steroid-related elevated IOP adverse events and received treatments to lower IOP. The reduced number of IOP adverse events in the XIPERE-treated patients in PEACHTREE suggest an IOP-sparing benefit, possibly due to the unique compartmentalization and ocular distribution of the drug inherent to administration via suprachoroidal injection. Preclinical studies investigating suprachoroidal administration support this assertion, with low corticosteroid exposure observed within the anterior chamber and trabecular meshwork.</w:t>
      </w:r>
    </w:p>
    <w:p>
      <w:pPr>
        <w:spacing w:after="0" w:line="64" w:lineRule="exact"/>
        <w:rPr>
          <w:sz w:val="20"/>
          <w:szCs w:val="20"/>
          <w:color w:val="auto"/>
        </w:rPr>
      </w:pPr>
    </w:p>
    <w:p>
      <w:pPr>
        <w:ind w:right="80" w:firstLine="549"/>
        <w:spacing w:after="0" w:line="275" w:lineRule="auto"/>
        <w:rPr>
          <w:sz w:val="20"/>
          <w:szCs w:val="20"/>
          <w:color w:val="auto"/>
        </w:rPr>
      </w:pPr>
      <w:r>
        <w:rPr>
          <w:rFonts w:ascii="Arial" w:cs="Arial" w:eastAsia="Arial" w:hAnsi="Arial"/>
          <w:sz w:val="17"/>
          <w:szCs w:val="17"/>
          <w:color w:val="auto"/>
        </w:rPr>
        <w:t>In PEACHTREE, adverse events involving changes in cataract grading from baseline were similar in each arm, with approximately 7.3% and 6.3% of patients in the treatment arm and control arm showing adverse event changes in cataract grading, respectively. Further, no cataract surgeries resulted from this trial. Three serious adverse events occurred in the trial, all of which were identified in the CLS-TA arm: sialadenitis, posttraumatic compression fracture of the first lumbar vertebral body, and a retinal detachment approximately 8 weeks after the injection procedure. None of these serious adverse events were deemed treatment related by the study investigator or led to study discontinuation.</w:t>
      </w:r>
    </w:p>
    <w:p>
      <w:pPr>
        <w:spacing w:after="0" w:line="68" w:lineRule="exact"/>
        <w:rPr>
          <w:sz w:val="20"/>
          <w:szCs w:val="20"/>
          <w:color w:val="auto"/>
        </w:rPr>
      </w:pPr>
    </w:p>
    <w:p>
      <w:pPr>
        <w:ind w:right="520" w:firstLine="549"/>
        <w:spacing w:after="0" w:line="277" w:lineRule="auto"/>
        <w:rPr>
          <w:sz w:val="20"/>
          <w:szCs w:val="20"/>
          <w:color w:val="auto"/>
        </w:rPr>
      </w:pPr>
      <w:r>
        <w:rPr>
          <w:rFonts w:ascii="Arial" w:cs="Arial" w:eastAsia="Arial" w:hAnsi="Arial"/>
          <w:sz w:val="18"/>
          <w:szCs w:val="18"/>
          <w:color w:val="auto"/>
        </w:rPr>
        <w:t xml:space="preserve">In January 2020, results of the PEACHTREE trial were published in </w:t>
      </w:r>
      <w:r>
        <w:rPr>
          <w:rFonts w:ascii="Arial" w:cs="Arial" w:eastAsia="Arial" w:hAnsi="Arial"/>
          <w:sz w:val="18"/>
          <w:szCs w:val="18"/>
          <w:i w:val="1"/>
          <w:iCs w:val="1"/>
          <w:color w:val="auto"/>
        </w:rPr>
        <w:t>Ophthalmology</w:t>
      </w:r>
      <w:r>
        <w:rPr>
          <w:rFonts w:ascii="Arial" w:cs="Arial" w:eastAsia="Arial" w:hAnsi="Arial"/>
          <w:sz w:val="18"/>
          <w:szCs w:val="18"/>
          <w:color w:val="auto"/>
        </w:rPr>
        <w:t>, the peer-reviewed journal of the American Academy of Ophthalmology.</w:t>
      </w:r>
    </w:p>
    <w:p>
      <w:pPr>
        <w:spacing w:after="0" w:line="62" w:lineRule="exact"/>
        <w:rPr>
          <w:sz w:val="20"/>
          <w:szCs w:val="20"/>
          <w:color w:val="auto"/>
        </w:rPr>
      </w:pPr>
    </w:p>
    <w:p>
      <w:pPr>
        <w:ind w:right="80" w:firstLine="549"/>
        <w:spacing w:after="0" w:line="259" w:lineRule="auto"/>
        <w:rPr>
          <w:sz w:val="20"/>
          <w:szCs w:val="20"/>
          <w:color w:val="auto"/>
        </w:rPr>
      </w:pPr>
      <w:r>
        <w:rPr>
          <w:rFonts w:ascii="Arial" w:cs="Arial" w:eastAsia="Arial" w:hAnsi="Arial"/>
          <w:sz w:val="18"/>
          <w:szCs w:val="18"/>
          <w:color w:val="auto"/>
        </w:rPr>
        <w:t>In MAGNOLIA, our extension trial of PEACHTREE, we followed 28 of the 96 patients who were in the treatment arm of PEACHTREE across 22 clinical sites for six additional months without protocol-directed treatment to better understand XIPERE’s long-term clinical profile. In MAGNOLIA, 50% of XIPERE-treated subjects maintained a mean improvement of 12.1 letters in BCVA from baseline through 36 additional weeks after their second suprachoroidal injection of XIPERE without requiring additional treatment.</w:t>
      </w:r>
    </w:p>
    <w:p>
      <w:pPr>
        <w:spacing w:after="0" w:line="79" w:lineRule="exact"/>
        <w:rPr>
          <w:sz w:val="20"/>
          <w:szCs w:val="20"/>
          <w:color w:val="auto"/>
        </w:rPr>
      </w:pPr>
    </w:p>
    <w:p>
      <w:pPr>
        <w:ind w:right="120" w:firstLine="549"/>
        <w:spacing w:after="0" w:line="259" w:lineRule="auto"/>
        <w:rPr>
          <w:sz w:val="20"/>
          <w:szCs w:val="20"/>
          <w:color w:val="auto"/>
        </w:rPr>
      </w:pPr>
      <w:r>
        <w:rPr>
          <w:rFonts w:ascii="Arial" w:cs="Arial" w:eastAsia="Arial" w:hAnsi="Arial"/>
          <w:sz w:val="18"/>
          <w:szCs w:val="18"/>
          <w:color w:val="auto"/>
        </w:rPr>
        <w:t>In AZALEA, a Phase 3 safety trial, an additional 38 patients with non-infectious uveitis were enrolled in order to collect additional safety information required for our NDA submission. These patients were administered XIPERE at baseline and at week 12 and evaluated every 4 weeks after initial treatment, with a final evaluation at week 24. XIPERE was generally well tolerated, with no treatment-related serious adverse events reported in the trial.</w:t>
      </w:r>
    </w:p>
    <w:p>
      <w:pPr>
        <w:spacing w:after="0" w:line="79" w:lineRule="exact"/>
        <w:rPr>
          <w:sz w:val="20"/>
          <w:szCs w:val="20"/>
          <w:color w:val="auto"/>
        </w:rPr>
      </w:pPr>
    </w:p>
    <w:p>
      <w:pPr>
        <w:ind w:right="120" w:firstLine="549"/>
        <w:spacing w:after="0" w:line="275" w:lineRule="auto"/>
        <w:rPr>
          <w:sz w:val="20"/>
          <w:szCs w:val="20"/>
          <w:color w:val="auto"/>
        </w:rPr>
      </w:pPr>
      <w:r>
        <w:rPr>
          <w:rFonts w:ascii="Arial" w:cs="Arial" w:eastAsia="Arial" w:hAnsi="Arial"/>
          <w:sz w:val="17"/>
          <w:szCs w:val="17"/>
          <w:color w:val="auto"/>
        </w:rPr>
        <w:t>In 2018, we were conducting SAPPHIRE, a Phase 3 trial, to assess the efficacy and safety of XIPERE together with intravitreal Eylea (aflibercept) in patients with RVO. We were also conducting TOPAZ, the companion Phase 3 trial to the SAPPHIRE trial assessing the efficacy and safety of suprachoroidal XIPERE together with an intravitreal anti-VEGF agent (either Lucentis, ranibizumab, or Avastin, bevacizumab) in patients with RVO. In November 2018, we announced that the primary endpoint of our Phase 3 clinical trial evaluating XIPERE together with intravitreal Eylea in patients with RVO was not achieved, and we discontinued the SAPPHIRE and TOPAZ trials at that time.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CLS-AX (axitinib injectable suspension)</w:t>
      </w:r>
    </w:p>
    <w:p>
      <w:pPr>
        <w:spacing w:after="0" w:line="121" w:lineRule="exact"/>
        <w:rPr>
          <w:sz w:val="20"/>
          <w:szCs w:val="20"/>
          <w:color w:val="auto"/>
        </w:rPr>
      </w:pPr>
    </w:p>
    <w:p>
      <w:pPr>
        <w:ind w:right="100" w:firstLine="562"/>
        <w:spacing w:after="0" w:line="301" w:lineRule="auto"/>
        <w:rPr>
          <w:sz w:val="20"/>
          <w:szCs w:val="20"/>
          <w:color w:val="auto"/>
        </w:rPr>
      </w:pPr>
      <w:r>
        <w:rPr>
          <w:rFonts w:ascii="Arial" w:cs="Arial" w:eastAsia="Arial" w:hAnsi="Arial"/>
          <w:sz w:val="16"/>
          <w:szCs w:val="16"/>
          <w:color w:val="auto"/>
        </w:rPr>
        <w:t>Our most advanced internal development program is our proprietary suspension of axitinib for suprachoroidal injection, which we refer to as CLS-AX. CLS-AX is an inhibitor of vascular endothelial growth factor receptor-1, -2 and -3 that we believe may benefit patients who respond suboptimally to current anti-VEGF therapies. We are developing CLS-AX for administration to the SCS as a long-acting therapy for neovascular age-related macular degeneration, commonly referred to as wet AMD, a retinal degenerative disease that causes a progressive loss of central vision.</w:t>
      </w:r>
    </w:p>
    <w:p>
      <w:pPr>
        <w:spacing w:after="0" w:line="49" w:lineRule="exact"/>
        <w:rPr>
          <w:sz w:val="20"/>
          <w:szCs w:val="20"/>
          <w:color w:val="auto"/>
        </w:rPr>
      </w:pPr>
    </w:p>
    <w:p>
      <w:pPr>
        <w:ind w:right="140" w:firstLine="562"/>
        <w:spacing w:after="0" w:line="269" w:lineRule="auto"/>
        <w:rPr>
          <w:sz w:val="20"/>
          <w:szCs w:val="20"/>
          <w:color w:val="auto"/>
        </w:rPr>
      </w:pPr>
      <w:r>
        <w:rPr>
          <w:rFonts w:ascii="Arial" w:cs="Arial" w:eastAsia="Arial" w:hAnsi="Arial"/>
          <w:sz w:val="17"/>
          <w:szCs w:val="17"/>
          <w:color w:val="auto"/>
        </w:rPr>
        <w:t>AMD is the leading cause of irreversible blindness in adults over 55 years old in developed countries. Approximately 11 million individuals in the United States are affected with AMD, with a global prevalence of 170 million. Aging is the greatest risk factor; therefore, the United States prevalence of AMD is anticipated to increase to 22 million by 2050, while the global prevalence is expected to increase to 288 million by 2040. An estimated 10% to 15% of people with AMD will develop the wet form, which refers to the advanced neovascular stage of the disease in which blood vessels leak blood and fluid into the macula and damage photoreceptor cells. Wet AMD often progresses rapidly and causes substantial loss of central vision if left untreated. Current wet AMD therapy has a ceiling of efficacy as increased dosage or more intense regimens yield limited or no additional visual benefit and require adherence to a regimen of frequent injections. This treatment burden is further highlighted by recent large “real-world” retrospective studies of wet AMD which underscore the difficulty in adhering to regimens. These real-world studies demonstrate that patients are undertreated, receiving only 6 to 7 injections per year on average, resulting in mean improvement of only one to three letters in visual acuity after one year of treatment. The current anti-VEGF market for the treatment of retinal diseases consists predominantly of several drugs that generated aggregate 2020 sales of approximately $14.3 billion globally.</w:t>
      </w:r>
    </w:p>
    <w:p>
      <w:pPr>
        <w:spacing w:after="0" w:line="74" w:lineRule="exact"/>
        <w:rPr>
          <w:sz w:val="20"/>
          <w:szCs w:val="20"/>
          <w:color w:val="auto"/>
        </w:rPr>
      </w:pPr>
    </w:p>
    <w:p>
      <w:pPr>
        <w:ind w:right="240" w:firstLine="549"/>
        <w:spacing w:after="0" w:line="277" w:lineRule="auto"/>
        <w:rPr>
          <w:sz w:val="20"/>
          <w:szCs w:val="20"/>
          <w:color w:val="auto"/>
        </w:rPr>
      </w:pPr>
      <w:r>
        <w:rPr>
          <w:rFonts w:ascii="Arial" w:cs="Arial" w:eastAsia="Arial" w:hAnsi="Arial"/>
          <w:sz w:val="18"/>
          <w:szCs w:val="18"/>
          <w:color w:val="auto"/>
        </w:rPr>
        <w:t>CLS-AX combines our proprietary suspension of axitinib delivered via our SCS Microinjector. Based on preclinical data in multiple species, we believe that suprachoroidal injection of CLS-AX could benefit patients to yield potential safety, efficacy and durability benefits.</w:t>
      </w:r>
    </w:p>
    <w:p>
      <w:pPr>
        <w:spacing w:after="0" w:line="62" w:lineRule="exact"/>
        <w:rPr>
          <w:sz w:val="20"/>
          <w:szCs w:val="20"/>
          <w:color w:val="auto"/>
        </w:rPr>
      </w:pPr>
    </w:p>
    <w:p>
      <w:pPr>
        <w:ind w:right="20" w:firstLine="549"/>
        <w:spacing w:after="0" w:line="296" w:lineRule="auto"/>
        <w:rPr>
          <w:sz w:val="20"/>
          <w:szCs w:val="20"/>
          <w:color w:val="auto"/>
        </w:rPr>
      </w:pPr>
      <w:r>
        <w:rPr>
          <w:rFonts w:ascii="Arial" w:cs="Arial" w:eastAsia="Arial" w:hAnsi="Arial"/>
          <w:sz w:val="16"/>
          <w:szCs w:val="16"/>
          <w:color w:val="auto"/>
        </w:rPr>
        <w:t>Axitinib is a TKI currently approved to treat renal cell cancer. Because it is a well-characterized small molecule instead of a novel complex biologic, we believe there is potential for less immune response and inflammation compared to some new, contemporary biologic agents. Also, compared to other TKIs, axitinib has shown better biocompatibility with ocular cells, including retinal pigment epithelial cells, which may potentially translate to safety benefits. Importantly, we believe that our unique route of SCS administration for CLS-AX, which is compartmentalized to the site of disease, may minimize treatment related adverse events, such as vitreous floaters, snow globe or corneal off-target effects seen with other TKI administration techniques.</w:t>
      </w:r>
    </w:p>
    <w:p>
      <w:pPr>
        <w:spacing w:after="0" w:line="53"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With its broad VEGF blockade, we believe axitinib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preclinical studies, axitinib was observed to be greater than ten times more potent than other TKIs. In multiple preclinical animal studies conducted by independent investigators, axitinib has inhibited corneal, retinal and choroidal angiogenesis. In addition, in preclinical models, axitinib more effectively inhibited and regressed experimental corneal neovascularization than other TKIs.</w:t>
      </w:r>
    </w:p>
    <w:p>
      <w:pPr>
        <w:spacing w:after="0" w:line="84" w:lineRule="exact"/>
        <w:rPr>
          <w:sz w:val="20"/>
          <w:szCs w:val="20"/>
          <w:color w:val="auto"/>
        </w:rPr>
      </w:pPr>
    </w:p>
    <w:p>
      <w:pPr>
        <w:ind w:right="180" w:firstLine="549"/>
        <w:spacing w:after="0" w:line="263" w:lineRule="auto"/>
        <w:rPr>
          <w:sz w:val="20"/>
          <w:szCs w:val="20"/>
          <w:color w:val="auto"/>
        </w:rPr>
      </w:pPr>
      <w:r>
        <w:rPr>
          <w:rFonts w:ascii="Arial" w:cs="Arial" w:eastAsia="Arial" w:hAnsi="Arial"/>
          <w:sz w:val="18"/>
          <w:szCs w:val="18"/>
          <w:color w:val="auto"/>
        </w:rPr>
        <w:t>In our internal preclinical studies, CLS-AX delivered through suprachoroidal injection was well tolerated and showed durability over several months. This could lead to a longer lasting, highly effective treatment that may reduce the number of treatments and visits required for wet AMD patients to achieve optimal results.</w:t>
      </w:r>
    </w:p>
    <w:p>
      <w:pPr>
        <w:spacing w:after="0" w:line="76" w:lineRule="exact"/>
        <w:rPr>
          <w:sz w:val="20"/>
          <w:szCs w:val="20"/>
          <w:color w:val="auto"/>
        </w:rPr>
      </w:pPr>
    </w:p>
    <w:p>
      <w:pPr>
        <w:ind w:firstLine="549"/>
        <w:spacing w:after="0" w:line="259" w:lineRule="auto"/>
        <w:rPr>
          <w:sz w:val="20"/>
          <w:szCs w:val="20"/>
          <w:color w:val="auto"/>
        </w:rPr>
      </w:pPr>
      <w:r>
        <w:rPr>
          <w:rFonts w:ascii="Arial" w:cs="Arial" w:eastAsia="Arial" w:hAnsi="Arial"/>
          <w:sz w:val="18"/>
          <w:szCs w:val="18"/>
          <w:color w:val="auto"/>
        </w:rPr>
        <w:t>In preclinical studies with our CLS-AX suspension of axitinib delivered via suprachoroidal injection, we have shown up to eleven times higher drug levels in affected tissues versus intravitreal administration of the same dose of axitinib. Therefore, suprachoroidal delivery of CLS-AX has the potential to compartmentalize therapy away from unaffected tissues for potential safety benefits and target the affected chorioretinal tissue layers for potential efficacy benefits.</w:t>
      </w:r>
    </w:p>
    <w:p>
      <w:pPr>
        <w:spacing w:after="0" w:line="79" w:lineRule="exact"/>
        <w:rPr>
          <w:sz w:val="20"/>
          <w:szCs w:val="20"/>
          <w:color w:val="auto"/>
        </w:rPr>
      </w:pPr>
    </w:p>
    <w:p>
      <w:pPr>
        <w:jc w:val="both"/>
        <w:ind w:firstLine="549"/>
        <w:spacing w:after="0" w:line="263" w:lineRule="auto"/>
        <w:rPr>
          <w:sz w:val="20"/>
          <w:szCs w:val="20"/>
          <w:color w:val="auto"/>
        </w:rPr>
      </w:pPr>
      <w:r>
        <w:rPr>
          <w:rFonts w:ascii="Arial" w:cs="Arial" w:eastAsia="Arial" w:hAnsi="Arial"/>
          <w:sz w:val="18"/>
          <w:szCs w:val="18"/>
          <w:color w:val="auto"/>
        </w:rPr>
        <w:t>Other TKIs have shown biologic effect in wet AMD clinical trials when delivered systemically, topically and intravitreally. However, each of these routes of administration have been associated with off-target effects. Consequently, a limitation of TKIs may be associated with the delivery of the drug and not a result of the mechanism of action.</w:t>
      </w:r>
    </w:p>
    <w:p>
      <w:pPr>
        <w:spacing w:after="0" w:line="76" w:lineRule="exact"/>
        <w:rPr>
          <w:sz w:val="20"/>
          <w:szCs w:val="20"/>
          <w:color w:val="auto"/>
        </w:rPr>
      </w:pPr>
    </w:p>
    <w:p>
      <w:pPr>
        <w:ind w:right="60" w:firstLine="549"/>
        <w:spacing w:after="0" w:line="273" w:lineRule="auto"/>
        <w:rPr>
          <w:sz w:val="20"/>
          <w:szCs w:val="20"/>
          <w:color w:val="auto"/>
        </w:rPr>
      </w:pPr>
      <w:r>
        <w:rPr>
          <w:rFonts w:ascii="Arial" w:cs="Arial" w:eastAsia="Arial" w:hAnsi="Arial"/>
          <w:sz w:val="17"/>
          <w:szCs w:val="17"/>
          <w:color w:val="auto"/>
        </w:rPr>
        <w:t>In August 2020, we announced that the FDA had accepted our IND for CLS-AX. In January 2021, we announced the enrollment of our first patient in OASIS, a Phase 1/2a clinical trial of CLS-AX in patients with wet AMD. OASIS is an open-label, dose-escalation clinical trial to assess the safety and tolerability of single doses of CLS-AX administered through suprachoroidal injection following two or more prior treatments with aflibercept, an intravitreal anti-VEGF agent, dosed at screening. The primary endpoint for the trial will assess the safety and tolerability of CLS-AX for the three months following the administration of CLS-AX, and secondary endpoints will evaluate the pharmacokinetics, visual function, ocular anatomy and the need for additional treatment with intravitreal aflibercept during the three-month period.</w:t>
      </w:r>
    </w:p>
    <w:p>
      <w:pPr>
        <w:spacing w:after="0" w:line="70" w:lineRule="exact"/>
        <w:rPr>
          <w:sz w:val="20"/>
          <w:szCs w:val="20"/>
          <w:color w:val="auto"/>
        </w:rPr>
      </w:pPr>
    </w:p>
    <w:p>
      <w:pPr>
        <w:ind w:right="40" w:firstLine="549"/>
        <w:spacing w:after="0" w:line="263" w:lineRule="auto"/>
        <w:rPr>
          <w:sz w:val="20"/>
          <w:szCs w:val="20"/>
          <w:color w:val="auto"/>
        </w:rPr>
      </w:pPr>
      <w:r>
        <w:rPr>
          <w:rFonts w:ascii="Arial" w:cs="Arial" w:eastAsia="Arial" w:hAnsi="Arial"/>
          <w:sz w:val="18"/>
          <w:szCs w:val="18"/>
          <w:color w:val="auto"/>
        </w:rPr>
        <w:t>Patient inclusion criteria for enrollment in OASIS include: active subfoveal choroidal neovascularization secondary to AMD; two or more anti-VEGF treatments with a meaningful response in the four months preceding the screening visit with a meaningful response; and best corrected visual acuity, or BCVA, score of ≥ 20 letters (20/400) and ≤ 75 letters (20/32) with &lt; 5 letters change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between screening and baseline to ensure patient stability after anti-VEGF treatment. Patients are then assessed at weeks four, eight and twelve. Patients will be assessed for additional therapy if they experience any of the following: (1) loss of 10 or more letters in BCVA compared to the best prior study-assessed BCVA in the study eye that is attributed to intra- or sub-retinal fluid observed by the investigator; or (2) increase in central subfield retinal thickness greater than 75 microns from baseline at visit 2 in the study eye; or (3) presence of vison-threatening hemorrhage due to AMD in the study eye. The trial design consists of three cohorts of five patients each. Cohort 1 participants will receive the lowest dose, 0.03 mg of axitinib delivered via suprachoroidal injection. Dose escalation will then proceed following review of the safety data by the Safety Monitoring Committee for the trial and their recommendation to advance to the next higher dose cohort.</w:t>
      </w:r>
    </w:p>
    <w:p>
      <w:pPr>
        <w:spacing w:after="0" w:line="69" w:lineRule="exact"/>
        <w:rPr>
          <w:sz w:val="20"/>
          <w:szCs w:val="20"/>
          <w:color w:val="auto"/>
        </w:rPr>
      </w:pPr>
    </w:p>
    <w:p>
      <w:pPr>
        <w:ind w:right="100" w:firstLine="549"/>
        <w:spacing w:after="0" w:line="277" w:lineRule="auto"/>
        <w:rPr>
          <w:sz w:val="20"/>
          <w:szCs w:val="20"/>
          <w:color w:val="auto"/>
        </w:rPr>
      </w:pPr>
      <w:r>
        <w:rPr>
          <w:rFonts w:ascii="Arial" w:cs="Arial" w:eastAsia="Arial" w:hAnsi="Arial"/>
          <w:sz w:val="18"/>
          <w:szCs w:val="18"/>
          <w:color w:val="auto"/>
        </w:rPr>
        <w:t>On March 2, 2021, we announced the completion of patient dosing for the first cohort and expect to announce initial safety data from this cohort in mid-2021.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w:t>
      </w:r>
    </w:p>
    <w:p>
      <w:pPr>
        <w:spacing w:after="0" w:line="121" w:lineRule="exact"/>
        <w:rPr>
          <w:sz w:val="20"/>
          <w:szCs w:val="20"/>
          <w:color w:val="auto"/>
        </w:rPr>
      </w:pPr>
    </w:p>
    <w:p>
      <w:pPr>
        <w:ind w:right="100" w:firstLine="549"/>
        <w:spacing w:after="0" w:line="257" w:lineRule="auto"/>
        <w:rPr>
          <w:sz w:val="20"/>
          <w:szCs w:val="20"/>
          <w:color w:val="auto"/>
        </w:rPr>
      </w:pPr>
      <w:r>
        <w:rPr>
          <w:rFonts w:ascii="Arial" w:cs="Arial" w:eastAsia="Arial" w:hAnsi="Arial"/>
          <w:sz w:val="18"/>
          <w:szCs w:val="18"/>
          <w:color w:val="auto"/>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 and is similar in terms of patient preparation and duration to the procedure for intravitreal injection. Therefore, we believe our products could be incorporated into retina specialists’ standard medical practice.</w:t>
      </w:r>
    </w:p>
    <w:p>
      <w:pPr>
        <w:spacing w:after="0" w:line="80" w:lineRule="exact"/>
        <w:rPr>
          <w:sz w:val="20"/>
          <w:szCs w:val="20"/>
          <w:color w:val="auto"/>
        </w:rPr>
      </w:pPr>
    </w:p>
    <w:p>
      <w:pPr>
        <w:ind w:firstLine="549"/>
        <w:spacing w:after="0" w:line="269" w:lineRule="auto"/>
        <w:rPr>
          <w:sz w:val="20"/>
          <w:szCs w:val="20"/>
          <w:color w:val="auto"/>
        </w:rPr>
      </w:pPr>
      <w:r>
        <w:rPr>
          <w:rFonts w:ascii="Arial" w:cs="Arial" w:eastAsia="Arial" w:hAnsi="Arial"/>
          <w:sz w:val="17"/>
          <w:szCs w:val="17"/>
          <w:color w:val="auto"/>
        </w:rPr>
        <w:t>During the past several years, gene therapy has demonstrated in preclinical studies and clinical trials conducted by third parties that genetic material can be effectively and tolerably introduced to the retinal tissues, most often using an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71" w:lineRule="exact"/>
        <w:rPr>
          <w:sz w:val="20"/>
          <w:szCs w:val="20"/>
          <w:color w:val="auto"/>
        </w:rPr>
      </w:pPr>
    </w:p>
    <w:p>
      <w:pPr>
        <w:ind w:firstLine="618"/>
        <w:spacing w:after="0" w:line="272" w:lineRule="auto"/>
        <w:rPr>
          <w:sz w:val="20"/>
          <w:szCs w:val="20"/>
          <w:color w:val="auto"/>
        </w:rPr>
      </w:pPr>
      <w:r>
        <w:rPr>
          <w:rFonts w:ascii="Arial" w:cs="Arial" w:eastAsia="Arial" w:hAnsi="Arial"/>
          <w:sz w:val="17"/>
          <w:szCs w:val="17"/>
          <w:color w:val="auto"/>
        </w:rPr>
        <w:t>Inherited retinal diseases, or IRDs, such as Stargardt disease and Usher syndrome, represent some of the most challenging diseases that ophthalmologists encounter. They cause progressive,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w:t>
      </w:r>
    </w:p>
    <w:p>
      <w:pPr>
        <w:spacing w:after="0" w:line="69" w:lineRule="exact"/>
        <w:rPr>
          <w:sz w:val="20"/>
          <w:szCs w:val="20"/>
          <w:color w:val="auto"/>
        </w:rPr>
      </w:pPr>
    </w:p>
    <w:p>
      <w:pPr>
        <w:ind w:right="60" w:firstLine="562"/>
        <w:spacing w:after="0" w:line="259" w:lineRule="auto"/>
        <w:rPr>
          <w:sz w:val="20"/>
          <w:szCs w:val="20"/>
          <w:color w:val="auto"/>
        </w:rPr>
      </w:pPr>
      <w:r>
        <w:rPr>
          <w:rFonts w:ascii="Arial" w:cs="Arial" w:eastAsia="Arial" w:hAnsi="Arial"/>
          <w:sz w:val="18"/>
          <w:szCs w:val="18"/>
          <w:color w:val="auto"/>
        </w:rPr>
        <w:t>We believe suprachoroidal administration may further enhance the value proposition of ocular gene therapy by potentially improving safety and expanding access. In preclinical studies we have observed that SCS injection can administer both viral and non-viral gene therapy. Using marker genes like green fluorescent protein and luciferase in both rabbits and non-human primates, gene therapy was delivered with our SCS injection to achieve expression in the retina and choroid.</w:t>
      </w:r>
    </w:p>
    <w:p>
      <w:pPr>
        <w:spacing w:after="0" w:line="79" w:lineRule="exact"/>
        <w:rPr>
          <w:sz w:val="20"/>
          <w:szCs w:val="20"/>
          <w:color w:val="auto"/>
        </w:rPr>
      </w:pPr>
    </w:p>
    <w:p>
      <w:pPr>
        <w:ind w:firstLine="618"/>
        <w:spacing w:after="0" w:line="271" w:lineRule="auto"/>
        <w:rPr>
          <w:sz w:val="20"/>
          <w:szCs w:val="20"/>
          <w:color w:val="auto"/>
        </w:rPr>
      </w:pPr>
      <w:r>
        <w:rPr>
          <w:rFonts w:ascii="Arial" w:cs="Arial" w:eastAsia="Arial" w:hAnsi="Arial"/>
          <w:sz w:val="17"/>
          <w:szCs w:val="17"/>
          <w:color w:val="auto"/>
        </w:rPr>
        <w:t>We have also expanded the reach of our SCS Microinjector technology in gene therapy through a development and commercial partner. In August 2019, we entered into an option and license agreement with REGENXBIO, pursuant to which we granted REGENXBIO an exclusive option, or the Option, to enter into a commercial license agreement granting REGENXBIO an exclusive, worldwide and sublicensable license to our SCS Microinjector for the delivery of AAV-based gene therapies for the treatment of wet AMD, diabetic retinopathy and other conditions for which anti-VEGF treatment is currently the standard of care. REGENXBIO exercised the Option on October 29, 2019 and paid us an option fee equal to $2.0 million less $0.5 million received under a prior technology access agreement. Under the license agreement, REGENXBIO has agreed to make additional payments to us of up to an aggregate of $34.0 million upon the achievement of specified development milestones and up to $102.0 million in sales-based milestone payments, as well as mid-single digit royalties on net sales of products using the SCS Microinjector during the royalty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REGENXBIO will be responsible for all development, regulatory and commercialization activities for their gene therapy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will be responsible for supplying the SCS Microinjector in support of REGENXBIO’s preclinical studies, clinical studies and commercial use.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Ocular Oncology</w:t>
      </w:r>
    </w:p>
    <w:p>
      <w:pPr>
        <w:spacing w:after="0" w:line="121"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On July 9, 2019, we entered into a worldwide licensing agreement with Aura for the use of our SCS Microinjector to deliver Aura’s proprietary drug candidates into the SCS for the potential treatment of certain ocular cancers, including choroidal melanoma. If the collaboration proves successful following preclinical and proof-of-concept studies, Aura may utilize the SCS Microinjector for certain future development programs. Pursuant to the licensing agreement, we are eligible to receive payments related to pre-specified development, regulatory and sales milestones, as well as royalties on product sales that utilize the SCS Microinjector.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40" w:firstLine="549"/>
        <w:spacing w:after="0" w:line="263" w:lineRule="auto"/>
        <w:rPr>
          <w:sz w:val="20"/>
          <w:szCs w:val="20"/>
          <w:color w:val="auto"/>
        </w:rPr>
      </w:pPr>
      <w:r>
        <w:rPr>
          <w:rFonts w:ascii="Arial" w:cs="Arial" w:eastAsia="Arial" w:hAnsi="Arial"/>
          <w:sz w:val="18"/>
          <w:szCs w:val="18"/>
          <w:color w:val="auto"/>
        </w:rPr>
        <w:t>We do not own any manufacturing facilities. We utilize CMOs to formulate and produce our drug candidates and to produce our SCS Microinjector used for our clinical trials. We procure active pharmaceutical ingredients for our drugs from third-party suppliers. We expect to utilize third-party manufacturers to produce commercial quantities of our drugs and SCS Microinjector, if approved.</w:t>
      </w:r>
    </w:p>
    <w:p>
      <w:pPr>
        <w:spacing w:after="0" w:line="76" w:lineRule="exact"/>
        <w:rPr>
          <w:sz w:val="20"/>
          <w:szCs w:val="20"/>
          <w:color w:val="auto"/>
        </w:rPr>
      </w:pPr>
    </w:p>
    <w:p>
      <w:pPr>
        <w:ind w:right="60" w:firstLine="549"/>
        <w:spacing w:after="0" w:line="255" w:lineRule="auto"/>
        <w:rPr>
          <w:sz w:val="20"/>
          <w:szCs w:val="20"/>
          <w:color w:val="auto"/>
        </w:rPr>
      </w:pPr>
      <w:r>
        <w:rPr>
          <w:rFonts w:ascii="Arial" w:cs="Arial" w:eastAsia="Arial" w:hAnsi="Arial"/>
          <w:sz w:val="18"/>
          <w:szCs w:val="18"/>
          <w:color w:val="auto"/>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regulations promulgated by the FDA, confidentiality and other customary matters for an agreement of this nature. We anticipate entering into commercial supply agreements with our other suppliers at a later 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We have entered into exclusive license agreements for the commercialization and development of XIPERE with Bausch in the United States and Canada and with Arctic Vision in China, Hong Kong, Macau, Taiwan and South Korea. We may enter into distribution or licensing arrangements for commercialization rights for other regions. If any of our future product candidates, including CLS-AX, are approved by the applicable regulatory authorities, we may either commercialize those product candidates ourselves or through license or collaboration agreements with third parties.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governmental agencies and public and private research institutions. Any product candidate that we successfully develop and commercialize will compete with existing therapies and new therapies that may become available in the future.</w:t>
      </w:r>
    </w:p>
    <w:p>
      <w:pPr>
        <w:spacing w:after="0" w:line="284"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XIPERE faces competition from other commercially available forms of TA and other topical, injectable and implantable corticosteroids. Bristol-Myers Squibb markets TA under the brand name Kenalog. Kenalog is indicated only for intramuscular or intraarticular injection; however, it is used off-label for intraocular inflammation using intravitreal and periocular administration.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and received approval from the FDA to treat diabetic macular edema, or DME.</w:t>
      </w:r>
    </w:p>
    <w:p>
      <w:pPr>
        <w:spacing w:after="0" w:line="178"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Additionally, our collaborator Bausch markets Retisert, an intravitreal implant of the corticosteroid fluocinolone acetonide for the treatment of non-infectious uveitis. Eyepoint Pharmaceuticals markets Yutiq, an injectable form of fluocinolone acetonide for the treatment of chronic non-infectious uveitis affecting the posterior segment of the eye.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Axitinib, also known by its brand name Inlyta, is currently marketed by Pfizer and is approved by the FDA for the treatment of advanced renal cell carcinoma, but not for any ophthalmology indications. Our product candidate, CLS-AX, could also compete with anti-VEGF drugs, which are the current standard of care for RVO and wet AMD. Genentech’s products Lucentis and Avastin are both anti-VEGF antibodies. Lucentis is currently approved in the United States and European Union for the treatment of wet AMD, macular edema following RVO,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diabetic retinopathy. In the European Union, Eylea is approved for the treatment of wet AMD and RVO. Novartis’ Beovu was recently approved for the treatment of wet AMD in the United States, and has been recommended for approval in the European Union at a recent meeting of European Medicines Agency’s drug evaluation committee.</w:t>
      </w:r>
    </w:p>
    <w:p>
      <w:pPr>
        <w:spacing w:after="0" w:line="18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Axitinib may also compete with other drug candidates in development in other forms for ocular use and other development candidates for wet AMD. Companies developing potentially competitive TKIs for ocular use are Ocular Therapeutics, Graybug and Eyepoint. We expect that other established companies in the ocular space will seek to develop new products with the goal of superior efficacy and duration over the current standard of care.</w:t>
      </w:r>
    </w:p>
    <w:p>
      <w:pPr>
        <w:spacing w:after="0" w:line="149"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drugs than we do. These competitors also compete with us in recruiting and retaining qualified scientific and management personnel and establishing clinical trial sites and patient recruitment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may also obtain FDA or other regulatory approval for their drugs before we may obtain approval for ours, which could result in our competitors establishing a strong market position before we are able to enter the market or obtaining FDA market exclusivity, thereby delaying our product approvals. Competitors’ patent protection could also potentially delay FDA approval of our product candidates for up to 30 months, and we may still be subject to potential patent litigation that might arise beyond the 30 months. The key competitive factors affecting the success of our product candidates, if approved for marketing, are likely to be their efficacy, safety, method of administration, convenience, price and the availability of coverage and reimbursement from government and other third-party payors.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Our patent estate, on a worldwide basis, includes 22 granted U.S. patents broadly directed to devices and methods of administering drugs into the SCS by injection, including one design patent. In addition, our patent estate includes two allowed U.S. patent applications, 15 patent applications pending in the United States, 61 issued foreign patents and three allowed foreign patents, two pending international PCT applications and 49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seven of the 22 issued U.S. patents, 5 pending U.S. applications, 19 of the issued foreign patents and one of the allowed foreign patents, and seven foreign patent applications in major international markets, each relating to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associated with uveitis and RVO, wet AMD as well as DME and improvement of specified clinical parameters, are expected to expire, if issued, between 2027 and 2041, without taking into account possible patent term adjustments or extensions.</w:t>
      </w:r>
    </w:p>
    <w:p>
      <w:pPr>
        <w:spacing w:after="0" w:line="1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7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product candidates are protected against genericization through numerous patents. In the case of XIPERE injected into the SCS, an applicant who files a paragraph 4 Abbreviated New Drug Application, or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patent filings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7"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and Georgia Tech</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have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5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addition to upfront and milestone payments of $65,000 in the aggregate made to date, the license agreement requires us to make a $75,000 milestone payment upon the occurrence of a specified event relating to the commercialization of a drug developed using the licensed patents. On July 1, 2018 and 2019, we paid Emory and GTRC $75,000 and $50,000, respectively, to extend the date by which we may achieve the commercialization milestone. We are obligated to pay an annual license maintenance fee of $25,000, which will continue until the first commercial sale of a product covered by the licensed patents. Additionally, we will owe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77"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4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 may also terminate this license agreement in the event of a material breach by us. This license agreement will immediately terminate if we challenge the validity or enforceability of any of the licensed patents in a court or other governmental agency of competent jurisdiction.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trade secrets and know-how</w:t>
      </w:r>
    </w:p>
    <w:p>
      <w:pPr>
        <w:spacing w:after="0" w:line="117" w:lineRule="exact"/>
        <w:rPr>
          <w:sz w:val="20"/>
          <w:szCs w:val="20"/>
          <w:color w:val="auto"/>
        </w:rPr>
      </w:pPr>
    </w:p>
    <w:p>
      <w:pPr>
        <w:ind w:right="40" w:firstLine="562"/>
        <w:spacing w:after="0" w:line="287" w:lineRule="auto"/>
        <w:rPr>
          <w:sz w:val="20"/>
          <w:szCs w:val="20"/>
          <w:color w:val="auto"/>
        </w:rPr>
      </w:pPr>
      <w:r>
        <w:rPr>
          <w:rFonts w:ascii="Arial" w:cs="Arial" w:eastAsia="Arial" w:hAnsi="Arial"/>
          <w:sz w:val="16"/>
          <w:szCs w:val="16"/>
          <w:color w:val="auto"/>
        </w:rPr>
        <w:t>Our trademark portfolio currently consists of two registered trademarks in Australia and Korea, two registered trademarks in Russia, two registered trademarks in Singapore, six registered trademarks in Brazil, five registered trademarks in Canada, six registered trademarks in China, four registered trademarks in the European Union, two registered trademarks in each of India and New Zealand, two registered trademarks in Japan, three registered trademarks in Israel, seven registered trademarks in Mexico, four registered and three pending applications in South Africa, five registered trademarks in the United States and two pending applications in the United States and two registered trademarks in the United Kingdom. We also have two international registrations: the first with pending extensions of protection to Australia, Japan, Mexico and registered in the European Union, India, New Zealand, Korea and Singapore, and the second with extensions of protection pending in India and Mexico and registered in Australia, China, European Union, Israel, Japan, Korea, Russia, and Singapore.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employees. These and other agreements, such as invention assignment agreements, grant us ownership of technologies that are developed through a relationship with a third party</w:t>
      </w:r>
      <w:r>
        <w:rPr>
          <w:rFonts w:ascii="Arial" w:cs="Arial" w:eastAsia="Arial" w:hAnsi="Arial"/>
          <w:sz w:val="16"/>
          <w:szCs w:val="16"/>
          <w:color w:val="4472C4"/>
        </w:rPr>
        <w: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the United States, the FDA regulates drug and device products under the Food, Drug and Cosmetic Act, or FDCA, and its implementing regulations. While it may be the case that when a drug and a device are used together, which is called a combination product, the FDA typically regulates the dispenser of a drug, such as a syringe co-packaged with a drug, as a drug itself.</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Drugs</w:t>
      </w:r>
    </w:p>
    <w:p>
      <w:pPr>
        <w:spacing w:after="0" w:line="11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79"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GLP;</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trials commence;</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 or GCP;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might include an Advisory Committee review;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product is made to assess compliance with current Good Manufacturing Practices, or cGMPs.</w:t>
      </w:r>
    </w:p>
    <w:p>
      <w:pPr>
        <w:spacing w:after="0" w:line="17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independent institutional review board, or IRB, may nevertheless initiate a clinical hold after the 30 days if, for example, significant health risks arise.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In the United States,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46"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Clinical trials are typically conducted in three sequential phases prior to approval, but the phases may overlap. These phases generally include the following:</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w:t>
      </w:r>
      <w:r>
        <w:rPr>
          <w:rFonts w:ascii="Arial" w:cs="Arial" w:eastAsia="Arial" w:hAnsi="Arial"/>
          <w:sz w:val="18"/>
          <w:szCs w:val="18"/>
          <w:i w:val="1"/>
          <w:iCs w:val="1"/>
          <w:color w:val="auto"/>
        </w:rPr>
        <w:t xml:space="preserve"> </w:t>
      </w:r>
      <w:r>
        <w:rPr>
          <w:rFonts w:ascii="Arial" w:cs="Arial" w:eastAsia="Arial" w:hAnsi="Arial"/>
          <w:sz w:val="18"/>
          <w:szCs w:val="18"/>
          <w:color w:val="auto"/>
        </w:rPr>
        <w:t>1, the product candidate is usually tested for safety, including adverse effects, dosage tolerance, absorption, distribution, metabolism, excretion and pharmacodynamics.</w:t>
      </w:r>
    </w:p>
    <w:p>
      <w:pPr>
        <w:spacing w:after="0" w:line="184" w:lineRule="exact"/>
        <w:rPr>
          <w:sz w:val="20"/>
          <w:szCs w:val="20"/>
          <w:color w:val="auto"/>
        </w:rPr>
      </w:pPr>
    </w:p>
    <w:p>
      <w:pPr>
        <w:ind w:right="600" w:firstLine="510"/>
        <w:spacing w:after="0" w:line="342" w:lineRule="auto"/>
        <w:rPr>
          <w:sz w:val="20"/>
          <w:szCs w:val="20"/>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Phase 2 clinical trials usually involve studies in a limited patient population to (1) evaluate the efficacy of the product candidate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indications, (2) determine dosage tolerance and optimal dosage and (3) identify possible adverse effects and safety risks.</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The FDA will issue either an approval of the NDA or a CRL, detailing the deficiencies and information required for reconsideration of the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approval. There also are continuing, annual program user fee requirements for approved products, as well as new application fees for certain supplemental applications.</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0"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regulatory strategy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time is not shortened. As a condition for approval, the FDA may also require us to perform additional studies or measurements, including clinical trials, to support the change from the approved branded reference drug.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7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5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Non-patent exclusivity</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do not plan to pursue orphan drug designation for XIPERE for the treatment of uveitis in the United States. However, we may seek designation for other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data privacy and security and transparency laws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8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7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84"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7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7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and their subcontractors that use, disclose, access, or otherwise process protected health information.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79"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In the EU/EEA, the General Data Protection Regulation (2016/679), or GDPR, went into effect on May 25, 2018 and replaced Directive 95/46/EC (the EU Privacy Directive). The GDPR applies to identified or identifiable personal data processed by automated means (for example, a computer database of customers) and data contained in, or intended to be part of, non-automated filing systems (traditional paper files) as well as transfer of such data to a country outside of the EU/EEA. The GDPR extends the geographical scope of EU data protection law to entities and operations outside of the EU/EEA under certain conditions and imposes substantial obligations upon companies and new rights for individuals, and by certain EU Member State-level legislation.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In addition, the GDPR may increase our responsibility and liability in relation to personal data that we may process, and we may be required to put in place additional measures in an effort to comply with the GDPR and with other laws and regulations in the EU, including those of EU Member States, relating to privacy and data protection. This may be onerous and if our efforts to comply with GDPR or other applicable EU laws and regulations are not successful, or are perceived to be unsuccessful, it could adversely affect our business in the EU.</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Further, the European Court of Justice (ECJ) invalidated the EU-U.S. Privacy Shield, which enabled the transfer of personal data from the EU to the U.S. for companies that had self-certified to the Privacy Shield in July 2020. The ECJ decision also raised questions about the continued validity of one of the primary 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 has presented a new draft set of contractual clauses, at present, there are few, if any, viable alternatives to the EU-U.S. Privacy Shield and the Standard Contractual Clauses.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 and Switzerland to the U.S., each of which could restrict our activities in those jurisdictions, limit our ability to provide our products and services in those jurisdictions, or increase our costs and obligations and impose limitations upon our ability to efficiently transfer personal data from the EU and Switzerland to the U.S.</w:t>
      </w:r>
    </w:p>
    <w:p>
      <w:pPr>
        <w:spacing w:after="0" w:line="18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Additionally, in June 2016, United Kingdom voters approved an exit from the EU, commonly referred to as “Brexit,” which could also lead to further legislative and regulatory changes. In March 2017, the United Kingdom began the process to leave the EU by April 2019.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78" w:lineRule="exact"/>
        <w:rPr>
          <w:sz w:val="20"/>
          <w:szCs w:val="20"/>
          <w:color w:val="auto"/>
        </w:rPr>
      </w:pPr>
    </w:p>
    <w:p>
      <w:pPr>
        <w:ind w:right="60" w:firstLine="596"/>
        <w:spacing w:after="0" w:line="254" w:lineRule="auto"/>
        <w:rPr>
          <w:sz w:val="20"/>
          <w:szCs w:val="20"/>
          <w:color w:val="auto"/>
        </w:rPr>
      </w:pPr>
      <w:r>
        <w:rPr>
          <w:rFonts w:ascii="Arial" w:cs="Arial" w:eastAsia="Arial" w:hAnsi="Arial"/>
          <w:sz w:val="18"/>
          <w:szCs w:val="18"/>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Effective January 1, 2020, the CCPA requires covered companies to provide new disclosures to California consumers, provides such consumers new ways to opt-out of certain sales of personal information, and allows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87" w:lineRule="exact"/>
        <w:rPr>
          <w:sz w:val="20"/>
          <w:szCs w:val="20"/>
          <w:color w:val="auto"/>
        </w:rPr>
      </w:pPr>
    </w:p>
    <w:p>
      <w:pPr>
        <w:ind w:firstLine="596"/>
        <w:spacing w:after="0" w:line="273" w:lineRule="auto"/>
        <w:rPr>
          <w:sz w:val="20"/>
          <w:szCs w:val="20"/>
          <w:color w:val="auto"/>
        </w:rPr>
      </w:pPr>
      <w:r>
        <w:rPr>
          <w:rFonts w:ascii="Arial" w:cs="Arial" w:eastAsia="Arial" w:hAnsi="Arial"/>
          <w:sz w:val="17"/>
          <w:szCs w:val="17"/>
          <w:color w:val="auto"/>
        </w:rPr>
        <w:t>In addition, it is anticipated that the CCPA will be expanded on January 1, 2023, when the California Privacy Rights Act of 2020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Although there are limited exemptions for clinical trial data under the CCPA, the CCPA and other similar laws could impact our business activities depending on how it is interpreted.</w:t>
      </w:r>
    </w:p>
    <w:p>
      <w:pPr>
        <w:spacing w:after="0" w:line="70" w:lineRule="exact"/>
        <w:rPr>
          <w:sz w:val="20"/>
          <w:szCs w:val="20"/>
          <w:color w:val="auto"/>
        </w:rPr>
      </w:pPr>
    </w:p>
    <w:p>
      <w:pPr>
        <w:ind w:right="260" w:firstLine="596"/>
        <w:spacing w:after="0" w:line="255" w:lineRule="auto"/>
        <w:rPr>
          <w:sz w:val="20"/>
          <w:szCs w:val="20"/>
          <w:color w:val="auto"/>
        </w:rPr>
      </w:pPr>
      <w:r>
        <w:rPr>
          <w:rFonts w:ascii="Arial" w:cs="Arial" w:eastAsia="Arial" w:hAnsi="Arial"/>
          <w:sz w:val="18"/>
          <w:szCs w:val="18"/>
          <w:color w:val="auto"/>
        </w:rPr>
        <w:t>With the GDPR, CCPA, CPRA, and other state and Federal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w:t>
      </w:r>
    </w:p>
    <w:p>
      <w:pPr>
        <w:spacing w:after="0" w:line="19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(defined to include doctors, dentists, optometrists, podiatrists, and chiropractors) and teaching hospitals, as well as ownership and investment interests held by physicians and their family members. Beginning in 2022, applicable manufacturers will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also be required to report information regarding payments and other transfers of value provided during the previous year to physician assistants, nurse practitioners, clinical nurse specialists, certified nurse anesthetists, anesthesiologist assistants, and certified nurse-midwives.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6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We believe obtaining a separate CPT code for the use of our products is critical to maximizing our commercial success. There is no guarantee that these billing codes or the payment amounts, if any, associated with such codes will not change in the future.</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strategy will include efforts to engage third-party payors to establish coverage, coding and reimbursement that will facilitate access to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our product candidates are administered and for the drugs themselves. Failure by physicians, hospitals, ambulatory surgery centers, and other users of our products to obtain sufficient coverage and adequate reimbursement from third-party payors for the procedures to administer our product candidates or for the product candidates themselves, or adverse changes in third-party payors’ policies would have a material adverse effect on our business, financial condition, results of operations and future growth prospects.</w:t>
      </w:r>
    </w:p>
    <w:p>
      <w:pPr>
        <w:spacing w:after="0" w:line="195" w:lineRule="exact"/>
        <w:rPr>
          <w:sz w:val="20"/>
          <w:szCs w:val="20"/>
          <w:color w:val="auto"/>
        </w:rPr>
      </w:pPr>
    </w:p>
    <w:p>
      <w:pPr>
        <w:ind w:right="620" w:firstLine="510"/>
        <w:spacing w:after="0" w:line="342" w:lineRule="auto"/>
        <w:rPr>
          <w:sz w:val="20"/>
          <w:szCs w:val="20"/>
          <w:color w:val="auto"/>
        </w:rPr>
      </w:pPr>
      <w:r>
        <w:rPr>
          <w:rFonts w:ascii="Arial" w:cs="Arial" w:eastAsia="Arial" w:hAnsi="Arial"/>
          <w:sz w:val="16"/>
          <w:szCs w:val="16"/>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2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established a quality payment program, also referred to as the Quality Payment Program. The quality payment program has two tracks, one known as the merit-based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it is unclear how the introduction of the Quality Payment Program will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impact overall physician reimbursement under the Medicare program. Any changes in coverage and reimbursement that further restricts coverage of our products or lowers reimbursement for procedures using our products could materially affect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8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70"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There remain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or Tax Act,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medical device tax and “Cadillac” tax on high-cost employer-sponsored health coverage and, effective January 1, 2021, also eliminated the health insurer tax. The Bipartisan Budget Act of 2018, or BBA,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39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through 2030 with the exception of a temporary suspension from May 1, 2020 through March 31, 2021 unless additional Congressional action is taken.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1"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 used several means to propose or implement drug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pricing reform, including through federal budget proposals, executive orders and policy initiatives. HHS has solicited feedback on some of these measures and implemented others under its existing authority.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We strive to recruit people who share our vision to develop technology that provides a ground-breaking impact to medicine and superior care to patients. We are proud of what we do and believe we create an excellent working environment that is inclusive and diverse with meaningful compensation, benefits and wellness programs that continue to facilitate the attraction, retention and motivation of talented employees.</w:t>
      </w:r>
    </w:p>
    <w:p>
      <w:pPr>
        <w:spacing w:after="0" w:line="5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As of December 31, 2020, we had 33 employees, all of whom were full-time and were located in the United States. None of our employees are represented by a labor union or covered by a collective bargaining agreement. We consider our relationship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were incorporated under the laws of the State of Delaware in May 2011. Our principal executive offices are located at 900 North Point Parkway, Suite 200, Alpharetta, Georgia. Our telephone number is (678) 270-3631.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2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468"/>
        <w:spacing w:after="0" w:line="279"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incurred net losses of $18.2 million, $30.8 million and $82.8 million for the years ended December 31, 2020, 2019 and 2018, respectively.</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have not completed development of, and obtained marketing approval for, any drugs.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9"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and complete our ongoing and planned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22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have been prepared assuming that we will continue as a going concern.</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have incurred recurring losses from operations since inception which raises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In addition, if there remains substantial doubt about our ability to continue as a going concern, investors or other financing sources may be unwilling to provide additional funding to us on commercially reasonable terms, or at all.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16"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first quarter of 2022. However, we will need to obtain substantial additional funding in connection with our continuing operations beyond the first quarter of 2022. Our future capital requirements will depend on many factors, including:</w:t>
      </w:r>
    </w:p>
    <w:p>
      <w:pPr>
        <w:spacing w:after="0" w:line="76"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and results of our ongoing, planned and future clinical trial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whether performed by us or third parties, for any of our product candidates for which we receive marketing approval;</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firstLine="468"/>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12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operations to date have been largely focused on raising capital, identifying potential product candidates, broadening our expertise in the development of our product candidates, including our SCS Microinjector, and undertaking preclinical studies and conducting early clinical trials. We have not yet demonstrated an ability to successfully complete multiple later-stage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obtain regulatory approvals, manufacture a commercial scale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84" w:lineRule="exact"/>
        <w:rPr>
          <w:sz w:val="20"/>
          <w:szCs w:val="20"/>
          <w:color w:val="auto"/>
        </w:rPr>
      </w:pPr>
    </w:p>
    <w:p>
      <w:pPr>
        <w:ind w:right="640" w:firstLine="510"/>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may not be successful in our transition from a company with a research and development focus to a company capable of supporting commercial activities.</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Suprachoroidal injection is a novel approach and may fail to achieve and sustain market acceptance.</w:t>
      </w:r>
    </w:p>
    <w:p>
      <w:pPr>
        <w:spacing w:after="0" w:line="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Injecting drugs into the SCS is a novel approach for ophthalmic therapies, and there is no guarantee this approach will provide adequate patient benefit or be accepted by physicians, patients or third-party payors. We have also licensed our SCS Microinjector technology to third parties to deliver their proprietary drug candidates into the SCS for the potential treatment of certain ocular indications. Although our clinical trial results suggest that suprachoroidal injection of drugs, such as XIPERE, may be effective at treating back of the eye diseases, to date no company has developed a drug delivered via suprachoroidal administration that has received marketing approval.</w:t>
      </w:r>
    </w:p>
    <w:p>
      <w:pPr>
        <w:spacing w:after="0" w:line="188"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We cannot guarantee that suprachoroidal injection of drugs will prove in ongoing and future clinical trials to be a safe or effective approach for treating eye diseases in humans, nor can we ensure that such drugs will achieve regulatory approval, even if the clinical trials are successful.</w:t>
      </w:r>
    </w:p>
    <w:p>
      <w:pPr>
        <w:spacing w:after="0" w:line="124"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Even if our product candidate, or a product candidate of one of our collaboration partners, delivered via suprachoroidal injection achieves marketing approval, the novelty of suprachoroidal injection may make it difficult to demonstrate to physicians and third-party payors that suprachoroidal injection of drugs is an appropriate approach for treating eye diseases and provides advantages compared to the current standards of care. Further, if we or our commercialization and collaboration partners are not successful in conveying to physicians, patients and third-party payors that the suprachoroidal administration of drug candidates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product candidates. Additionally, in some cases, product candidates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licensing partners may require that we modify our SCS Microinjector to deliver their product candidates, and we may be unable to do so.</w:t>
      </w:r>
    </w:p>
    <w:p>
      <w:pPr>
        <w:spacing w:after="0" w:line="140"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We are currently partnering with companies who can leverage our SCS Microinjector to deliver their ophthalmic product candidates to the suprachoroidal space.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which could significantly harm our financial position.</w:t>
      </w:r>
    </w:p>
    <w:p>
      <w:pPr>
        <w:spacing w:after="0" w:line="171"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All of our product candidates are in clinical or preclinical development. If we are unable to obtain regulatory approval for and commercialize our product candidates, either on our own or with a third party, or if we experience significant delays in doing so, our business may be harmed.</w:t>
      </w:r>
    </w:p>
    <w:p>
      <w:pPr>
        <w:spacing w:after="0" w:line="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Given our human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not completed the development of any product candidates, we currently generate no revenues from sales of any products and we may never be able to develop a marketable product. We have invested substantially all of our efforts and financial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w:t>
      </w:r>
    </w:p>
    <w:p>
      <w:pPr>
        <w:spacing w:after="0" w:line="41"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performing preclinical studies and clinical trials in compliance with FDA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import sufficient quantity of product for trials or potential commercialization;</w:t>
      </w:r>
    </w:p>
    <w:p>
      <w:pPr>
        <w:spacing w:after="0" w:line="117"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products, if and when approved, whether alone or in collaboration with others;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training of physicians in the proper use of our SCS Microinjector;</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market our products for use with our SCS Microinjector without a requirement from the FDA that we obtain a separate medical device authorization;</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the therapies and of the concept of suprachoroidal injection of drugs, if and when approved, by physicians, patients and third-party payors;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drugs and our SCS Microinjector following approval.</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From time to time, we may publish data from our clinical studies.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risk of failure for our product candidates is high. It is impossible to predict when or if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For example, we were previously developing XIPERE in combination with an anti-VEGF therapy for the treatment of macular edema associated with RVO. In November 2018, we announced that the primary endpoint of our Phase 3 clinical trial evaluating XIPERE together with intravitreal Eylea in patients with RVO was not achieved. In light of the 8-week topline data, we discontinued our Phase 3 trials of suprachoroidal XIPERE together with an intravitreal anti-VEGF agent in patients with RVO, as well as the clinical development of XIPERE in combination with anti-VEGF agents for the treatment of RVO.</w:t>
      </w:r>
    </w:p>
    <w:p>
      <w:pPr>
        <w:spacing w:after="0" w:line="18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our product candidates, including:</w:t>
      </w:r>
    </w:p>
    <w:p>
      <w:pPr>
        <w:spacing w:after="0" w:line="62" w:lineRule="exact"/>
        <w:rPr>
          <w:sz w:val="20"/>
          <w:szCs w:val="20"/>
          <w:color w:val="auto"/>
        </w:rPr>
      </w:pPr>
    </w:p>
    <w:p>
      <w:pPr>
        <w:ind w:left="1000" w:right="1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5" w:lineRule="exact"/>
        <w:rPr>
          <w:rFonts w:ascii="Arial" w:cs="Arial" w:eastAsia="Arial" w:hAnsi="Arial"/>
          <w:sz w:val="16"/>
          <w:szCs w:val="16"/>
          <w:color w:val="auto"/>
        </w:rPr>
      </w:pPr>
    </w:p>
    <w:p>
      <w:pPr>
        <w:ind w:left="100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00" w:right="1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6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have relatively limited experience enrolling patients in our clinical trials, and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69"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 or those of our licensing partners.</w:t>
      </w:r>
    </w:p>
    <w:p>
      <w:pPr>
        <w:spacing w:after="0" w:line="117" w:lineRule="exact"/>
        <w:rPr>
          <w:sz w:val="20"/>
          <w:szCs w:val="20"/>
          <w:color w:val="auto"/>
        </w:rPr>
      </w:pPr>
    </w:p>
    <w:p>
      <w:pPr>
        <w:ind w:firstLine="644"/>
        <w:spacing w:after="0" w:line="290" w:lineRule="auto"/>
        <w:rPr>
          <w:sz w:val="20"/>
          <w:szCs w:val="20"/>
          <w:color w:val="auto"/>
        </w:rPr>
      </w:pPr>
      <w:r>
        <w:rPr>
          <w:rFonts w:ascii="Arial" w:cs="Arial" w:eastAsia="Arial" w:hAnsi="Arial"/>
          <w:sz w:val="16"/>
          <w:szCs w:val="16"/>
          <w:color w:val="auto"/>
        </w:rPr>
        <w:t>In December 2019, a novel strain of coronavirus, SARS-CoV-2, causing COVID-19, was initially reported and has since been declared a pandemic by the World Health Organization. The COVID-19 pandemic has resulted in continuing travel and other restrictions in order to reduce the spread of the disease, including state and local orders across the country that, among other things,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and our work-from-home policies may negatively impact employee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7" w:lineRule="exact"/>
        <w:rPr>
          <w:sz w:val="20"/>
          <w:szCs w:val="20"/>
          <w:color w:val="auto"/>
        </w:rPr>
      </w:pPr>
    </w:p>
    <w:p>
      <w:pPr>
        <w:ind w:right="60" w:firstLine="644"/>
        <w:spacing w:after="0" w:line="291" w:lineRule="auto"/>
        <w:rPr>
          <w:sz w:val="20"/>
          <w:szCs w:val="20"/>
          <w:color w:val="auto"/>
        </w:rPr>
      </w:pPr>
      <w:r>
        <w:rPr>
          <w:rFonts w:ascii="Arial" w:cs="Arial" w:eastAsia="Arial" w:hAnsi="Arial"/>
          <w:sz w:val="16"/>
          <w:szCs w:val="16"/>
          <w:color w:val="auto"/>
        </w:rPr>
        <w:t>Quarantines and similar government orders and employer restrictions related to COVID-19 may adversely impact our business operations and the business operations of third parties on which we rely. In addition, our clinical trials and those of our licensing partners may be affected by the COVID-19 pandemic. For example,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our ability, or that of our licensing partners, to recruit and retain patients and principal investigators and site staff who, as healthcare providers, may have heightened exposure to COVID-19 may be impaired, which could adversely impact our clinical trial operations or those of our licensing partners and, as a result, negatively affect our ability to receive regulatory and development milestones under our license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right="120" w:firstLine="578"/>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continued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3"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The extent to which the COVID-19 pandemic impacts our business, our clinical development and regulatory efforts and those of our licensing partners will depend on future developments that are highly uncertain and cannot be predicted with confidence, such as the duration of the outbreak, travel restrictions, quarantines, social distancing requirements and business closures in the United States and other countries, business disruptions, the effectiveness of actions taken in the United States and other countries to contain the disease and the availability, timing and effectiveness of a vaccine, both domestically and abroad. Accordingly, we do not yet know the full extent of potential delays or impacts on our business, our clinical and regulatory activities, healthcare systems or the global economy as a whole.</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granted an exclusive license to Bausch for the commercialization and development of XIPERE in the United States and Canada. If we are delayed in receiving FDA approval for XIPERE, or we are unable to maintain our partnership with Bausch, or if Bausch fails to successfully commercialize XIPERE, our business and prospects will be materially harmed.</w:t>
      </w:r>
    </w:p>
    <w:p>
      <w:pPr>
        <w:spacing w:after="0" w:line="184" w:lineRule="exact"/>
        <w:rPr>
          <w:sz w:val="20"/>
          <w:szCs w:val="20"/>
          <w:color w:val="auto"/>
        </w:rPr>
      </w:pPr>
    </w:p>
    <w:p>
      <w:pPr>
        <w:ind w:right="180" w:firstLine="749"/>
        <w:spacing w:after="0" w:line="275" w:lineRule="auto"/>
        <w:rPr>
          <w:sz w:val="20"/>
          <w:szCs w:val="20"/>
          <w:color w:val="auto"/>
        </w:rPr>
      </w:pPr>
      <w:r>
        <w:rPr>
          <w:rFonts w:ascii="Arial" w:cs="Arial" w:eastAsia="Arial" w:hAnsi="Arial"/>
          <w:sz w:val="17"/>
          <w:szCs w:val="17"/>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We expect to depend to a large degree on the payments from Bausch and future potential commercialization partners in order to fund our operations, and a failure to receive such payments may cause us to:</w:t>
      </w:r>
    </w:p>
    <w:p>
      <w:pPr>
        <w:spacing w:after="0" w:line="21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headcount;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the raising of additional funds through equity or convertible debt financings that could be dilutive to our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seek funds by entering into agreements that require us to assign rights to technologies or products that we would have otherwise retained;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new arrangements that may be less favorable than those we would have obtained under different circumstances;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3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Bausch may terminate the License Agreement immediately and have the upfront payment of $5.0 million refunded if the FDA has not approved the XIPERE NDA by August 31, 2021. Based upon our current expectations, it is likely that the FDA will not have approved the XIPERE NDA by such date. Therefore, if we are not able to enter into an amendment to the License Agreement or obtain a waiver from Bausch, it is possible that Bausch could terminate the License Agreement and that we would be required to refund the initial $5.0 million upfront payment. If this were to occur, our business prospects would be materially harmed, and we would need to seek a new partner to commercialize XIPERE in the United States and Canada and the Additional Regions.</w:t>
      </w:r>
    </w:p>
    <w:p>
      <w:pPr>
        <w:spacing w:after="0" w:line="300"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We have entered into, and intend to continue to enter into, collaborations with third parties for the development and commercialization of product candidates. If those collaborations are not successful, we may not be able to capitalize on the market potential of these product candidates.</w:t>
      </w:r>
    </w:p>
    <w:p>
      <w:pPr>
        <w:spacing w:after="0" w:line="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have entered into, and intend to continue to enter into, agreements with third-party collaborators for the development and commercialization of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refuse to perform clinical trials or other obligations required for approval in a particular jurisdiction outside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collaborators’ regulatory submissions may be denied by the applicable regulatory authorities;</w:t>
      </w:r>
    </w:p>
    <w:p>
      <w:pPr>
        <w:spacing w:after="0" w:line="117" w:lineRule="exact"/>
        <w:rPr>
          <w:rFonts w:ascii="Arial" w:cs="Arial" w:eastAsia="Arial" w:hAnsi="Arial"/>
          <w:sz w:val="18"/>
          <w:szCs w:val="18"/>
          <w:color w:val="auto"/>
        </w:rPr>
      </w:pPr>
    </w:p>
    <w:p>
      <w:pPr>
        <w:ind w:left="1000" w:hanging="493"/>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1000" w:right="480" w:hanging="493"/>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26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75"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rFonts w:ascii="Arial" w:cs="Arial" w:eastAsia="Arial" w:hAnsi="Arial"/>
          <w:sz w:val="18"/>
          <w:szCs w:val="18"/>
          <w:color w:val="auto"/>
        </w:rPr>
      </w:pPr>
    </w:p>
    <w:p>
      <w:pPr>
        <w:ind w:left="1000" w:right="240" w:hanging="493"/>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right="500" w:firstLine="51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76"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We expect to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92"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w:t>
      </w:r>
    </w:p>
    <w:p>
      <w:pPr>
        <w:spacing w:after="0" w:line="17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XIPERE or our other current or future product candidates.</w:t>
      </w:r>
    </w:p>
    <w:p>
      <w:pPr>
        <w:spacing w:after="0" w:line="19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We do not have our own manufacturing capabilities and rely on third parties to produce clinical and commercial supplies of our current product candidates, including XIPERE, CLS-AX and our SCS Microinjector. This reliance on third parties increases the risk that we will not have sufficient quantities of our product candidates, including the XIPERE drug product, CLS-AX and our SCS Microinjector, or such quantities at an acceptable cost, which could delay, prevent or impair our development or commercialization efforts.</w:t>
      </w:r>
    </w:p>
    <w:p>
      <w:pPr>
        <w:spacing w:after="0" w:line="63" w:lineRule="exact"/>
        <w:rPr>
          <w:sz w:val="20"/>
          <w:szCs w:val="20"/>
          <w:color w:val="auto"/>
        </w:rPr>
      </w:pPr>
    </w:p>
    <w:p>
      <w:pPr>
        <w:ind w:right="40" w:firstLine="578"/>
        <w:spacing w:after="0" w:line="293" w:lineRule="auto"/>
        <w:rPr>
          <w:sz w:val="20"/>
          <w:szCs w:val="20"/>
          <w:color w:val="auto"/>
        </w:rPr>
      </w:pPr>
      <w:r>
        <w:rPr>
          <w:rFonts w:ascii="Arial" w:cs="Arial" w:eastAsia="Arial" w:hAnsi="Arial"/>
          <w:sz w:val="16"/>
          <w:szCs w:val="16"/>
          <w:color w:val="auto"/>
        </w:rPr>
        <w:t>We do not have any manufacturing facilities or personnel. We currently procure the active pharmaceutical ingredient in XIPERE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if any of our product candidates receives marketing approval. This reliance on third parties increases the risk that we will not have sufficient quantities of</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XIPERE including our SCS Microinjector or such quantities at an acceptable cost or quality, which could delay, prevent or impair our ability to timely conduct our clinical trials or our other development or commercialization efforts.</w:t>
      </w:r>
    </w:p>
    <w:p>
      <w:pPr>
        <w:spacing w:after="0" w:line="170" w:lineRule="exact"/>
        <w:rPr>
          <w:sz w:val="20"/>
          <w:szCs w:val="20"/>
          <w:color w:val="auto"/>
        </w:rPr>
      </w:pPr>
    </w:p>
    <w:p>
      <w:pPr>
        <w:ind w:right="120" w:firstLine="578"/>
        <w:spacing w:after="0" w:line="263" w:lineRule="auto"/>
        <w:rPr>
          <w:sz w:val="20"/>
          <w:szCs w:val="20"/>
          <w:color w:val="auto"/>
        </w:rPr>
      </w:pPr>
      <w:r>
        <w:rPr>
          <w:rFonts w:ascii="Arial" w:cs="Arial" w:eastAsia="Arial" w:hAnsi="Arial"/>
          <w:sz w:val="18"/>
          <w:szCs w:val="18"/>
          <w:color w:val="auto"/>
        </w:rPr>
        <w:t>We also expect to rely on third-party manufacturers or collaborators for the manufacture of commercial supply of any other product candidates for which we obtain marketing approval. We may be unable to establish any agreements with third-party manufacturers or collaborators or to do so on acceptable terms.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Reliance on third-party manufacturers or collaborators entails additional risks, including:</w:t>
      </w:r>
    </w:p>
    <w:p>
      <w:pPr>
        <w:spacing w:after="0" w:line="225" w:lineRule="exact"/>
        <w:rPr>
          <w:sz w:val="20"/>
          <w:szCs w:val="20"/>
          <w:color w:val="auto"/>
        </w:rPr>
      </w:pPr>
    </w:p>
    <w:p>
      <w:pPr>
        <w:ind w:left="1320" w:hanging="367"/>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25" w:lineRule="exact"/>
        <w:rPr>
          <w:rFonts w:ascii="Arial" w:cs="Arial" w:eastAsia="Arial" w:hAnsi="Arial"/>
          <w:sz w:val="18"/>
          <w:szCs w:val="18"/>
          <w:color w:val="auto"/>
        </w:rPr>
      </w:pPr>
    </w:p>
    <w:p>
      <w:pPr>
        <w:ind w:left="1320" w:hanging="367"/>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1320" w:hanging="367"/>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1320" w:hanging="367"/>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40" w:firstLine="578"/>
        <w:spacing w:after="0" w:line="286" w:lineRule="auto"/>
        <w:rPr>
          <w:sz w:val="20"/>
          <w:szCs w:val="20"/>
          <w:color w:val="auto"/>
        </w:rPr>
      </w:pPr>
      <w:r>
        <w:rPr>
          <w:rFonts w:ascii="Arial" w:cs="Arial" w:eastAsia="Arial" w:hAnsi="Arial"/>
          <w:sz w:val="16"/>
          <w:szCs w:val="16"/>
          <w:color w:val="auto"/>
        </w:rPr>
        <w:t>Our product candidates, including our proprietary drug formulations packaged together with our SCS Microinjector, are subject to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For example, in preparation for our NDA submission for XIPERE for the treatment of patients with macular edema associated with uveitis, we conducted audits of our third-party manufacturers, and identified items that require correction prior to the FDA’s pre-approval inspection of those manufacturing facilities. Our prior CMO notified us that they were no longer willing to serve as our commercial supplier for XIPERE and that they were uncertain about being prepared for an FDA pre-approval inspection on our timeline. In August 2020, we secured a new CMO to manufacture the registration batches of XIPERE for the resubmission of our NDA, as well as to manufacture batches of XIPERE for potential commercialization. However, there can be no assurance that we or our suppliers will pass an FDA pre-approval inspection.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including XIPERE.</w:t>
      </w:r>
    </w:p>
    <w:p>
      <w:pPr>
        <w:spacing w:after="0" w:line="174"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66" w:lineRule="exact"/>
        <w:rPr>
          <w:sz w:val="20"/>
          <w:szCs w:val="20"/>
          <w:color w:val="auto"/>
        </w:rPr>
      </w:pPr>
    </w:p>
    <w:p>
      <w:pPr>
        <w:ind w:right="580" w:firstLine="57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compromise our future profit margins and our ability to commercialize any product candidates that receive marketing approval on a timely and competitive basis.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additional collaborations, we may have to alter some of our future development and commercialization plans.</w:t>
      </w:r>
    </w:p>
    <w:p>
      <w:pPr>
        <w:spacing w:after="0" w:line="14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distribution capabilities for our product candidates for which we do not out-license commercialization rights, we may not be successful in commercializing those product candidates, if and when they are approved.</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 candidates;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compared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Suprachoroidal injection of drugs is a novel approach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and physicians, patients or third-party payors may be hesitant to deviate from or change the current standard of care. If our product candidates do not achieve an adequate level of market acceptance, we may not generate significant product revenue and we may not become profitable. The degree of market acceptance of our product candidates, if approved for commercial sale, will depend on a number of factors, including:</w:t>
      </w:r>
    </w:p>
    <w:p>
      <w:pPr>
        <w:spacing w:after="0" w:line="5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willingness of the healthcare community and patients to adopt new technologies and our novel approach of SCS injection of drugs;</w:t>
      </w:r>
    </w:p>
    <w:p>
      <w:pPr>
        <w:spacing w:after="0" w:line="128" w:lineRule="exact"/>
        <w:rPr>
          <w:rFonts w:ascii="Arial" w:cs="Arial" w:eastAsia="Arial" w:hAnsi="Arial"/>
          <w:sz w:val="17"/>
          <w:szCs w:val="17"/>
          <w:color w:val="auto"/>
        </w:rPr>
      </w:pPr>
    </w:p>
    <w:p>
      <w:pPr>
        <w:ind w:left="1000" w:right="1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uveitis and retina specialists to expend the time necessary to receive proper training on injecting drugs into the SCS using our SCS Microinjector;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provided by us or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also are aware of companies that are developing suprachoroidal injectors which may compete with our SCS Microinjector.</w:t>
      </w:r>
    </w:p>
    <w:p>
      <w:pPr>
        <w:spacing w:after="0" w:line="29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With respect to XIPERE, we face competition from other commercially available forms of TA and other injectable and implantable corticosteroids. Bristol-Myers Squibb markets TA under the brand name Kenalog. Kenalog is indicated only for intramuscular or intraarticular injection; however, it is commonly used off-label for intraocular inflammation.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w:t>
      </w:r>
    </w:p>
    <w:p>
      <w:pPr>
        <w:spacing w:after="0" w:line="17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Additionally, our collaborator Bausch markets Retisert, an intravitreal implant of the corticosteroid fluocinolone acetonide for the treatment of non-infectious uveitis. Eyepoint Pharmaceuticals markets Yutiq, an injectable form of fluocinolone acetonide for the treatment of chronic non-infectious uveitis affecting the posterior segment of the eye.</w:t>
      </w:r>
    </w:p>
    <w:p>
      <w:pPr>
        <w:spacing w:after="0" w:line="184"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Axitinib, also known by its brand name Inlyta, is currently marketed by Pfizer and is approved by the FDA for the treatment of advanced renal cell carcinoma, but not for any ophthalmology indications. Our product candidate CLS-AX could also compete with anti-VEGF drugs, which are the current standard of care for RVO and wet AMD. Genentech’s products Lucentis and Avastin are both anti-VEGF antibodies. Lucentis is currently approved in the United States and European Union for the treatment of wet AMD, macular edema following RVO,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diabetic retinopathy. In the European Union, Eylea is approved for the treatment of wet AMD and RVO. Novartis’ Beovu was recently approved for the treatment of wet AMD in the United States and has been recommended for approval in the European Union at a recent meeting of European Medicines Agency’s drug evaluation committee.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Axitinib may also compete with other drug candidates in development in other forms for ocular use and other development candidates for wet AMD. Companies developing potentially competitive TKI’s for ocular use are Ocular Therapeutics, Graybug and Eyepoint. We expect that other established companies in the ocular space will seek to develop new products with the goal of superior efficacy and duration over the current standard of care.</w:t>
      </w:r>
    </w:p>
    <w:p>
      <w:pPr>
        <w:spacing w:after="0" w:line="18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6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product candidates may be subject to unfavorable pricing regulations, third-party coverage and reimbursement policies or healthcare reform initiatives.</w:t>
      </w:r>
    </w:p>
    <w:p>
      <w:pPr>
        <w:spacing w:after="0" w:line="62"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Our and our collaborators’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any product candidates for which marketing approval is obtained.</w:t>
      </w:r>
    </w:p>
    <w:p>
      <w:pPr>
        <w:spacing w:after="0" w:line="17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82"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8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or that the Category III codes will remain in effect.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8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w:t>
      </w:r>
    </w:p>
    <w:p>
      <w:pPr>
        <w:spacing w:after="0" w:line="16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or collaborators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499"/>
        <w:spacing w:after="0"/>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or our collaborators’ inability to commercialize any drugs that we may develop.</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w:t>
      </w:r>
    </w:p>
    <w:p>
      <w:pPr>
        <w:spacing w:after="0" w:line="16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3"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8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5"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6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2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Competitors may infringe our issued patents or other intellectual property. To counter infringement or unauthorized use, we may be required to file infringement claims, which can be expensive and time consuming. Any claims we assert against perceived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62"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96"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7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w:t>
      </w: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Some intellectual property that we have in-licensed may have been discovered through a government funded program and may be subject to certain federal regulations.</w:t>
      </w:r>
    </w:p>
    <w:p>
      <w:pPr>
        <w:spacing w:after="0" w:line="278"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have secured a new contract manufacturer for XIPERE to produce data necessary for the resubmission of our NDA for XIPERE. As a result, the timing of regulatory approval for XIPERE is uncertain, and we may never obtain regulatory approval for XIPERE in the United States.</w:t>
      </w:r>
    </w:p>
    <w:p>
      <w:pPr>
        <w:spacing w:after="0" w:line="16" w:lineRule="exact"/>
        <w:rPr>
          <w:sz w:val="20"/>
          <w:szCs w:val="20"/>
          <w:color w:val="auto"/>
        </w:rPr>
      </w:pPr>
    </w:p>
    <w:p>
      <w:pPr>
        <w:ind w:right="140" w:firstLine="644"/>
        <w:spacing w:after="0" w:line="259" w:lineRule="auto"/>
        <w:rPr>
          <w:sz w:val="20"/>
          <w:szCs w:val="20"/>
          <w:color w:val="auto"/>
        </w:rPr>
      </w:pPr>
      <w:r>
        <w:rPr>
          <w:rFonts w:ascii="Arial" w:cs="Arial" w:eastAsia="Arial" w:hAnsi="Arial"/>
          <w:sz w:val="18"/>
          <w:szCs w:val="18"/>
          <w:color w:val="auto"/>
        </w:rPr>
        <w:t>We have secured a new manufacturing partner for XIPERE. Our prior CMO notified us that they were no longer willing to serve as our commercial supplier for XIPERE and that they were uncertain about being fully prepared for an FDA pre-approval inspection on our timeline. Given our previously disclosed delays, we had begun evaluating alternative manufacturers. In August 2020, we engaged a new CMO to manufacture the registration batches of XIPERE for the resubmission of our NDA.</w:t>
      </w:r>
    </w:p>
    <w:p>
      <w:pPr>
        <w:spacing w:after="0" w:line="187"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In connection with the engagement of the new CMO, the technology underlying the manufacturing process has been transferred to the new CMO so that they can generate the data required by the FDA. The timeline for the CMO’s ability to complete the necessary activities, implement the manufacturing processes and generate the necessary data is uncertain. While we believe, based on information received from the new CMO, that we will be able to resubmit the NDA no later than the second quarter of 2021, we cannot assure you that the CMO will be able to generate sufficient data to enable resubmission of the NDA, nor can we predict the outcome of any interactions with the FDA with respect to the resubmission of the XIPERE NDA or otherwise, We cannot guarantee when, or if, we will be successful in receiving regulatory approval for XIPERE. In addition, the FDA could require supplemental data or information from the new CMO, particularly if the FDA inspects the new CMO’s facilities. As a result, the timing of regulatory approval for XIPERE is uncertain, and we may never obtain regulatory approval for XIPERE in the United States. If we do not obtain approval for XIPERE or are delayed in obtaining such approval, it would have a material adverse effect on our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60"/>
        <w:spacing w:after="0" w:line="308"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we and our collaborators will not be able to commercialize our product candidates, and our ability to generate revenue will be materially impaired.</w:t>
      </w:r>
    </w:p>
    <w:p>
      <w:pPr>
        <w:spacing w:after="0" w:line="38"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8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Section 505(b)(2) regulatory approval pathway, or if the requirements under Section 505(b)(2) are not as we expect, the approval pathway for our product candidates will likely take significantly longer, cost significantly more and entail significantly greater complications and risks than anticipated, and in either case may not be successful.</w:t>
      </w:r>
    </w:p>
    <w:p>
      <w:pPr>
        <w:spacing w:after="0" w:line="23"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We are seeking FDA approval through the Section 505(b)(2) regulatory pathway for XIPERE and may pursue that pathway for our other product candidates. We believe that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92"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92" w:lineRule="exact"/>
        <w:rPr>
          <w:sz w:val="20"/>
          <w:szCs w:val="20"/>
          <w:color w:val="auto"/>
        </w:rPr>
      </w:pPr>
    </w:p>
    <w:p>
      <w:pPr>
        <w:ind w:right="40" w:firstLine="578"/>
        <w:spacing w:after="0" w:line="279" w:lineRule="auto"/>
        <w:rPr>
          <w:sz w:val="20"/>
          <w:szCs w:val="20"/>
          <w:color w:val="auto"/>
        </w:rPr>
      </w:pPr>
      <w:r>
        <w:rPr>
          <w:rFonts w:ascii="Arial" w:cs="Arial" w:eastAsia="Arial" w:hAnsi="Arial"/>
          <w:sz w:val="17"/>
          <w:szCs w:val="17"/>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of the complexity involved with co-packaging a drug with a dispensing device.</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product candidates require coordination within the FDA and similar foreign regulatory agencies for review of their drug along with the co-packaged SCS Microinjector. Although the FDA and similar foreign regulatory agencies have systems in place for the review and approval of co-packaged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220" w:firstLine="510"/>
        <w:spacing w:after="0" w:line="269"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affect our business.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499"/>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spacing w:after="0" w:line="18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117" w:lineRule="exact"/>
        <w:rPr>
          <w:rFonts w:ascii="Arial" w:cs="Arial" w:eastAsia="Arial" w:hAnsi="Arial"/>
          <w:sz w:val="18"/>
          <w:szCs w:val="18"/>
          <w:color w:val="auto"/>
        </w:rPr>
      </w:pPr>
    </w:p>
    <w:p>
      <w:pPr>
        <w:ind w:left="1020" w:hanging="499"/>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or withdrawal of the drugs from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alerts;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permit the import or export of our drugs;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8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w:t>
      </w:r>
    </w:p>
    <w:p>
      <w:pPr>
        <w:spacing w:after="0" w:line="2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4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84" w:lineRule="exact"/>
        <w:rPr>
          <w:sz w:val="20"/>
          <w:szCs w:val="20"/>
          <w:color w:val="auto"/>
        </w:rPr>
      </w:pPr>
    </w:p>
    <w:p>
      <w:pPr>
        <w:ind w:left="1000" w:right="160" w:hanging="493"/>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8" w:lineRule="exact"/>
        <w:rPr>
          <w:rFonts w:ascii="Arial" w:cs="Arial" w:eastAsia="Arial" w:hAnsi="Arial"/>
          <w:sz w:val="18"/>
          <w:szCs w:val="18"/>
          <w:color w:val="auto"/>
        </w:rPr>
      </w:pPr>
    </w:p>
    <w:p>
      <w:pPr>
        <w:ind w:left="1000" w:right="40" w:hanging="493"/>
        <w:spacing w:after="0" w:line="25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79"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5" w:lineRule="exact"/>
        <w:rPr>
          <w:rFonts w:ascii="Arial" w:cs="Arial" w:eastAsia="Arial" w:hAnsi="Arial"/>
          <w:sz w:val="18"/>
          <w:szCs w:val="18"/>
          <w:color w:val="auto"/>
        </w:rPr>
      </w:pPr>
    </w:p>
    <w:p>
      <w:pPr>
        <w:ind w:left="1000" w:right="40" w:hanging="493"/>
        <w:spacing w:after="0" w:line="25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6" w:lineRule="exact"/>
        <w:rPr>
          <w:rFonts w:ascii="Arial" w:cs="Arial" w:eastAsia="Arial" w:hAnsi="Arial"/>
          <w:sz w:val="18"/>
          <w:szCs w:val="18"/>
          <w:color w:val="auto"/>
        </w:rPr>
      </w:pPr>
    </w:p>
    <w:p>
      <w:pPr>
        <w:ind w:left="1000" w:right="80" w:hanging="493"/>
        <w:spacing w:after="0" w:line="25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00" w:right="60" w:hanging="493"/>
        <w:spacing w:after="0" w:line="293"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Section 6002 of the Affordable Care Act, imposed annual reporting requirements for certain manufacturers of drugs, devices, biologics and medical supplies for certain payments and “transfers of value” provided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during the previous year to physician assistants, nurse practitioners, clinical nurse specialists, certified nurse anesthetists, anesthesiologist assistants, and certified nurse-midwives;</w:t>
      </w:r>
    </w:p>
    <w:p>
      <w:pPr>
        <w:spacing w:after="0" w:line="56" w:lineRule="exact"/>
        <w:rPr>
          <w:rFonts w:ascii="Arial" w:cs="Arial" w:eastAsia="Arial" w:hAnsi="Arial"/>
          <w:sz w:val="16"/>
          <w:szCs w:val="16"/>
          <w:color w:val="auto"/>
        </w:rPr>
      </w:pPr>
    </w:p>
    <w:p>
      <w:pPr>
        <w:ind w:left="1000" w:right="100" w:hanging="493"/>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spacing w:after="0" w:line="259" w:lineRule="auto"/>
        <w:rPr>
          <w:sz w:val="20"/>
          <w:szCs w:val="20"/>
          <w:color w:val="auto"/>
        </w:rPr>
      </w:pPr>
      <w:r>
        <w:rPr>
          <w:rFonts w:ascii="Arial" w:cs="Arial" w:eastAsia="Arial" w:hAnsi="Arial"/>
          <w:sz w:val="18"/>
          <w:szCs w:val="18"/>
          <w:color w:val="auto"/>
        </w:rPr>
        <w:t>information related to payments and other transfers of value to physicians and other healthcare providers or marketing 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9" w:lineRule="exact"/>
        <w:rPr>
          <w:sz w:val="20"/>
          <w:szCs w:val="20"/>
          <w:color w:val="auto"/>
        </w:rPr>
      </w:pPr>
    </w:p>
    <w:p>
      <w:pPr>
        <w:ind w:left="1000" w:right="40" w:hanging="493"/>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data privacy regulations, such as the CCPA, which creates new individual privacy rights for consumers and places increased privacy and security obligations on entities handling personal data of consumers or households. The CCPA requires covered companies to provide new disclosures to California consumers, provides such consumers new ways to opt-out of certain sales of personal information, and allows for a new cause of action for data breaches; and</w:t>
      </w:r>
    </w:p>
    <w:p>
      <w:pPr>
        <w:spacing w:after="0" w:line="78" w:lineRule="exact"/>
        <w:rPr>
          <w:rFonts w:ascii="Arial" w:cs="Arial" w:eastAsia="Arial" w:hAnsi="Arial"/>
          <w:sz w:val="18"/>
          <w:szCs w:val="18"/>
          <w:color w:val="auto"/>
        </w:rPr>
      </w:pPr>
    </w:p>
    <w:p>
      <w:pPr>
        <w:ind w:left="1000" w:right="20" w:hanging="493"/>
        <w:spacing w:after="0" w:line="25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data privacy regulations, such as the General Data Protection Regulation (2016/679), or GDPR, which went into effect on May 25, 2018 and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w:t>
      </w:r>
    </w:p>
    <w:p>
      <w:pPr>
        <w:spacing w:after="0" w:line="18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7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w:t>
      </w:r>
    </w:p>
    <w:p>
      <w:pPr>
        <w:spacing w:after="0" w:line="2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00" w:right="1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most branded and generic drugs, respectively;</w:t>
      </w:r>
    </w:p>
    <w:p>
      <w:pPr>
        <w:spacing w:after="0" w:line="62"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right="2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8"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There remain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 mandated “Cadillac” tax on high-cost employer-sponsored health coverage and medical device tax and, effective January 1, 2021, also eliminated the health insurer tax.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17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2030 with the exception of a temporary suspension from May 1, 2020 through March 31, 2021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77"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184"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We cannot assure you that an active trading market will continue to develop or be sustained. If an active market for our common stock is not sustained, it may be difficult for you to sell your shares without depressing the market price for your shares or to sell your shares at all.</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purchasers of our common stock could incur substantial losses.</w:t>
      </w:r>
    </w:p>
    <w:p>
      <w:pPr>
        <w:spacing w:after="0" w:line="12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stock price has been and may continue to be volatile. Since January 1, 2018, our common stock has traded at prices between $0.59 and $14.54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3"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7" w:lineRule="exact"/>
        <w:rPr>
          <w:rFonts w:ascii="Arial" w:cs="Arial" w:eastAsia="Arial" w:hAnsi="Arial"/>
          <w:sz w:val="18"/>
          <w:szCs w:val="18"/>
          <w:color w:val="auto"/>
        </w:rPr>
      </w:pPr>
    </w:p>
    <w:p>
      <w:pPr>
        <w:ind w:left="1020" w:hanging="499"/>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certificate of incorporation authorizes us to issue up to 100,000,000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number of our shares are sold into the market, it could cause the market price of our common stock to drop significantly, even if our business is doing well.</w:t>
      </w:r>
    </w:p>
    <w:p>
      <w:pPr>
        <w:spacing w:after="0" w:line="6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w:t>
      </w:r>
    </w:p>
    <w:p>
      <w:pPr>
        <w:spacing w:after="0" w:line="292" w:lineRule="exact"/>
        <w:rPr>
          <w:sz w:val="20"/>
          <w:szCs w:val="20"/>
          <w:color w:val="auto"/>
        </w:rPr>
      </w:pPr>
    </w:p>
    <w:p>
      <w:pPr>
        <w:ind w:right="8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one of our three classes of directors are elected each year;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76"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1000" w:right="80" w:hanging="493"/>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00" w:right="42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2021.</w:t>
      </w:r>
    </w:p>
    <w:p>
      <w:pPr>
        <w:spacing w:after="0" w:line="18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our cash and cash equivalents and may invest or spend our cash in ways with which investors do not agree.</w:t>
      </w:r>
    </w:p>
    <w:p>
      <w:pPr>
        <w:spacing w:after="0" w:line="14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have broad discretion over the use of our cash and cash equivalents. Investors may not agree with our decisions, and our use of our cash may not yield any return on investment. Our failure to apply our resources effectively could compromise our ability to pursue our growth strategy. Investors will not have the opportunity to influence our decisions on how to use our cash and cash equivalents.</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the sole source of gains and investors may never receive a return on their investment.</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Investors should not rely on an investment in our common stock to provide dividend income. We have not declared or paid cash dividends on our common stock to date. We currently intend to retain our future earnings, if any, to fund the development and growth of our business. In addition, our prior loan agreement prohibited us from paying dividends without the consent of the lenders under the agreement, and we expect that the terms of any future debt agreements would likewise preclude us from paying dividends. As a result, capital appreciation, if any, of our common stock will be investors’ sole source of gain for the foreseeable future. Investors seeking cash dividends should not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material computer system failures or security breaches.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System failures, accidents, inadvertent or accidental cyber issues caused by employees or other insiders, or external security breaches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we could incur significant unexpected losses, expenses and liabilities, we could face litigation or suffer reputational harm and the further development of our product candidates could be delayed.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9"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7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The 2017 comprehensive tax reform bill, as modified by the CARES Act, and possible future changes in tax laws or regulations could adversely affect our business and financial condition.</w:t>
      </w:r>
    </w:p>
    <w:p>
      <w:pPr>
        <w:spacing w:after="0" w:line="183"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On December 22, 2017, President Trump signed into law the Tax Act, which significantly revised the Internal Revenue Code of 1986, as amended. In March 2020, the Tax Act was modified in certain respects by the CARES Act. Future guidance from the U.S. Internal Revenue Service and other tax authorities with respect to the Tax Act, as modified by the CARES Act, may affect us, and certain aspects of the Tax and CARES Act could be repealed or modified in future legislation. Changes in corporate tax rates, the realization of net deferred tax assets relating to our U.S. operations, the taxation of foreign earnings</w:t>
      </w:r>
      <w:r>
        <w:rPr>
          <w:rFonts w:ascii="Arial" w:cs="Arial" w:eastAsia="Arial" w:hAnsi="Arial"/>
          <w:sz w:val="17"/>
          <w:szCs w:val="17"/>
          <w:color w:val="0000FF"/>
        </w:rPr>
        <w:t>,</w:t>
      </w:r>
      <w:r>
        <w:rPr>
          <w:rFonts w:ascii="Arial" w:cs="Arial" w:eastAsia="Arial" w:hAnsi="Arial"/>
          <w:sz w:val="17"/>
          <w:szCs w:val="17"/>
          <w:color w:val="auto"/>
        </w:rPr>
        <w:t xml:space="preserve"> and the deductibility of expenses under the Tax Act, the CARES Act, or future tax reform legislation could have a material impact on the value of our deferred tax assets, could result in significant one-time charges in the current or future taxable years</w:t>
      </w:r>
      <w:r>
        <w:rPr>
          <w:rFonts w:ascii="Arial" w:cs="Arial" w:eastAsia="Arial" w:hAnsi="Arial"/>
          <w:sz w:val="17"/>
          <w:szCs w:val="17"/>
          <w:color w:val="0000FF"/>
        </w:rPr>
        <w:t>,</w:t>
      </w:r>
      <w:r>
        <w:rPr>
          <w:rFonts w:ascii="Arial" w:cs="Arial" w:eastAsia="Arial" w:hAnsi="Arial"/>
          <w:sz w:val="17"/>
          <w:szCs w:val="17"/>
          <w:color w:val="auto"/>
        </w:rPr>
        <w:t xml:space="preserve"> and could increase our future U.S. tax expense. The foregoing items, as well as any other future changes in tax laws, could have a material adverse effect on our business, cash flow, financial condition</w:t>
      </w:r>
      <w:r>
        <w:rPr>
          <w:rFonts w:ascii="Arial" w:cs="Arial" w:eastAsia="Arial" w:hAnsi="Arial"/>
          <w:sz w:val="17"/>
          <w:szCs w:val="17"/>
          <w:color w:val="0000FF"/>
        </w:rPr>
        <w:t>,</w:t>
      </w:r>
      <w:r>
        <w:rPr>
          <w:rFonts w:ascii="Arial" w:cs="Arial" w:eastAsia="Arial" w:hAnsi="Arial"/>
          <w:sz w:val="17"/>
          <w:szCs w:val="17"/>
          <w:color w:val="auto"/>
        </w:rPr>
        <w:t xml:space="preserve"> or results of operations. In addition, it is uncertain if and to what extent various states will conform to the Tax Act and CARES Act or any newly enacted federal tax legislation.</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3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December 31, 2020, we had approximately $232.7 million of federal and $40.7 million of state net operating loss, or NOL, carryforwards. If not utilized, the portion of these federal NOL carryforwards arising in tax years beginning before 2018 will begin to expire at various dates beginning in 2031, and these state NOL carryforwards will begin to expire at various dates beginning in 2027. Under the Tax Act, as modified by the CARES Act, federal net operating losses incurred in taxable years beginning in 2018 and in future years may be carried forward indefinitely, but the deductibility of such federal net operating losses is limited for taxable years beginning after 2020. It is uncertain how various states will respond to the changes to the federal NOL rules included in the Tax Act and CARES Act. However, under Section 382 of the U.S. Internal Revenue Code of 1986, as amended, as interpreted by the U.S. Internal Revenue Service, the amount of benefits from our NOL carryforwards may be impaired or limited if we incur a cumulative stock ownership change of more than 50% over a three-year period. The completion of our IPO, follow-on public offerings, private placements and other transactions that have occurred, and future offerings of our securities may trigger, or may have already triggered, such an ownership change. In addition, since we will need to raise substantial additional funding to finance our operations, we may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undergo ownership changes in the future. We have not conducted an analysis as to whether such a change of ownership has occurred, but if such a change has occurred or occurs in the future, we will be limited regarding the amount of NOL carryforwards that can be utilized annually in the future to offset taxable income. Any such annual limitation may significantly reduce the value of our NOL carryforwards before they expire, which could result in greater tax liabilities than we would incur in the absence of such a limitation.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and demands upon management as a result of being a public company.</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a public company listed in the United States, we incur significant legal, accounting and other costs, which we expect to increase, especially after we cease to be an emerging growth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66"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Our principal offices occupy approximately 20,000 square feet of office space in Alpharetta, Georgia under a lease with an initial term until September 2023, with a renewal option for one additional five-year term.</w:t>
      </w:r>
    </w:p>
    <w:p>
      <w:pPr>
        <w:spacing w:after="0" w:line="17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“CLSD”.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As of March 10, 2021, we had 57,422,475 shares of common stock outstanding held by 11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252525"/>
        </w:rPr>
        <w:t>We are a smaller reporting company as defined by Rule 12b-2 of the Exchange Act and are not required to provide the information required under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3" w:lineRule="exact"/>
        <w:rPr>
          <w:sz w:val="20"/>
          <w:szCs w:val="20"/>
          <w:color w:val="auto"/>
        </w:rPr>
      </w:pPr>
    </w:p>
    <w:p>
      <w:pPr>
        <w:ind w:right="20" w:firstLine="510"/>
        <w:spacing w:after="0" w:line="219"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300" w:firstLine="549"/>
        <w:spacing w:after="0" w:line="257" w:lineRule="auto"/>
        <w:rPr>
          <w:sz w:val="20"/>
          <w:szCs w:val="20"/>
          <w:color w:val="auto"/>
        </w:rPr>
      </w:pPr>
      <w:r>
        <w:rPr>
          <w:rFonts w:ascii="Arial" w:cs="Arial" w:eastAsia="Arial" w:hAnsi="Arial"/>
          <w:sz w:val="18"/>
          <w:szCs w:val="18"/>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Our SCS injection platform is an inherently flexible, in-office, non-surgical procedure intended to provide targeted delivery to the site of disease and to work with both established and new formulations of medications, as well as future therapeutic innovations.</w:t>
      </w:r>
    </w:p>
    <w:p>
      <w:pPr>
        <w:spacing w:after="0" w:line="215" w:lineRule="exact"/>
        <w:rPr>
          <w:sz w:val="20"/>
          <w:szCs w:val="20"/>
          <w:color w:val="auto"/>
        </w:rPr>
      </w:pPr>
    </w:p>
    <w:p>
      <w:pPr>
        <w:ind w:right="20" w:firstLine="549"/>
        <w:spacing w:after="0" w:line="311"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Using our suprachoroidal injection technology in conjunction with proprietary formulations of existing drugs as well as novel therapies, we believe that we have created a broad therapeutic platform for developing product candidates to treat serious eye diseases.</w:t>
      </w:r>
    </w:p>
    <w:p>
      <w:pPr>
        <w:spacing w:after="0" w:line="162" w:lineRule="exact"/>
        <w:rPr>
          <w:sz w:val="20"/>
          <w:szCs w:val="20"/>
          <w:color w:val="auto"/>
        </w:rPr>
      </w:pPr>
    </w:p>
    <w:p>
      <w:pPr>
        <w:ind w:firstLine="549"/>
        <w:spacing w:after="0" w:line="271" w:lineRule="auto"/>
        <w:rPr>
          <w:sz w:val="20"/>
          <w:szCs w:val="20"/>
          <w:color w:val="auto"/>
        </w:rPr>
      </w:pPr>
      <w:r>
        <w:rPr>
          <w:rFonts w:ascii="Arial" w:cs="Arial" w:eastAsia="Arial" w:hAnsi="Arial"/>
          <w:sz w:val="17"/>
          <w:szCs w:val="17"/>
          <w:color w:val="auto"/>
        </w:rPr>
        <w:t>We have incurred net losses since our inception in May 2011. Our operations to date have been limited to organizing and staffing our company, raising capital, conducting preclinical studies and clinical trials and undertaking other research and development initiatives. To date, we have not generated any revenue, other than license and other revenue generated from collaboration agreements, and we have primarily financed our operations through public offerings and private placements of our equity securities, issuances of convertible promissory notes and loan agreements. As of December 31, 2020, we had an accumulated deficit of $255.9 million. We recorded net losses of $18.2 million, $30.8 million and $82.8 million for the years ended December 31, 2020, 2019 and 2018,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solutions to utilize with our SCS Microinjector.</w:t>
      </w:r>
    </w:p>
    <w:p>
      <w:pPr>
        <w:spacing w:after="0" w:line="28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seek to discover, research and develop additional product candidates and seek regulatory approvals in additional regions for XIPERE for the treatment of macular edema associated with uveitis. We have advanced our proprietary suspension of axitinib, which we refer to as CLS-AX, into clinical development, and if these trials are successful, we anticipate an increase in clinical trial expenses as we continue further development of that product candidate.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00" w:right="7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preclinical activities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research and development expenses by type of activity for the years ended December 31, 2020, 2019 and 2018.</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(in thousands)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XIPERE (RVO program)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44,432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XIPERE (DME program)</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CLS-AX (wet AMD program)</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program expense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1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the following:</w:t>
      </w:r>
    </w:p>
    <w:p>
      <w:pPr>
        <w:spacing w:after="0" w:line="62" w:lineRule="exact"/>
        <w:rPr>
          <w:sz w:val="20"/>
          <w:szCs w:val="20"/>
          <w:color w:val="auto"/>
        </w:rPr>
      </w:pPr>
    </w:p>
    <w:p>
      <w:pPr>
        <w:ind w:left="1000" w:right="1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enrollment in, and timing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Other income consists of interest income earned on our cash, cash equivalents and short-term investments. Interest income is not currently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100" w:firstLine="578"/>
        <w:spacing w:after="0" w:line="263" w:lineRule="auto"/>
        <w:rPr>
          <w:sz w:val="20"/>
          <w:szCs w:val="20"/>
          <w:color w:val="auto"/>
        </w:rPr>
      </w:pPr>
      <w:r>
        <w:rPr>
          <w:rFonts w:ascii="Arial" w:cs="Arial" w:eastAsia="Arial" w:hAnsi="Arial"/>
          <w:sz w:val="18"/>
          <w:szCs w:val="18"/>
          <w:color w:val="auto"/>
        </w:rPr>
        <w:t>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578"/>
        <w:spacing w:after="0" w:line="254" w:lineRule="auto"/>
        <w:rPr>
          <w:sz w:val="20"/>
          <w:szCs w:val="20"/>
          <w:color w:val="auto"/>
        </w:rPr>
      </w:pPr>
      <w:r>
        <w:rPr>
          <w:rFonts w:ascii="Arial" w:cs="Arial" w:eastAsia="Arial" w:hAnsi="Arial"/>
          <w:sz w:val="18"/>
          <w:szCs w:val="18"/>
          <w:color w:val="auto"/>
        </w:rPr>
        <w:t xml:space="preserve">On January 1, 2018, we adopted Accounting Standards Update, or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or ASC 606, as amended by ASU 2016-08, 2016-10, 2016-12 and 2016-20 using the modified retrospective method.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 (2) 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spacing w:after="0" w:line="192" w:lineRule="exact"/>
        <w:rPr>
          <w:sz w:val="20"/>
          <w:szCs w:val="20"/>
          <w:color w:val="auto"/>
        </w:rPr>
      </w:pPr>
    </w:p>
    <w:p>
      <w:pPr>
        <w:ind w:right="420" w:firstLine="578"/>
        <w:spacing w:after="0" w:line="277" w:lineRule="auto"/>
        <w:rPr>
          <w:sz w:val="20"/>
          <w:szCs w:val="20"/>
          <w:color w:val="auto"/>
        </w:rPr>
      </w:pPr>
      <w:r>
        <w:rPr>
          <w:rFonts w:ascii="Arial" w:cs="Arial" w:eastAsia="Arial" w:hAnsi="Arial"/>
          <w:sz w:val="18"/>
          <w:szCs w:val="18"/>
          <w:color w:val="auto"/>
        </w:rPr>
        <w:t>As part of the accounting for our revenue arrangements, we develop assumptions that require judgment such as the estimate of the stand-alone selling price for each performance obligation identified in the contract.</w:t>
      </w:r>
    </w:p>
    <w:p>
      <w:pPr>
        <w:spacing w:after="0" w:line="170"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our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we recognize revenue allocated to the license 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78" w:lineRule="exact"/>
        <w:rPr>
          <w:sz w:val="20"/>
          <w:szCs w:val="20"/>
          <w:color w:val="auto"/>
        </w:rPr>
      </w:pPr>
    </w:p>
    <w:p>
      <w:pPr>
        <w:ind w:right="140" w:firstLine="527"/>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commercialization, and regulatory milestone payments,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whether the achievement of the milestones is considered probable 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 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140" w:firstLine="578"/>
        <w:spacing w:after="0" w:line="286" w:lineRule="auto"/>
        <w:rPr>
          <w:sz w:val="20"/>
          <w:szCs w:val="20"/>
          <w:color w:val="auto"/>
        </w:rPr>
      </w:pPr>
      <w:r>
        <w:rPr>
          <w:rFonts w:ascii="Arial" w:cs="Arial" w:eastAsia="Arial" w:hAnsi="Arial"/>
          <w:sz w:val="17"/>
          <w:szCs w:val="17"/>
          <w:i w:val="1"/>
          <w:iCs w:val="1"/>
          <w:color w:val="auto"/>
        </w:rPr>
        <w:t xml:space="preserve">Manufacturing Supply Services: </w:t>
      </w:r>
      <w:r>
        <w:rPr>
          <w:rFonts w:ascii="Arial" w:cs="Arial" w:eastAsia="Arial" w:hAnsi="Arial"/>
          <w:sz w:val="17"/>
          <w:szCs w:val="17"/>
          <w:color w:val="auto"/>
        </w:rPr>
        <w:t>Arrangements that include a promise for future supply of drug substance or drug product for either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or commercial supply at the customer’s discretion are generally considered options. We assess if these options provide a material right to the licensee and if so, they are accounted for as separate performance obligations at the outset of the arrangement.</w:t>
      </w:r>
    </w:p>
    <w:p>
      <w:pPr>
        <w:spacing w:after="0" w:line="165"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78"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We estimate the fair value of stock options using a Black-Scholes option pricing model. Compensation expense for options granted to non-employees is determined as the fair value of consideration received or the fair value of the equity instruments issued, whichever is more reliably measured.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 the awards. All share-based compensation costs are recorded in general and administrative or research and development costs in the statements of operations based upon the underlying employees’ roles.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estimate the fair value of stock options at the grant date using Black-Scholes option pricing model with the following assumptions:</w:t>
      </w:r>
    </w:p>
    <w:p>
      <w:pPr>
        <w:spacing w:after="0" w:line="117" w:lineRule="exact"/>
        <w:rPr>
          <w:sz w:val="20"/>
          <w:szCs w:val="20"/>
          <w:color w:val="auto"/>
        </w:rPr>
      </w:pPr>
    </w:p>
    <w:p>
      <w:pPr>
        <w:ind w:left="1000" w:right="20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We estimate the fair value of our common stock by reference to the closing price of our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Global Market on the date of grant.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We calculate expected volatility based on the historical volatility of our common stock.</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simplified method as prescribed by the SEC Staff Accounting Bulletin No. 107,</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as we do</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historical exercise and post-vesting termination data to provide a reasonable basis upon which to estimate the expected term of stock options granted to employees.</w:t>
      </w:r>
    </w:p>
    <w:p>
      <w:pPr>
        <w:spacing w:after="0" w:line="75"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accounted for as they occur.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We have never declared or paid any cash dividends and do not presently plan to pay cash dividends in the foreseeable future.</w:t>
      </w:r>
    </w:p>
    <w:p>
      <w:pPr>
        <w:spacing w:after="0" w:line="35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29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Share-based compensation expense related to stock options, the employee stock purchase plan and RSUs aggregated $3.6 million, $4.6 million and $4.8 million for the years ended December 31, 2020, 2019 and 2018,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We recorded aggregate deferred tax assets of $63.4 million, primarily related to our net operating losses, as of December 31, 2020, which have been fully offset by a valuation allowance due to uncertainties surrounding our ability to realize these tax benefits. We record a valuation allowance if it is more likely than not that a deferred tax asset will not be realized. We provided a full valuation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allowance on our deferred tax assets that primarily consist of cumulative net operating losses, or NOLs for the period from our inception through December 31, 2020. We incurred a net loss for tax purposes of $12.3 million for the year ended December 31, 2020.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deferred tax assets are primarily composed of federal and state tax NOL carryforwards. As of December 31, 2020, we had federal NOL carryforwards of $232.7 million and state NOL carryforwards of $40.7 million available to reduce future taxable income, if any. These federal NOL carryforwards will begin to expire at various dates starting in 2031.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2020 and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r>
      <w:tr>
        <w:trPr>
          <w:trHeight w:val="209"/>
        </w:trPr>
        <w:tc>
          <w:tcPr>
            <w:tcW w:w="6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w w:val="99"/>
              </w:rPr>
              <w:t>(in thousands)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4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FF0FC"/>
          </w:tcPr>
          <w:p>
            <w:pPr>
              <w:spacing w:after="0"/>
              <w:rPr>
                <w:sz w:val="20"/>
                <w:szCs w:val="20"/>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w:t>
            </w: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23"/>
        </w:trPr>
        <w:tc>
          <w:tcPr>
            <w:tcW w:w="6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4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32,477</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(17,935)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(18,210)</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(30,770)</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years ended December 31, 2020 and 2019 we recognized $7.7 million and $2.1 million, respectively, of revenue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agreements. In the years ended December 31, 2020 and 2019, we recognized $0.2 million and $0.1 million, respectively, of revenue associated with other agreements to evaluate the potential use of our proprietary SCS Microinjector with third-party product candidates for the treatment of various diseases.</w:t>
      </w:r>
    </w:p>
    <w:p>
      <w:pPr>
        <w:spacing w:after="0" w:line="18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decreased by $0.6 million, from $15.7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$15.1 million for the year ended December 31, 2020. This decrease was primarily attributable to the $2.2 million in costs incurred during the year ended December 31, 2019 to close down the SAPPHIRE and TOPAZ trials. Additionally, there was a $0.9 million decrease in employee-related costs and a $0.2 million decrease in travel costs between the periods. These decreases were partially offset by a $3.0 million increase in costs related to device and drug manufacturing for XIPERE and CLS-AX, as well as the initial startup costs for the Phase 1/2a clinical trial of CLS-AX referred to as OASIS.</w:t>
      </w:r>
    </w:p>
    <w:p>
      <w:pPr>
        <w:spacing w:after="0" w:line="16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$6.1 million, from $16.8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$10.8 million for the year ended December 31, 2020. This decrease was primarily attributable to a $4.1 million reduction in marketing-related expenses related to the change of our business strategy to seek partners for XIPERE rather than commercializing XIPERE on our own, a decrease of $1.4 million of employee-related costs due to expenses incurred in the prior year primarily related to the departure of our former chief executive officer and a $0.9 million decrease in professional fees.</w:t>
      </w:r>
    </w:p>
    <w:p>
      <w:pPr>
        <w:spacing w:after="0" w:line="80"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years ended December 31,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loan agreements. The decrease in other expense for the year ended December 31, 2020 as compared to the year ended December 31, 2019 is primarily due to lower costs on our loan agreement that we prepaid in full in May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2019 and 2018.</w:t>
      </w: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Period-to-Period</w:t>
            </w:r>
          </w:p>
        </w:tc>
      </w:tr>
      <w:tr>
        <w:trPr>
          <w:trHeight w:val="213"/>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6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2,173</w:t>
            </w:r>
          </w:p>
        </w:tc>
        <w:tc>
          <w:tcPr>
            <w:tcW w:w="4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CFF0FC"/>
          </w:tcPr>
          <w:p>
            <w:pPr>
              <w:spacing w:after="0"/>
              <w:rPr>
                <w:sz w:val="20"/>
                <w:szCs w:val="20"/>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(52,633)</w:t>
            </w:r>
          </w:p>
        </w:tc>
      </w:tr>
      <w:tr>
        <w:trPr>
          <w:trHeight w:val="229"/>
        </w:trPr>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16,819</w:t>
            </w: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4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8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32,477</w:t>
            </w:r>
          </w:p>
        </w:tc>
        <w:tc>
          <w:tcPr>
            <w:tcW w:w="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82,975</w:t>
            </w: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(50,498)</w:t>
            </w:r>
          </w:p>
        </w:tc>
        <w:tc>
          <w:tcPr>
            <w:tcW w:w="8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(30,304)</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(82,945)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52,641</w:t>
            </w:r>
          </w:p>
        </w:tc>
        <w:tc>
          <w:tcPr>
            <w:tcW w:w="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(30,770)</w:t>
            </w:r>
          </w:p>
        </w:tc>
        <w:tc>
          <w:tcPr>
            <w:tcW w:w="4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52,048</w:t>
            </w:r>
          </w:p>
        </w:tc>
        <w:tc>
          <w:tcPr>
            <w:tcW w:w="8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year ended December 31, 2019 we recognized $2.1 million of revenue associated with our license agreements. In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and 2018, we recognized $0.1 million and $30,000, respectively, of revenue associated with other agreements.</w:t>
      </w:r>
    </w:p>
    <w:p>
      <w:pPr>
        <w:spacing w:after="0" w:line="14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decreased by $52.6 million, from $68.3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$15.7 million for the year ended December 31, 2019. This was primarily attributable to a $42.1 million decrease due to closing down the SAPPHIRE and TOPAZ trials. Additionally, there was a $4.6 million decrease due to the completion of the PEACHTREE trial during the first quarter of 2018, a $3.2 million decrease in costs related to our DME program, as the TYBEE trial was completed in the second quarter of 2018, a $1.2 million decrease in costs related to device and drug manufacturing, a $0.6 million decrease in costs related to quality assurance as audits related to our NDA filing were completed during 2018 and a $1.4 million decrease in regulatory expenses as the NDA submission for XIPERE was completed in the fourth quarter of 2018. These decreases were partially offset by a $0.4 million increase in employee-related costs and a $0.5 million increase in nonclinical activities.</w:t>
      </w:r>
    </w:p>
    <w:p>
      <w:pPr>
        <w:spacing w:after="0" w:line="16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$2.1 million, from $14.7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$16.8 million for the year ended December 31, 2019. The increase was primarily attributable to a $1.9 million increase in employee-related costs, including accrued expenses related to the resignation of our former CEO, and an increase of $0.9 million in professional fees. These increases were partially offset by a $0.4 million decrease that was primarily attributable to marketing-related expenses related to the change of our business strategy to seek partners for XIPERE rather than commercialize it on our own.</w:t>
      </w:r>
    </w:p>
    <w:p>
      <w:pPr>
        <w:spacing w:after="0" w:line="18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i w:val="1"/>
          <w:iCs w:val="1"/>
          <w:color w:val="auto"/>
        </w:rPr>
        <w:t>Other (expense) income</w:t>
      </w:r>
      <w:r>
        <w:rPr>
          <w:rFonts w:ascii="Arial" w:cs="Arial" w:eastAsia="Arial" w:hAnsi="Arial"/>
          <w:sz w:val="18"/>
          <w:szCs w:val="18"/>
          <w:color w:val="auto"/>
        </w:rPr>
        <w:t>. The decrease from other income of $0.1 million in 2018 to other expense of $0.5 million in 2019 was the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on short-term investment balances in the first quarter of 2018 following our public offering of common stock, which balances decreased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December 31, 2020, we had cash and cash equivalents of $17.3 million. We invest any cash in excess of our immediate requirements primarily with a view to liquidity and capital preservation. As of December 31, 2020, our funds were held in cash and money market funds.</w:t>
      </w:r>
    </w:p>
    <w:p>
      <w:pPr>
        <w:spacing w:after="0" w:line="4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January 6, 2021, we entered into a securities purchase agreement with certain institutional purchasers pursuant to which we issued and sold 4.2 million shares of our common stock in a registered direct offering at a price of $2.851 per share. We raised net cash proceeds of $11.1 million after deducting offering expenses.</w:t>
      </w:r>
    </w:p>
    <w:p>
      <w:pPr>
        <w:spacing w:after="0" w:line="1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During the year ended December 31, 2020, we sold 6.2 million shares of our common stock for net proceeds of $12.0 million under the at-the-market, or ATM, agreement, Cowen and Company LLC, or Cowen. Under the ATM agreement, we may offer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sell, from time to time at our sole discretion, shares of our common stock through Cowen acting as our sales agent. As of December 31, 2020, there was $27.0 million available for future sales under the ATM agreement. Subsequent to December 31, 2020, we sold 1.2 million shares of our common stock for net proceeds of $3.3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2020, we received $3.0 million in milestone payments under the REGENXBIO agreement.</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April 20,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 PPP provided a mechanism for forgiveness of up to the full amount borrowed. On January 11, 2021, we received notification from Silicon Valley bank that the full amount borrowed under the PPP Loan and approximately $7,000 of accrued interest was forgiven.</w:t>
      </w:r>
    </w:p>
    <w:p>
      <w:pPr>
        <w:spacing w:after="0" w:line="68" w:lineRule="exact"/>
        <w:rPr>
          <w:sz w:val="20"/>
          <w:szCs w:val="20"/>
          <w:color w:val="auto"/>
        </w:rPr>
      </w:pPr>
    </w:p>
    <w:p>
      <w:pPr>
        <w:jc w:val="both"/>
        <w:ind w:right="240" w:firstLine="510"/>
        <w:spacing w:after="0" w:line="275" w:lineRule="auto"/>
        <w:rPr>
          <w:sz w:val="20"/>
          <w:szCs w:val="20"/>
          <w:color w:val="auto"/>
        </w:rPr>
      </w:pPr>
      <w:r>
        <w:rPr>
          <w:rFonts w:ascii="Arial" w:cs="Arial" w:eastAsia="Arial" w:hAnsi="Arial"/>
          <w:sz w:val="17"/>
          <w:szCs w:val="17"/>
          <w:color w:val="auto"/>
        </w:rPr>
        <w:t>On March 10, 2020, we entered into the Arctic License Agreement, under which Arctic Vision has agreed to pay us up to a total of $35.5 million. This amount includes an upfront payment of $4.0 million, which we received in March 2020, as well as an aggregate of up to $31.5 million in potential development milestone payments for specified events prior to and including receipt of regulatory approval of XIPERE in the United States and potential sales milestone payments for achievement of specified levels of net sales. Further, during the applicable royalty term, we will also be entitled to receive tiered royalties of 10-12% of net sales in the Arctic Territory, subject to customary reductions.</w:t>
      </w:r>
    </w:p>
    <w:p>
      <w:pPr>
        <w:spacing w:after="0" w:line="68" w:lineRule="exact"/>
        <w:rPr>
          <w:sz w:val="20"/>
          <w:szCs w:val="20"/>
          <w:color w:val="auto"/>
        </w:rPr>
      </w:pPr>
    </w:p>
    <w:p>
      <w:pPr>
        <w:ind w:right="300" w:firstLine="468"/>
        <w:spacing w:after="0" w:line="293" w:lineRule="auto"/>
        <w:rPr>
          <w:sz w:val="20"/>
          <w:szCs w:val="20"/>
          <w:color w:val="auto"/>
        </w:rPr>
      </w:pPr>
      <w:r>
        <w:rPr>
          <w:rFonts w:ascii="Arial" w:cs="Arial" w:eastAsia="Arial" w:hAnsi="Arial"/>
          <w:sz w:val="16"/>
          <w:szCs w:val="16"/>
          <w:color w:val="auto"/>
        </w:rPr>
        <w:t>We previously entered into a loan and security agreement with Silicon Valley Bank and MidCap Financial Services, or collectively the Lenders, under which we borrowed $10.0 million in May 2018. In October 2019, we repaid $5.0 million of the outstanding principal balance. 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In May 2020, we prepaid in full the outstanding $5.0 million principal balance, plus $0.3 million reflecting a final payment fee and accrued interest. The prepayment fees were waived by the Lenders.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marketing, distribution or licensing arrangements with third parties, including any future collaboration or licensing arrangement for XIPERE outside the U.S. and Canada,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92" w:lineRule="exact"/>
        <w:rPr>
          <w:sz w:val="20"/>
          <w:szCs w:val="20"/>
          <w:color w:val="auto"/>
        </w:rPr>
      </w:pPr>
    </w:p>
    <w:p>
      <w:pPr>
        <w:jc w:val="both"/>
        <w:ind w:right="640" w:firstLine="510"/>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jc w:val="both"/>
        <w:ind w:right="20" w:firstLine="510"/>
        <w:spacing w:after="0" w:line="296" w:lineRule="auto"/>
        <w:rPr>
          <w:sz w:val="20"/>
          <w:szCs w:val="20"/>
          <w:color w:val="auto"/>
        </w:rPr>
      </w:pPr>
      <w:r>
        <w:rPr>
          <w:rFonts w:ascii="Arial" w:cs="Arial" w:eastAsia="Arial" w:hAnsi="Arial"/>
          <w:sz w:val="16"/>
          <w:szCs w:val="16"/>
          <w:color w:val="auto"/>
        </w:rPr>
        <w:t>We have suffered recurring losses and negative cash flows from operations since inception and anticipate incurring additional losses until such time, if ever, that we can obtain FDA approval to market and then generate significant royalties from XIPERE and other licensing arrangements or revenues from other product candidates. We will need additional financing to fund our operations. These conditions raise substantial doubt about our ability to continue as a going concern within one year after the date of this report. Our plans primarily consist of raising additional capital, potentially in a combination of equity or debt financings or restructurings, or potentially entering into additional collaborations, partnerships and other strategic arrangements.</w:t>
      </w:r>
    </w:p>
    <w:p>
      <w:pPr>
        <w:spacing w:after="0" w:line="53"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Based on our current plans and forecasted expenses, we expect that our cash and cash equivalents as of the filing date, March 15, 2021, will enable us to fund our planned operating expenses and capital expenditure requirements into the first quarter of 2022. This estimate does not give effect to additional development milestone payments we might receive under the agreements with Bausch, REGENXBIO or Arctic Vision or in connection with any other potential license or collaboration agreement for XIPERE or any future product candidates. We have based this estimate on assumptions that may prove to be wrong, and we could exhaust our capital resources sooner than we expect.</w:t>
      </w:r>
    </w:p>
    <w:p>
      <w:pPr>
        <w:spacing w:after="0" w:line="68"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(13,120)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(27,068)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2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40" w:type="dxa"/>
            <w:vAlign w:val="bottom"/>
            <w:vMerge w:val="restart"/>
          </w:tcPr>
          <w:p>
            <w:pPr>
              <w:jc w:val="right"/>
              <w:ind w:right="850"/>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5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During the years ended December 31, 2020, 2019 and 2018, our operating activities used net cash of $13.0 million, $27.1 million and $79.2 million, respectively. The use of cash in each period primarily resulted from our net losses.</w:t>
      </w:r>
    </w:p>
    <w:p>
      <w:pPr>
        <w:spacing w:after="0" w:line="23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decrease in the net loss for the year ended December 31, 2020 as compared to the year ended December 31, 2019 was primarily attributable to lower research and development expenses as a result of the discontinuation of the SAPPHIRE and TOPAZ trials and ceasing of commercialization activities in 2019. The losses were partially offset by non-cash items, made up primarily of share-based compensation, of $3.6 million and $4.6 million for the years ended December 31, 2020 and 2019, respectively.</w:t>
      </w:r>
    </w:p>
    <w:p>
      <w:pPr>
        <w:spacing w:after="0" w:line="254"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decrease in net loss for the year ended December 31, 2019 as compared to the year ended December 31, 2018 was primarily attributable to lower research and development expenses as a result of the completion of the PEACHTREE and TYBEE trials in the prior year and the discontinuation of the SAPPHIRE and TOPAZ trials. The year ended December 31, 2019 also included a net cash outflow of $5.1 million from a decrease in accounts payable, which was the result of payments we made in connection with winding down the clinical trials.</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increase in net loss for the year ended December 31, 2018 was primarily attributable to higher research and development expenses related to our Phase 3 clinical trials PEACHTREE, SAPPHIRE and TOPAZ and the related expenses to support them including employee-related costs. In addition, for the year ended December 31, 2018, we incurred regulatory costs in preparation for an NDA submission and costs associated with the planned commercialization of XIPERE.</w:t>
      </w:r>
    </w:p>
    <w:p>
      <w:pPr>
        <w:spacing w:after="0" w:line="18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the year ended December 31, 2020, our investing activities used net cash of $55,000 for the purchase of machinery and equipment. In the year ended December 31, 2019, net cash provided by investing activities of $32.9 million consisted of maturities of short-term available-for-sale investments. In the year ended December 31, 2018, net cash used in investing activities of $3.8 million was primarily for the purchase of $80.1 million of short-term, available-for-sale investments, which included commercial paper and treasury bills, offset by the maturities of $76.5 million of short-term, available-for-sale investments, which included corporate bonds, commercial paper and treasury bills and $88,000 for the purchase of furniture and fixtures.</w:t>
      </w:r>
    </w:p>
    <w:p>
      <w:pPr>
        <w:spacing w:after="0" w:line="16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During the years ended December 31, 2020, 2019 and 2018, our net cash provided by financing activities was $7.9 million, $8.7 million and $81.8 million, respectively. The net cash provided by financing activities for the year ended December 31, 2020 was primarily comprised of $12.0 million of net proceeds from the sale of shares of common stock under the ATM agreement and $1.0 million of proceeds from the PPP Loan, partially offset by the full prepayment of the remaining $5.3 million owed under our loan agreement. The net cash provided by financing activities for the year ended December 31, 2019 was primarily comprised of $10.3 million of net proceeds from sales of common stock pursuant to our ATM agreement and $3.3 million of net proceeds from a private placement of common stock, partially offset by a $5.0 million principal payment made under our Loan Agreement. The net cash provided by financing activities for the year ended December 31, 2018 was primarily comprised of the $79.6 million of net proceeds received from a public follow-on offering of our common stock in March 2018, $1.7 million of net proceeds received from the Loan Agreement and $0.5 million of proceeds received from shares issued from the exercise of stock options and the employee stock purchase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See Item 8. “Financial Statements and Supplementary Data – Note 2, Significant Accounting Policies” for a discussion of recent accounting pronouncements and their effect on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52525"/>
        </w:rPr>
        <w:t>We are a smaller reporting company as defined by Rule 12b-2 of the Exchange Act and are not required to provide the information required under this item.</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320" w:type="dxa"/>
            <w:vAlign w:val="bottom"/>
          </w:tcPr>
          <w:p>
            <w:pPr>
              <w:spacing w:after="0"/>
              <w:rPr>
                <w:sz w:val="20"/>
                <w:szCs w:val="20"/>
                <w:color w:val="auto"/>
              </w:rPr>
            </w:pPr>
          </w:p>
        </w:tc>
      </w:tr>
      <w:tr>
        <w:trPr>
          <w:trHeight w:val="432"/>
        </w:trPr>
        <w:tc>
          <w:tcPr>
            <w:tcW w:w="89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20" w:type="dxa"/>
            <w:vAlign w:val="bottom"/>
          </w:tcPr>
          <w:p>
            <w:pPr>
              <w:spacing w:after="0"/>
              <w:rPr>
                <w:sz w:val="24"/>
                <w:szCs w:val="24"/>
                <w:color w:val="auto"/>
              </w:rPr>
            </w:pPr>
          </w:p>
        </w:tc>
      </w:tr>
      <w:tr>
        <w:trPr>
          <w:trHeight w:val="432"/>
        </w:trPr>
        <w:tc>
          <w:tcPr>
            <w:tcW w:w="8940" w:type="dxa"/>
            <w:vAlign w:val="bottom"/>
          </w:tcPr>
          <w:p>
            <w:pPr>
              <w:ind w:left="4520"/>
              <w:spacing w:after="0"/>
              <w:rPr>
                <w:sz w:val="20"/>
                <w:szCs w:val="20"/>
                <w:color w:val="auto"/>
              </w:rPr>
            </w:pPr>
            <w:r>
              <w:rPr>
                <w:rFonts w:ascii="Arial" w:cs="Arial" w:eastAsia="Arial" w:hAnsi="Arial"/>
                <w:sz w:val="18"/>
                <w:szCs w:val="18"/>
                <w:b w:val="1"/>
                <w:bCs w:val="1"/>
                <w:color w:val="auto"/>
              </w:rPr>
              <w:t>Index to financial statements</w:t>
            </w:r>
          </w:p>
        </w:tc>
        <w:tc>
          <w:tcPr>
            <w:tcW w:w="2320" w:type="dxa"/>
            <w:vAlign w:val="bottom"/>
          </w:tcPr>
          <w:p>
            <w:pPr>
              <w:spacing w:after="0"/>
              <w:rPr>
                <w:sz w:val="24"/>
                <w:szCs w:val="24"/>
                <w:color w:val="auto"/>
              </w:rPr>
            </w:pPr>
          </w:p>
        </w:tc>
      </w:tr>
      <w:tr>
        <w:trPr>
          <w:trHeight w:val="418"/>
        </w:trPr>
        <w:tc>
          <w:tcPr>
            <w:tcW w:w="8940" w:type="dxa"/>
            <w:vAlign w:val="bottom"/>
          </w:tcPr>
          <w:p>
            <w:pPr>
              <w:spacing w:after="0"/>
              <w:rPr>
                <w:sz w:val="24"/>
                <w:szCs w:val="24"/>
                <w:color w:val="auto"/>
              </w:rPr>
            </w:pPr>
          </w:p>
        </w:tc>
        <w:tc>
          <w:tcPr>
            <w:tcW w:w="2320" w:type="dxa"/>
            <w:vAlign w:val="bottom"/>
          </w:tcPr>
          <w:p>
            <w:pPr>
              <w:jc w:val="right"/>
              <w:ind w:right="710"/>
              <w:spacing w:after="0"/>
              <w:rPr>
                <w:sz w:val="20"/>
                <w:szCs w:val="20"/>
                <w:color w:val="auto"/>
              </w:rPr>
            </w:pPr>
            <w:r>
              <w:rPr>
                <w:rFonts w:ascii="Arial" w:cs="Arial" w:eastAsia="Arial" w:hAnsi="Arial"/>
                <w:sz w:val="18"/>
                <w:szCs w:val="18"/>
                <w:b w:val="1"/>
                <w:bCs w:val="1"/>
                <w:color w:val="auto"/>
              </w:rPr>
              <w:t>Page</w:t>
            </w:r>
          </w:p>
        </w:tc>
      </w:tr>
      <w:tr>
        <w:trPr>
          <w:trHeight w:val="216"/>
        </w:trPr>
        <w:tc>
          <w:tcPr>
            <w:tcW w:w="8940" w:type="dxa"/>
            <w:vAlign w:val="bottom"/>
          </w:tcPr>
          <w:p>
            <w:pPr>
              <w:ind w:left="6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Report of independent registered public accounting firm</w:t>
              </w:r>
            </w:hyperlink>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70</w:t>
            </w:r>
          </w:p>
        </w:tc>
      </w:tr>
      <w:tr>
        <w:trPr>
          <w:trHeight w:val="216"/>
        </w:trPr>
        <w:tc>
          <w:tcPr>
            <w:tcW w:w="8940" w:type="dxa"/>
            <w:vAlign w:val="bottom"/>
          </w:tcPr>
          <w:p>
            <w:pPr>
              <w:ind w:left="640"/>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Balance sheets as of December 31, 2020 and 201</w:t>
              </w:r>
            </w:hyperlink>
            <w:r>
              <w:rPr>
                <w:rFonts w:ascii="Arial" w:cs="Arial" w:eastAsia="Arial" w:hAnsi="Arial"/>
                <w:sz w:val="18"/>
                <w:szCs w:val="18"/>
                <w:color w:val="000000"/>
              </w:rPr>
              <w:t>9</w:t>
            </w: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71</w:t>
            </w:r>
          </w:p>
        </w:tc>
      </w:tr>
      <w:tr>
        <w:trPr>
          <w:trHeight w:val="216"/>
        </w:trPr>
        <w:tc>
          <w:tcPr>
            <w:tcW w:w="8940" w:type="dxa"/>
            <w:vAlign w:val="bottom"/>
          </w:tcPr>
          <w:p>
            <w:pPr>
              <w:ind w:left="640"/>
              <w:spacing w:after="0"/>
              <w:rPr>
                <w:rFonts w:ascii="Arial" w:cs="Arial" w:eastAsia="Arial" w:hAnsi="Arial"/>
                <w:sz w:val="18"/>
                <w:szCs w:val="18"/>
                <w:color w:val="0000EE"/>
              </w:rPr>
            </w:pPr>
            <w:hyperlink w:anchor="page73">
              <w:r>
                <w:rPr>
                  <w:rFonts w:ascii="Arial" w:cs="Arial" w:eastAsia="Arial" w:hAnsi="Arial"/>
                  <w:sz w:val="18"/>
                  <w:szCs w:val="18"/>
                  <w:u w:val="single" w:color="auto"/>
                  <w:color w:val="0000EE"/>
                </w:rPr>
                <w:t>Statements of operations for the years ended December 31, 2020, 2019 and 201</w:t>
              </w:r>
            </w:hyperlink>
            <w:r>
              <w:rPr>
                <w:rFonts w:ascii="Arial" w:cs="Arial" w:eastAsia="Arial" w:hAnsi="Arial"/>
                <w:sz w:val="18"/>
                <w:szCs w:val="18"/>
                <w:color w:val="000000"/>
              </w:rPr>
              <w:t>8</w:t>
            </w: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72</w:t>
            </w:r>
          </w:p>
        </w:tc>
      </w:tr>
      <w:tr>
        <w:trPr>
          <w:trHeight w:val="216"/>
        </w:trPr>
        <w:tc>
          <w:tcPr>
            <w:tcW w:w="8940" w:type="dxa"/>
            <w:vAlign w:val="bottom"/>
          </w:tcPr>
          <w:p>
            <w:pPr>
              <w:ind w:left="640"/>
              <w:spacing w:after="0"/>
              <w:rPr>
                <w:rFonts w:ascii="Arial" w:cs="Arial" w:eastAsia="Arial" w:hAnsi="Arial"/>
                <w:sz w:val="18"/>
                <w:szCs w:val="18"/>
                <w:color w:val="0000EE"/>
              </w:rPr>
            </w:pPr>
            <w:hyperlink w:anchor="page74">
              <w:r>
                <w:rPr>
                  <w:rFonts w:ascii="Arial" w:cs="Arial" w:eastAsia="Arial" w:hAnsi="Arial"/>
                  <w:sz w:val="18"/>
                  <w:szCs w:val="18"/>
                  <w:u w:val="single" w:color="auto"/>
                  <w:color w:val="0000EE"/>
                </w:rPr>
                <w:t>Statements of stockholders’ equity (deficit) for the years ended December 31, 2020, 2019 and 201</w:t>
              </w:r>
            </w:hyperlink>
            <w:r>
              <w:rPr>
                <w:rFonts w:ascii="Arial" w:cs="Arial" w:eastAsia="Arial" w:hAnsi="Arial"/>
                <w:sz w:val="18"/>
                <w:szCs w:val="18"/>
                <w:color w:val="000000"/>
              </w:rPr>
              <w:t>8</w:t>
            </w: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73</w:t>
            </w:r>
          </w:p>
        </w:tc>
      </w:tr>
      <w:tr>
        <w:trPr>
          <w:trHeight w:val="216"/>
        </w:trPr>
        <w:tc>
          <w:tcPr>
            <w:tcW w:w="8940" w:type="dxa"/>
            <w:vAlign w:val="bottom"/>
          </w:tcPr>
          <w:p>
            <w:pPr>
              <w:ind w:left="640"/>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Statements of cash flows for the years ended December 31, 2020, 2019 and 201</w:t>
              </w:r>
            </w:hyperlink>
            <w:r>
              <w:rPr>
                <w:rFonts w:ascii="Arial" w:cs="Arial" w:eastAsia="Arial" w:hAnsi="Arial"/>
                <w:sz w:val="18"/>
                <w:szCs w:val="18"/>
                <w:color w:val="000000"/>
              </w:rPr>
              <w:t>8</w:t>
            </w: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74</w:t>
            </w:r>
          </w:p>
        </w:tc>
      </w:tr>
      <w:tr>
        <w:trPr>
          <w:trHeight w:val="230"/>
        </w:trPr>
        <w:tc>
          <w:tcPr>
            <w:tcW w:w="8940" w:type="dxa"/>
            <w:vAlign w:val="bottom"/>
          </w:tcPr>
          <w:p>
            <w:pPr>
              <w:ind w:left="6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Notes to financial statements</w:t>
              </w:r>
            </w:hyperlink>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75</w:t>
            </w:r>
          </w:p>
        </w:tc>
      </w:tr>
      <w:tr>
        <w:trPr>
          <w:trHeight w:val="864"/>
        </w:trPr>
        <w:tc>
          <w:tcPr>
            <w:tcW w:w="8940" w:type="dxa"/>
            <w:vAlign w:val="bottom"/>
          </w:tcPr>
          <w:p>
            <w:pPr>
              <w:ind w:left="5540"/>
              <w:spacing w:after="0"/>
              <w:rPr>
                <w:sz w:val="20"/>
                <w:szCs w:val="20"/>
                <w:color w:val="auto"/>
              </w:rPr>
            </w:pPr>
            <w:r>
              <w:rPr>
                <w:rFonts w:ascii="Arial" w:cs="Arial" w:eastAsia="Arial" w:hAnsi="Arial"/>
                <w:sz w:val="18"/>
                <w:szCs w:val="18"/>
                <w:color w:val="auto"/>
              </w:rPr>
              <w:t>69</w:t>
            </w:r>
          </w:p>
        </w:tc>
        <w:tc>
          <w:tcPr>
            <w:tcW w:w="2320" w:type="dxa"/>
            <w:vAlign w:val="bottom"/>
          </w:tcPr>
          <w:p>
            <w:pPr>
              <w:spacing w:after="0"/>
              <w:rPr>
                <w:sz w:val="24"/>
                <w:szCs w:val="24"/>
                <w:color w:val="auto"/>
              </w:rPr>
            </w:pPr>
          </w:p>
        </w:tc>
      </w:tr>
      <w:tr>
        <w:trPr>
          <w:trHeight w:val="115"/>
        </w:trPr>
        <w:tc>
          <w:tcPr>
            <w:tcW w:w="89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Clearside Biomedical,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balance sheets of Clearside Biomedical, Inc. (the Company) as of December 31, 2020 and 2019, and the related statements of operations,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9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9"/>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Current assets: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17,287</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22,595</w:t>
            </w:r>
          </w:p>
        </w:tc>
        <w:tc>
          <w:tcPr>
            <w:tcW w:w="120" w:type="dxa"/>
            <w:vAlign w:val="bottom"/>
            <w:shd w:val="clear" w:color="auto" w:fill="CFF0FC"/>
          </w:tcPr>
          <w:p>
            <w:pPr>
              <w:spacing w:after="0"/>
              <w:rPr>
                <w:sz w:val="19"/>
                <w:szCs w:val="19"/>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FF0FC"/>
          </w:tcPr>
          <w:p>
            <w:pPr>
              <w:spacing w:after="0"/>
              <w:rPr>
                <w:sz w:val="19"/>
                <w:szCs w:val="19"/>
                <w:color w:val="auto"/>
              </w:rPr>
            </w:pPr>
          </w:p>
        </w:tc>
      </w:tr>
      <w:tr>
        <w:trPr>
          <w:trHeight w:val="20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25,219</w:t>
            </w:r>
          </w:p>
        </w:tc>
        <w:tc>
          <w:tcPr>
            <w:tcW w:w="120" w:type="dxa"/>
            <w:vAlign w:val="bottom"/>
          </w:tcPr>
          <w:p>
            <w:pPr>
              <w:spacing w:after="0"/>
              <w:rPr>
                <w:sz w:val="17"/>
                <w:szCs w:val="17"/>
                <w:color w:val="auto"/>
              </w:rPr>
            </w:pPr>
          </w:p>
        </w:tc>
      </w:tr>
      <w:tr>
        <w:trPr>
          <w:trHeight w:val="219"/>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FF0FC"/>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Operating lease right-of-use asset</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r>
      <w:tr>
        <w:trPr>
          <w:trHeight w:val="247"/>
        </w:trPr>
        <w:tc>
          <w:tcPr>
            <w:tcW w:w="7900" w:type="dxa"/>
            <w:vAlign w:val="bottom"/>
          </w:tcPr>
          <w:p>
            <w:pPr>
              <w:spacing w:after="0"/>
              <w:rPr>
                <w:sz w:val="20"/>
                <w:szCs w:val="20"/>
                <w:color w:val="auto"/>
              </w:rPr>
            </w:pPr>
            <w:r>
              <w:rPr>
                <w:rFonts w:ascii="Arial" w:cs="Arial" w:eastAsia="Arial" w:hAnsi="Arial"/>
                <w:sz w:val="16"/>
                <w:szCs w:val="16"/>
                <w:color w:val="auto"/>
              </w:rPr>
              <w:t>Total assets</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19,322</w:t>
            </w:r>
          </w:p>
        </w:tc>
        <w:tc>
          <w:tcPr>
            <w:tcW w:w="160" w:type="dxa"/>
            <w:vAlign w:val="bottom"/>
          </w:tcPr>
          <w:p>
            <w:pPr>
              <w:spacing w:after="0"/>
              <w:rPr>
                <w:sz w:val="21"/>
                <w:szCs w:val="21"/>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26,776</w:t>
            </w:r>
          </w:p>
        </w:tc>
        <w:tc>
          <w:tcPr>
            <w:tcW w:w="120" w:type="dxa"/>
            <w:vAlign w:val="bottom"/>
          </w:tcPr>
          <w:p>
            <w:pPr>
              <w:spacing w:after="0"/>
              <w:rPr>
                <w:sz w:val="21"/>
                <w:szCs w:val="21"/>
                <w:color w:val="auto"/>
              </w:rPr>
            </w:pPr>
          </w:p>
        </w:tc>
      </w:tr>
      <w:tr>
        <w:trPr>
          <w:trHeight w:val="199"/>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Current liabilities: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FF0FC"/>
          </w:tcPr>
          <w:p>
            <w:pPr>
              <w:spacing w:after="0"/>
              <w:rPr>
                <w:sz w:val="19"/>
                <w:szCs w:val="19"/>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120" w:type="dxa"/>
            <w:vAlign w:val="bottom"/>
            <w:shd w:val="clear" w:color="auto" w:fill="CFF0FC"/>
          </w:tcPr>
          <w:p>
            <w:pPr>
              <w:spacing w:after="0"/>
              <w:rPr>
                <w:sz w:val="19"/>
                <w:szCs w:val="19"/>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9"/>
                <w:szCs w:val="19"/>
                <w:color w:val="auto"/>
              </w:rPr>
            </w:pPr>
          </w:p>
        </w:tc>
      </w:tr>
      <w:tr>
        <w:trPr>
          <w:trHeight w:val="20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10,903</w:t>
            </w:r>
          </w:p>
        </w:tc>
        <w:tc>
          <w:tcPr>
            <w:tcW w:w="120" w:type="dxa"/>
            <w:vAlign w:val="bottom"/>
          </w:tcPr>
          <w:p>
            <w:pPr>
              <w:spacing w:after="0"/>
              <w:rPr>
                <w:sz w:val="17"/>
                <w:szCs w:val="17"/>
                <w:color w:val="auto"/>
              </w:rPr>
            </w:pPr>
          </w:p>
        </w:tc>
      </w:tr>
      <w:tr>
        <w:trPr>
          <w:trHeight w:val="219"/>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3,819</w:t>
            </w:r>
          </w:p>
        </w:tc>
        <w:tc>
          <w:tcPr>
            <w:tcW w:w="120" w:type="dxa"/>
            <w:vAlign w:val="bottom"/>
            <w:shd w:val="clear" w:color="auto" w:fill="CFF0FC"/>
          </w:tcPr>
          <w:p>
            <w:pPr>
              <w:spacing w:after="0"/>
              <w:rPr>
                <w:sz w:val="19"/>
                <w:szCs w:val="19"/>
                <w:color w:val="auto"/>
              </w:rPr>
            </w:pPr>
          </w:p>
        </w:tc>
      </w:tr>
      <w:tr>
        <w:trPr>
          <w:trHeight w:val="213"/>
        </w:trPr>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Operating lease liabilities</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FF0FC"/>
            </w:tcBorders>
          </w:tcPr>
          <w:p>
            <w:pPr>
              <w:spacing w:after="0"/>
              <w:rPr>
                <w:sz w:val="18"/>
                <w:szCs w:val="18"/>
                <w:color w:val="auto"/>
              </w:rPr>
            </w:pPr>
          </w:p>
        </w:tc>
      </w:tr>
      <w:tr>
        <w:trPr>
          <w:trHeight w:val="213"/>
        </w:trPr>
        <w:tc>
          <w:tcPr>
            <w:tcW w:w="79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15,619</w:t>
            </w:r>
          </w:p>
        </w:tc>
        <w:tc>
          <w:tcPr>
            <w:tcW w:w="120" w:type="dxa"/>
            <w:vAlign w:val="bottom"/>
            <w:shd w:val="clear" w:color="auto" w:fill="CFF0FC"/>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790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7900" w:type="dxa"/>
            <w:vAlign w:val="bottom"/>
          </w:tcPr>
          <w:p>
            <w:pPr>
              <w:ind w:left="380"/>
              <w:spacing w:after="0"/>
              <w:rPr>
                <w:sz w:val="20"/>
                <w:szCs w:val="20"/>
                <w:color w:val="auto"/>
              </w:rPr>
            </w:pPr>
            <w:r>
              <w:rPr>
                <w:rFonts w:ascii="Arial" w:cs="Arial" w:eastAsia="Arial" w:hAnsi="Arial"/>
                <w:sz w:val="16"/>
                <w:szCs w:val="16"/>
                <w:color w:val="auto"/>
              </w:rPr>
              <w:t>December 31, 2020 and 2019</w:t>
            </w:r>
          </w:p>
        </w:tc>
        <w:tc>
          <w:tcPr>
            <w:tcW w:w="8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December 31, 2020 and 2019;</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51,860,941 and 44,413,372 shares issued and outstanding at December 31, 2020 and 2019,</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8"/>
                <w:szCs w:val="18"/>
                <w:color w:val="auto"/>
              </w:rPr>
            </w:pPr>
          </w:p>
        </w:tc>
      </w:tr>
      <w:tr>
        <w:trPr>
          <w:trHeight w:val="213"/>
        </w:trPr>
        <w:tc>
          <w:tcPr>
            <w:tcW w:w="79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264,578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248,770</w:t>
            </w:r>
          </w:p>
        </w:tc>
        <w:tc>
          <w:tcPr>
            <w:tcW w:w="120" w:type="dxa"/>
            <w:vAlign w:val="bottom"/>
          </w:tcPr>
          <w:p>
            <w:pPr>
              <w:spacing w:after="0"/>
              <w:rPr>
                <w:sz w:val="18"/>
                <w:szCs w:val="18"/>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(255,867)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(237,657)</w:t>
            </w:r>
          </w:p>
        </w:tc>
      </w:tr>
      <w:tr>
        <w:trPr>
          <w:trHeight w:val="206"/>
        </w:trPr>
        <w:tc>
          <w:tcPr>
            <w:tcW w:w="790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Total stockholders’ equity</w:t>
            </w:r>
          </w:p>
        </w:tc>
        <w:tc>
          <w:tcPr>
            <w:tcW w:w="8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11,157</w:t>
            </w:r>
          </w:p>
        </w:tc>
        <w:tc>
          <w:tcPr>
            <w:tcW w:w="120" w:type="dxa"/>
            <w:vAlign w:val="bottom"/>
            <w:tcBorders>
              <w:bottom w:val="single" w:sz="8" w:color="CFF0FC"/>
            </w:tcBorders>
          </w:tcPr>
          <w:p>
            <w:pPr>
              <w:spacing w:after="0"/>
              <w:rPr>
                <w:sz w:val="17"/>
                <w:szCs w:val="17"/>
                <w:color w:val="auto"/>
              </w:rPr>
            </w:pPr>
          </w:p>
        </w:tc>
      </w:tr>
      <w:tr>
        <w:trPr>
          <w:trHeight w:val="210"/>
        </w:trPr>
        <w:tc>
          <w:tcPr>
            <w:tcW w:w="79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19,322</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26,776</w:t>
            </w:r>
          </w:p>
        </w:tc>
        <w:tc>
          <w:tcPr>
            <w:tcW w:w="120" w:type="dxa"/>
            <w:vAlign w:val="bottom"/>
            <w:shd w:val="clear" w:color="auto" w:fill="CFF0FC"/>
          </w:tcPr>
          <w:p>
            <w:pPr>
              <w:spacing w:after="0"/>
              <w:rPr>
                <w:sz w:val="18"/>
                <w:szCs w:val="18"/>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4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(30,770)</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46,506,540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38,170,830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7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w w:val="97"/>
              </w:rPr>
              <w:t>Accumulated</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37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7"/>
              </w:rPr>
              <w:t>Paid-In-Capital</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r>
      <w:tr>
        <w:trPr>
          <w:trHeight w:val="209"/>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2017</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25,354,651</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145,618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(124,220)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21,415</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Cumulative effect of accounting change</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8"/>
                <w:szCs w:val="18"/>
                <w:color w:val="auto"/>
              </w:rPr>
            </w:pPr>
          </w:p>
        </w:tc>
      </w:tr>
      <w:tr>
        <w:trPr>
          <w:trHeight w:val="19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follow-on offering</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6,548,712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79,564</w:t>
            </w:r>
          </w:p>
        </w:tc>
        <w:tc>
          <w:tcPr>
            <w:tcW w:w="120" w:type="dxa"/>
            <w:vAlign w:val="bottom"/>
            <w:shd w:val="clear" w:color="auto" w:fill="CFF0FC"/>
          </w:tcPr>
          <w:p>
            <w:pPr>
              <w:spacing w:after="0"/>
              <w:rPr>
                <w:sz w:val="19"/>
                <w:szCs w:val="19"/>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700" w:type="dxa"/>
            <w:vAlign w:val="bottom"/>
          </w:tcPr>
          <w:p>
            <w:pPr>
              <w:ind w:left="140"/>
              <w:spacing w:after="0"/>
              <w:rPr>
                <w:sz w:val="20"/>
                <w:szCs w:val="20"/>
                <w:color w:val="auto"/>
              </w:rPr>
            </w:pPr>
            <w:r>
              <w:rPr>
                <w:rFonts w:ascii="Arial" w:cs="Arial" w:eastAsia="Arial" w:hAnsi="Arial"/>
                <w:sz w:val="17"/>
                <w:szCs w:val="17"/>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7"/>
                <w:szCs w:val="17"/>
                <w:color w:val="auto"/>
              </w:rPr>
              <w:t>12,595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r>
      <w:tr>
        <w:trPr>
          <w:trHeight w:val="21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203,269</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4,785</w:t>
            </w:r>
          </w:p>
        </w:tc>
        <w:tc>
          <w:tcPr>
            <w:tcW w:w="12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3"/>
              <w:spacing w:after="0"/>
              <w:rPr>
                <w:sz w:val="20"/>
                <w:szCs w:val="20"/>
                <w:color w:val="auto"/>
              </w:rPr>
            </w:pPr>
            <w:r>
              <w:rPr>
                <w:rFonts w:ascii="Arial" w:cs="Arial" w:eastAsia="Arial" w:hAnsi="Arial"/>
                <w:sz w:val="17"/>
                <w:szCs w:val="17"/>
                <w:color w:val="auto"/>
              </w:rPr>
              <w:t>(82,818)</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(82,818)</w:t>
            </w: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Balance at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32,119,227</w:t>
            </w: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32</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230,475</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(206,887)</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23,620</w:t>
            </w:r>
          </w:p>
        </w:tc>
        <w:tc>
          <w:tcPr>
            <w:tcW w:w="120" w:type="dxa"/>
            <w:vAlign w:val="bottom"/>
          </w:tcPr>
          <w:p>
            <w:pPr>
              <w:spacing w:after="0"/>
              <w:rPr>
                <w:sz w:val="18"/>
                <w:szCs w:val="18"/>
                <w:color w:val="auto"/>
              </w:rPr>
            </w:pPr>
          </w:p>
        </w:tc>
      </w:tr>
      <w:tr>
        <w:trPr>
          <w:trHeight w:val="19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at-the-market sales agreement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8,976,940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10,319</w:t>
            </w:r>
          </w:p>
        </w:tc>
        <w:tc>
          <w:tcPr>
            <w:tcW w:w="120" w:type="dxa"/>
            <w:vAlign w:val="bottom"/>
            <w:shd w:val="clear" w:color="auto" w:fill="CFF0FC"/>
          </w:tcPr>
          <w:p>
            <w:pPr>
              <w:spacing w:after="0"/>
              <w:rPr>
                <w:sz w:val="19"/>
                <w:szCs w:val="19"/>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700" w:type="dxa"/>
            <w:vAlign w:val="bottom"/>
          </w:tcPr>
          <w:p>
            <w:pPr>
              <w:ind w:left="140"/>
              <w:spacing w:after="0"/>
              <w:rPr>
                <w:sz w:val="20"/>
                <w:szCs w:val="20"/>
                <w:color w:val="auto"/>
              </w:rPr>
            </w:pPr>
            <w:r>
              <w:rPr>
                <w:rFonts w:ascii="Arial" w:cs="Arial" w:eastAsia="Arial" w:hAnsi="Arial"/>
                <w:sz w:val="17"/>
                <w:szCs w:val="17"/>
                <w:color w:val="auto"/>
              </w:rPr>
              <w:t>private placement</w:t>
            </w:r>
          </w:p>
        </w:tc>
        <w:tc>
          <w:tcPr>
            <w:tcW w:w="920" w:type="dxa"/>
            <w:vAlign w:val="bottom"/>
          </w:tcPr>
          <w:p>
            <w:pPr>
              <w:jc w:val="right"/>
              <w:spacing w:after="0"/>
              <w:rPr>
                <w:sz w:val="20"/>
                <w:szCs w:val="20"/>
                <w:color w:val="auto"/>
              </w:rPr>
            </w:pPr>
            <w:r>
              <w:rPr>
                <w:rFonts w:ascii="Arial" w:cs="Arial" w:eastAsia="Arial" w:hAnsi="Arial"/>
                <w:sz w:val="17"/>
                <w:szCs w:val="17"/>
                <w:color w:val="auto"/>
              </w:rPr>
              <w:t>3,178,367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3,324</w:t>
            </w:r>
          </w:p>
        </w:tc>
        <w:tc>
          <w:tcPr>
            <w:tcW w:w="120" w:type="dxa"/>
            <w:vAlign w:val="bottom"/>
          </w:tcPr>
          <w:p>
            <w:pPr>
              <w:spacing w:after="0"/>
              <w:rPr>
                <w:sz w:val="18"/>
                <w:szCs w:val="18"/>
                <w:color w:val="auto"/>
              </w:rPr>
            </w:pPr>
          </w:p>
        </w:tc>
      </w:tr>
      <w:tr>
        <w:trPr>
          <w:trHeight w:val="20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52,476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FF0FC"/>
          </w:tcPr>
          <w:p>
            <w:pPr>
              <w:spacing w:after="0"/>
              <w:rPr>
                <w:sz w:val="19"/>
                <w:szCs w:val="19"/>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7"/>
                <w:szCs w:val="17"/>
                <w:color w:val="auto"/>
              </w:rPr>
              <w:t>16,362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r>
      <w:tr>
        <w:trPr>
          <w:trHeight w:val="19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Vesting and settlement of restricted</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70,000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4,612</w:t>
            </w:r>
          </w:p>
        </w:tc>
        <w:tc>
          <w:tcPr>
            <w:tcW w:w="12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3"/>
              <w:spacing w:after="0"/>
              <w:rPr>
                <w:sz w:val="20"/>
                <w:szCs w:val="20"/>
                <w:color w:val="auto"/>
              </w:rPr>
            </w:pPr>
            <w:r>
              <w:rPr>
                <w:rFonts w:ascii="Arial" w:cs="Arial" w:eastAsia="Arial" w:hAnsi="Arial"/>
                <w:sz w:val="17"/>
                <w:szCs w:val="17"/>
                <w:color w:val="auto"/>
              </w:rPr>
              <w:t>(30,770)</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(30,770)</w:t>
            </w: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Balance at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44,413,372</w:t>
            </w: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44</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248,770</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(237,657)</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11,157</w:t>
            </w:r>
          </w:p>
        </w:tc>
        <w:tc>
          <w:tcPr>
            <w:tcW w:w="120" w:type="dxa"/>
            <w:vAlign w:val="bottom"/>
          </w:tcPr>
          <w:p>
            <w:pPr>
              <w:spacing w:after="0"/>
              <w:rPr>
                <w:sz w:val="18"/>
                <w:szCs w:val="18"/>
                <w:color w:val="auto"/>
              </w:rPr>
            </w:pPr>
          </w:p>
        </w:tc>
      </w:tr>
      <w:tr>
        <w:trPr>
          <w:trHeight w:val="19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at-the-market sales agreement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6,176,415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11,958</w:t>
            </w:r>
          </w:p>
        </w:tc>
        <w:tc>
          <w:tcPr>
            <w:tcW w:w="120" w:type="dxa"/>
            <w:vAlign w:val="bottom"/>
            <w:shd w:val="clear" w:color="auto" w:fill="CFF0FC"/>
          </w:tcPr>
          <w:p>
            <w:pPr>
              <w:spacing w:after="0"/>
              <w:rPr>
                <w:sz w:val="19"/>
                <w:szCs w:val="19"/>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Issuance of common shares under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700" w:type="dxa"/>
            <w:vAlign w:val="bottom"/>
          </w:tcPr>
          <w:p>
            <w:pPr>
              <w:ind w:left="140"/>
              <w:spacing w:after="0"/>
              <w:rPr>
                <w:sz w:val="20"/>
                <w:szCs w:val="20"/>
                <w:color w:val="auto"/>
              </w:rPr>
            </w:pPr>
            <w:r>
              <w:rPr>
                <w:rFonts w:ascii="Arial" w:cs="Arial" w:eastAsia="Arial" w:hAnsi="Arial"/>
                <w:sz w:val="17"/>
                <w:szCs w:val="17"/>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7"/>
                <w:szCs w:val="17"/>
                <w:color w:val="auto"/>
              </w:rPr>
              <w:t>35,359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r>
      <w:tr>
        <w:trPr>
          <w:trHeight w:val="21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254,466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FF0FC"/>
          </w:tcPr>
          <w:p>
            <w:pPr>
              <w:spacing w:after="0"/>
              <w:rPr>
                <w:sz w:val="18"/>
                <w:szCs w:val="18"/>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Vesting and settlement of restricted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700" w:type="dxa"/>
            <w:vAlign w:val="bottom"/>
          </w:tcPr>
          <w:p>
            <w:pPr>
              <w:ind w:left="140"/>
              <w:spacing w:after="0"/>
              <w:rPr>
                <w:sz w:val="20"/>
                <w:szCs w:val="20"/>
                <w:color w:val="auto"/>
              </w:rPr>
            </w:pPr>
            <w:r>
              <w:rPr>
                <w:rFonts w:ascii="Arial" w:cs="Arial" w:eastAsia="Arial" w:hAnsi="Arial"/>
                <w:sz w:val="17"/>
                <w:szCs w:val="17"/>
                <w:color w:val="auto"/>
              </w:rPr>
              <w:t>stock units</w:t>
            </w:r>
          </w:p>
        </w:tc>
        <w:tc>
          <w:tcPr>
            <w:tcW w:w="920" w:type="dxa"/>
            <w:vAlign w:val="bottom"/>
          </w:tcPr>
          <w:p>
            <w:pPr>
              <w:jc w:val="right"/>
              <w:spacing w:after="0"/>
              <w:rPr>
                <w:sz w:val="20"/>
                <w:szCs w:val="20"/>
                <w:color w:val="auto"/>
              </w:rPr>
            </w:pPr>
            <w:r>
              <w:rPr>
                <w:rFonts w:ascii="Arial" w:cs="Arial" w:eastAsia="Arial" w:hAnsi="Arial"/>
                <w:sz w:val="17"/>
                <w:szCs w:val="17"/>
                <w:color w:val="auto"/>
              </w:rPr>
              <w:t>981,329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8"/>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3,600</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(18,210)</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(18,210)</w:t>
            </w:r>
          </w:p>
        </w:tc>
      </w:tr>
      <w:tr>
        <w:trPr>
          <w:trHeight w:val="209"/>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51,860,941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52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264,578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(255,867</w:t>
            </w:r>
          </w:p>
        </w:tc>
        <w:tc>
          <w:tcPr>
            <w:tcW w:w="240" w:type="dxa"/>
            <w:vAlign w:val="bottom"/>
            <w:tcBorders>
              <w:top w:val="single" w:sz="8" w:color="CFF0FC"/>
              <w:bottom w:val="single" w:sz="8" w:color="CFF0FC"/>
            </w:tcBorders>
            <w:shd w:val="clear" w:color="auto" w:fill="CFF0FC"/>
          </w:tcPr>
          <w:p>
            <w:pPr>
              <w:jc w:val="right"/>
              <w:ind w:right="163"/>
              <w:spacing w:after="0"/>
              <w:rPr>
                <w:sz w:val="20"/>
                <w:szCs w:val="20"/>
                <w:color w:val="auto"/>
              </w:rPr>
            </w:pPr>
            <w:r>
              <w:rPr>
                <w:rFonts w:ascii="Arial" w:cs="Arial" w:eastAsia="Arial" w:hAnsi="Arial"/>
                <w:sz w:val="7"/>
                <w:szCs w:val="7"/>
                <w:color w:val="auto"/>
                <w:w w:val="83"/>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9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(18,210)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(30,770)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(82,818)</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Loss on disposal of fixed assets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r>
      <w:tr>
        <w:trPr>
          <w:trHeight w:val="229"/>
        </w:trPr>
        <w:tc>
          <w:tcPr>
            <w:tcW w:w="59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(505)</w:t>
            </w:r>
          </w:p>
        </w:tc>
      </w:tr>
      <w:tr>
        <w:trPr>
          <w:trHeight w:val="229"/>
        </w:trPr>
        <w:tc>
          <w:tcPr>
            <w:tcW w:w="5960" w:type="dxa"/>
            <w:vAlign w:val="bottom"/>
          </w:tcPr>
          <w:p>
            <w:pPr>
              <w:ind w:left="500"/>
              <w:spacing w:after="0"/>
              <w:rPr>
                <w:sz w:val="20"/>
                <w:szCs w:val="20"/>
                <w:color w:val="auto"/>
              </w:rPr>
            </w:pPr>
            <w:r>
              <w:rPr>
                <w:rFonts w:ascii="Arial" w:cs="Arial" w:eastAsia="Arial" w:hAnsi="Arial"/>
                <w:sz w:val="18"/>
                <w:szCs w:val="18"/>
                <w:color w:val="auto"/>
              </w:rPr>
              <w:t>Other assets and liabilities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(5,582)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w:t>
            </w:r>
          </w:p>
        </w:tc>
      </w:tr>
      <w:tr>
        <w:trPr>
          <w:trHeight w:val="229"/>
        </w:trPr>
        <w:tc>
          <w:tcPr>
            <w:tcW w:w="59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available-for-sale-investments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(80,142)</w:t>
            </w: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32,925</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private placement, net of issuance costs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follow-on offering, net of issuance costs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79,564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long-term debt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Principal payments made on long-term debt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(8,300)</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00" w:type="dxa"/>
            <w:vAlign w:val="bottom"/>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paid</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257"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Borders>
              <w:bottom w:val="single" w:sz="8" w:color="CFF0FC"/>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17,287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17,647</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targeting the suprachoroidal space offers unique access to the macula, retina and choroid where sight-threatening disease often occurs. This suprachoroidal space injection platform is an inherently flexible, in-office, non-surgical procedure, intended to provide targeted delivery to the site of disease and to work with both established and new formulations of medications, as well as future therapeutic innovations such as gene therapy. Incorporated in the State of Delaware on May 26, 2011, the Company has its corporate headquarters in Alpharetta, Georgia.</w:t>
      </w:r>
    </w:p>
    <w:p>
      <w:pPr>
        <w:spacing w:after="0" w:line="19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80" w:firstLine="562"/>
        <w:spacing w:after="0" w:line="301" w:lineRule="auto"/>
        <w:rPr>
          <w:sz w:val="20"/>
          <w:szCs w:val="20"/>
          <w:color w:val="auto"/>
        </w:rPr>
      </w:pPr>
      <w:r>
        <w:rPr>
          <w:rFonts w:ascii="Arial" w:cs="Arial" w:eastAsia="Arial" w:hAnsi="Arial"/>
          <w:sz w:val="16"/>
          <w:szCs w:val="16"/>
          <w:color w:val="auto"/>
        </w:rPr>
        <w:t>The Company had cash and cash equivalents of $17.3 million as of December 31, 2020. 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In addition, subsequent to December 31, 2020, the Company sold 1.2 million shares of its common stock for net proceeds of $3.3 million under its at-the-market agreement with Cowen and Company, LLC.</w:t>
      </w:r>
    </w:p>
    <w:p>
      <w:pPr>
        <w:spacing w:after="0" w:line="157" w:lineRule="exact"/>
        <w:rPr>
          <w:sz w:val="20"/>
          <w:szCs w:val="20"/>
          <w:color w:val="auto"/>
        </w:rPr>
      </w:pPr>
    </w:p>
    <w:p>
      <w:pPr>
        <w:ind w:right="140" w:firstLine="562"/>
        <w:spacing w:after="0" w:line="273" w:lineRule="auto"/>
        <w:rPr>
          <w:sz w:val="20"/>
          <w:szCs w:val="20"/>
          <w:color w:val="auto"/>
        </w:rPr>
      </w:pPr>
      <w:r>
        <w:rPr>
          <w:rFonts w:ascii="Arial" w:cs="Arial" w:eastAsia="Arial" w:hAnsi="Arial"/>
          <w:sz w:val="17"/>
          <w:szCs w:val="17"/>
          <w:color w:val="auto"/>
        </w:rPr>
        <w:t>The Company has funded its operations primarily through the sale of convertible preferred stock and common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additional financing to prepare for the potential commercialization of its product candidates, if the Company decides to commercialize the products on its own.</w:t>
      </w:r>
    </w:p>
    <w:p>
      <w:pPr>
        <w:spacing w:after="0" w:line="17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has suffered recurring losses and negative cash flows from operations since inception and anticipates incurring additional losses until such time, if ever, that it can obtain FDA approval to sell, and then generate significant revenue from commercializing its lead product candidate, XIPERE (triamcinolone acetonide suprachoroidal injectable suspension formulated for administration to the back of the eye), with its licensees. In the absence of product or other revenues, the amount, timing, nature or source of which cannot be predicted, the Company’s losses will continue as it conducts its research and development activities.</w:t>
      </w:r>
    </w:p>
    <w:p>
      <w:pPr>
        <w:spacing w:after="0" w:line="18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within one year after the date the financial statements are issued. Based on its current plans and forecasted expenses, the Company expect that its cash and cash equivalents as of the filing date, March 15, 2021, will enable it to fund its planned operating expenses and capital expenditure requirements into the first quarter of 2022. This estimate does not give effect to additional development milestone payments the Company might receive under the agreements with Bausch, REGENXBIO or Arctic Vision or in connection with any other potential license or collaboration agreement for XIPERE or any future product candidates. The Company has based this estimate on assumptions that may prove to be wrong, and it could exhaust its capital resources sooner than expected.</w:t>
      </w:r>
    </w:p>
    <w:p>
      <w:pPr>
        <w:spacing w:after="0" w:line="5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1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The COVID-19 pandemic is expected to continue to result in a global slowdown of economic activity.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it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166" w:lineRule="exact"/>
        <w:rPr>
          <w:sz w:val="20"/>
          <w:szCs w:val="20"/>
          <w:color w:val="auto"/>
        </w:rPr>
      </w:pPr>
    </w:p>
    <w:p>
      <w:pPr>
        <w:ind w:right="320" w:firstLine="578"/>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All debt discounts are recorded against the related debt obligation and are amortized using the effective interest rate method over the term of the underlying debt obligation and reflected in interest expense.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2020. Due to its history of operating losses since inception and losses expected to be incurred in the foreseeable future, a full valuation allowance was considered necessary.</w:t>
      </w:r>
    </w:p>
    <w:p>
      <w:pPr>
        <w:spacing w:after="0" w:line="1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estimating and measuring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00" w:right="6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Costs for certain development activities, such as clinical studies,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2020, the restricted cash balance was invested in a commercial money market account. The current portion of the restricted cash is recorded in other current assets and the long-term portion is recorded in restricted cash.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 xml:space="preserve">In August 2018, the FASB issued Accounting Standards Update (“ASU”) 2018-13, </w:t>
      </w:r>
      <w:r>
        <w:rPr>
          <w:rFonts w:ascii="Arial" w:cs="Arial" w:eastAsia="Arial" w:hAnsi="Arial"/>
          <w:sz w:val="18"/>
          <w:szCs w:val="18"/>
          <w:i w:val="1"/>
          <w:iCs w:val="1"/>
          <w:color w:val="auto"/>
        </w:rPr>
        <w:t>Fair Value Measurement (Topic 820-10):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Fair Value Measurement </w:t>
      </w:r>
      <w:r>
        <w:rPr>
          <w:rFonts w:ascii="Arial" w:cs="Arial" w:eastAsia="Arial" w:hAnsi="Arial"/>
          <w:sz w:val="18"/>
          <w:szCs w:val="18"/>
          <w:color w:val="auto"/>
        </w:rPr>
        <w:t>(“ASU 2018-13”), which changes the fair value measurement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Under this ASU, certain disclosure requirements for fair value measurements are eliminated, amended or added. These changes aim to improve the overall usefulness of disclosures to financial statement users and reduce unnecessary costs to companies when preparing the disclosures. The Company adopted ASU 2018-13 on January 1, 2020, and the adoption did not have a material impact on its financial statements and disclosures.</w:t>
      </w:r>
    </w:p>
    <w:p>
      <w:pPr>
        <w:spacing w:after="0" w:line="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and recognition of expected credit losses for financial assets held at amortized cost,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ASU 2016-13 replaces the existing incurred loss impairment model with an expected loss model that requires the use of forward-looking information to calculate credit loss estimates. The Company adopted ASU 2016-13 on January 1, 2020, and the adoption did not have a material impact on its financial statements and related disclosures.</w:t>
      </w:r>
    </w:p>
    <w:p>
      <w:pPr>
        <w:spacing w:after="0" w:line="188" w:lineRule="exact"/>
        <w:rPr>
          <w:sz w:val="20"/>
          <w:szCs w:val="20"/>
          <w:color w:val="auto"/>
        </w:rPr>
      </w:pPr>
    </w:p>
    <w:p>
      <w:pPr>
        <w:ind w:firstLine="562"/>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guidance is effective for the Company beginning on January 1, 2021 and prescribes different transition methods for the various provisions. The Company does not expect the adoption of ASU 2019-12 to have a material impact on its financial statements and related disclosures.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5"/>
              </w:rPr>
              <w:t>Estimated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2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7"/>
            <w:vMerge w:val="restart"/>
          </w:tcPr>
          <w:p>
            <w:pPr>
              <w:jc w:val="right"/>
              <w:ind w:right="8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74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gridSpan w:val="4"/>
          </w:tcPr>
          <w:p>
            <w:pPr>
              <w:jc w:val="right"/>
              <w:ind w:right="32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2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79"/>
              </w:rPr>
              <w:t>5</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20" w:type="dxa"/>
            <w:vAlign w:val="bottom"/>
          </w:tcPr>
          <w:p>
            <w:pPr>
              <w:jc w:val="center"/>
              <w:ind w:left="415"/>
              <w:spacing w:after="0"/>
              <w:rPr>
                <w:sz w:val="20"/>
                <w:szCs w:val="20"/>
                <w:color w:val="auto"/>
              </w:rPr>
            </w:pPr>
            <w:r>
              <w:rPr>
                <w:rFonts w:ascii="Arial" w:cs="Arial" w:eastAsia="Arial" w:hAnsi="Arial"/>
                <w:sz w:val="18"/>
                <w:szCs w:val="18"/>
                <w:color w:val="auto"/>
                <w:w w:val="79"/>
              </w:rPr>
              <w:t>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2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79"/>
              </w:rPr>
              <w:t>3</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20" w:type="dxa"/>
            <w:vAlign w:val="bottom"/>
            <w:gridSpan w:val="2"/>
          </w:tcPr>
          <w:p>
            <w:pPr>
              <w:jc w:val="center"/>
              <w:ind w:left="15"/>
              <w:spacing w:after="0"/>
              <w:rPr>
                <w:sz w:val="20"/>
                <w:szCs w:val="20"/>
                <w:color w:val="auto"/>
              </w:rPr>
            </w:pPr>
            <w:r>
              <w:rPr>
                <w:rFonts w:ascii="Arial" w:cs="Arial" w:eastAsia="Arial" w:hAnsi="Arial"/>
                <w:sz w:val="18"/>
                <w:szCs w:val="18"/>
                <w:color w:val="auto"/>
                <w:w w:val="91"/>
              </w:rPr>
              <w:t>Lesser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20" w:type="dxa"/>
            <w:vAlign w:val="bottom"/>
            <w:gridSpan w:val="2"/>
          </w:tcPr>
          <w:p>
            <w:pPr>
              <w:jc w:val="center"/>
              <w:ind w:left="15"/>
              <w:spacing w:after="0"/>
              <w:rPr>
                <w:sz w:val="20"/>
                <w:szCs w:val="20"/>
                <w:color w:val="auto"/>
              </w:rPr>
            </w:pPr>
            <w:r>
              <w:rPr>
                <w:rFonts w:ascii="Arial" w:cs="Arial" w:eastAsia="Arial" w:hAnsi="Arial"/>
                <w:sz w:val="18"/>
                <w:szCs w:val="18"/>
                <w:color w:val="auto"/>
                <w:w w:val="94"/>
              </w:rPr>
              <w:t>useful life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20" w:type="dxa"/>
            <w:vAlign w:val="bottom"/>
            <w:gridSpan w:val="2"/>
          </w:tcPr>
          <w:p>
            <w:pPr>
              <w:jc w:val="center"/>
              <w:ind w:left="15"/>
              <w:spacing w:after="0"/>
              <w:rPr>
                <w:sz w:val="20"/>
                <w:szCs w:val="20"/>
                <w:color w:val="auto"/>
              </w:rPr>
            </w:pPr>
            <w:r>
              <w:rPr>
                <w:rFonts w:ascii="Arial" w:cs="Arial" w:eastAsia="Arial" w:hAnsi="Arial"/>
                <w:sz w:val="18"/>
                <w:szCs w:val="18"/>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ind w:left="1140"/>
              <w:spacing w:after="0"/>
              <w:rPr>
                <w:sz w:val="20"/>
                <w:szCs w:val="20"/>
                <w:color w:val="auto"/>
              </w:rPr>
            </w:pPr>
            <w:r>
              <w:rPr>
                <w:rFonts w:ascii="Arial" w:cs="Arial" w:eastAsia="Arial" w:hAnsi="Arial"/>
                <w:sz w:val="18"/>
                <w:szCs w:val="18"/>
                <w:color w:val="auto"/>
              </w:rPr>
              <w:t>Leasehold improvements</w:t>
            </w:r>
          </w:p>
        </w:tc>
        <w:tc>
          <w:tcPr>
            <w:tcW w:w="1020" w:type="dxa"/>
            <w:vAlign w:val="bottom"/>
            <w:gridSpan w:val="2"/>
          </w:tcPr>
          <w:p>
            <w:pPr>
              <w:jc w:val="center"/>
              <w:ind w:left="15"/>
              <w:spacing w:after="0"/>
              <w:rPr>
                <w:sz w:val="20"/>
                <w:szCs w:val="20"/>
                <w:color w:val="auto"/>
              </w:rPr>
            </w:pPr>
            <w:r>
              <w:rPr>
                <w:rFonts w:ascii="Arial" w:cs="Arial" w:eastAsia="Arial" w:hAnsi="Arial"/>
                <w:sz w:val="18"/>
                <w:szCs w:val="18"/>
                <w:color w:val="auto"/>
                <w:w w:val="85"/>
              </w:rPr>
              <w:t>lease term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6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4"/>
          </w:tcPr>
          <w:p>
            <w:pPr>
              <w:jc w:val="right"/>
              <w:ind w:right="88"/>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4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344"/>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0" w:type="dxa"/>
            <w:vAlign w:val="bottom"/>
            <w:gridSpan w:val="2"/>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employee costs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w:t>
            </w:r>
          </w:p>
        </w:tc>
        <w:tc>
          <w:tcPr>
            <w:tcW w:w="6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1,582</w:t>
            </w:r>
          </w:p>
        </w:tc>
        <w:tc>
          <w:tcPr>
            <w:tcW w:w="200" w:type="dxa"/>
            <w:vAlign w:val="bottom"/>
            <w:gridSpan w:val="2"/>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2,930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May 14, 2018, the Company entered into a second amended and restated loan and security agreement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with Silicon Valley Bank (“SVB”), MidCap Funding III Trust and MidCap Financial Trust (together, “MidCap” and collectively with SVB, the “Lenders”).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provided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included, among other things, the ability of the Lenders to accelerate the payment of the term loan in the event of a material adverse change and restrictions on the Company’s ability to sell, assign, license, transfer or otherwise dispose of its assets, including intellectual property assets, without the prior written consent of the Lenders.</w:t>
      </w:r>
    </w:p>
    <w:p>
      <w:pPr>
        <w:spacing w:after="0" w:line="17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borrowed an initial tranche of $10.0 million on May 14, 2018, of which $7.0 million was used to repay all amounts outstanding under a prior loan agreement, including fees associated with the final payment. The prepayment fees were waived. Of the remaining $10.0 million available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the Company elected not to draw $5.0 million and the other $5.0 million was not available for draw.</w:t>
      </w:r>
    </w:p>
    <w:p>
      <w:pPr>
        <w:spacing w:after="0" w:line="165" w:lineRule="exact"/>
        <w:rPr>
          <w:sz w:val="20"/>
          <w:szCs w:val="20"/>
          <w:color w:val="auto"/>
        </w:rPr>
      </w:pPr>
    </w:p>
    <w:p>
      <w:pPr>
        <w:ind w:right="20" w:firstLine="562"/>
        <w:spacing w:after="0" w:line="254" w:lineRule="auto"/>
        <w:rPr>
          <w:sz w:val="20"/>
          <w:szCs w:val="20"/>
          <w:color w:val="auto"/>
        </w:rPr>
      </w:pPr>
      <w:r>
        <w:rPr>
          <w:rFonts w:ascii="Arial" w:cs="Arial" w:eastAsia="Arial" w:hAnsi="Arial"/>
          <w:sz w:val="18"/>
          <w:szCs w:val="18"/>
          <w:color w:val="auto"/>
        </w:rPr>
        <w:t>On October 18, 2019, the Company entered into an amendment to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provided for interest only payments through October 31, 2020, followed by consecutive equal monthly payments of principal and interest in arrears continuing through the maturity date of October 1, 2022. The Company had the option to prepay the outstanding balance in full, subject to a prepayment fee. A final payment of 5.50% of the aggregate borrowed amount was due at maturity of the loan on October 1, 2022,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upon the prepayment of the facility or the acceleration of amounts due under the facility as a result of an event of default. The term loans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were secured by substantially all of the Company’s assets.</w:t>
      </w:r>
    </w:p>
    <w:p>
      <w:pPr>
        <w:spacing w:after="0" w:line="7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On May 7, 2020, due to various restrictions and other limiting covenants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the Company prepaid in full the outstanding $5.0 million principal balance, plus $0.3 million reflecting the final payment fee and accrued interest. The prepayment fees were waived by the Lenders.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on the borrowings under the loan agreements described above was $147,000, $804,000 and $791,000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2019 and 2018, respectively. Accretion of the scheduled final payment was $59,000, $163,000 and $154,000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2019 and 2018, respectively. Accretion of the deferred closing costs was $129,000, $67,000 and $112,000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21"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On April 20, 2020, the Company entered into a loan agreement with SVB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was evidenced by a promissory note (the “Note”) containing the terms and conditions for repayment of the PPP Loan.</w:t>
      </w:r>
    </w:p>
    <w:p>
      <w:pPr>
        <w:spacing w:after="0" w:line="79" w:lineRule="exact"/>
        <w:rPr>
          <w:sz w:val="20"/>
          <w:szCs w:val="20"/>
          <w:color w:val="auto"/>
        </w:rPr>
      </w:pPr>
    </w:p>
    <w:p>
      <w:pPr>
        <w:ind w:right="160" w:firstLine="468"/>
        <w:spacing w:after="0" w:line="263" w:lineRule="auto"/>
        <w:rPr>
          <w:sz w:val="20"/>
          <w:szCs w:val="20"/>
          <w:color w:val="auto"/>
        </w:rPr>
      </w:pPr>
      <w:r>
        <w:rPr>
          <w:rFonts w:ascii="Arial" w:cs="Arial" w:eastAsia="Arial" w:hAnsi="Arial"/>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76" w:lineRule="exact"/>
        <w:rPr>
          <w:sz w:val="20"/>
          <w:szCs w:val="20"/>
          <w:color w:val="auto"/>
        </w:rPr>
      </w:pPr>
    </w:p>
    <w:p>
      <w:pPr>
        <w:ind w:firstLine="468"/>
        <w:spacing w:after="0" w:line="273" w:lineRule="auto"/>
        <w:rPr>
          <w:sz w:val="20"/>
          <w:szCs w:val="20"/>
          <w:color w:val="auto"/>
        </w:rPr>
      </w:pPr>
      <w:r>
        <w:rPr>
          <w:rFonts w:ascii="Arial" w:cs="Arial" w:eastAsia="Arial" w:hAnsi="Arial"/>
          <w:sz w:val="17"/>
          <w:szCs w:val="17"/>
          <w:color w:val="auto"/>
        </w:rPr>
        <w:t>The CARES Act and the PPP provided a mechanism for forgiveness of up to the full amount borrowed. Under the PPP, the Company could apply for forgiveness for all or a portion of the PPP Loan based on a formula that takes into account a number of factors, including the amount of loan proceeds used by the Company during the 24-week period after the loan origination for certain purposes, including payroll costs, interest on certain mortgage obligations, rent payments on certain leases, and certain qualified utility payments, provided that at least 60% of the loan amount has been used for eligible payroll costs; the employer maintaining or rehiring employees and maintaining salaries at certain levels; and other factors. Subject to the other requirements and limitations on loan forgiveness, only loan proceeds spent on payroll and other eligible costs qualified for forgiveness.</w:t>
      </w:r>
    </w:p>
    <w:p>
      <w:pPr>
        <w:spacing w:after="0" w:line="70"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 xml:space="preserve">As of December 31, 2020, the Company had recorded the $1.0 million principal balance of the PPP Loan in current portion of long-term debt on the balance sheet. On January 11, 2021, the Company was notified by the PPP Lender that the PPP Loan had been forgiven for the full amount borrowed under the PPP Loan as well as approximately $7,000 of accrued interest. In accordance with ASC 405-20,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 the income from the forgiveness of the amount borrowed amount and the accrued interest will be recognized in the statement of operations as a gain on loan extinguishment in the next reporting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and Common Stock</w:t>
      </w:r>
    </w:p>
    <w:p>
      <w:pPr>
        <w:spacing w:after="0" w:line="229" w:lineRule="exact"/>
        <w:rPr>
          <w:sz w:val="20"/>
          <w:szCs w:val="20"/>
          <w:color w:val="auto"/>
        </w:rPr>
      </w:pPr>
    </w:p>
    <w:p>
      <w:pPr>
        <w:ind w:right="600" w:firstLine="510"/>
        <w:spacing w:after="0" w:line="263" w:lineRule="auto"/>
        <w:rPr>
          <w:sz w:val="20"/>
          <w:szCs w:val="20"/>
          <w:color w:val="auto"/>
        </w:rPr>
      </w:pPr>
      <w:r>
        <w:rPr>
          <w:rFonts w:ascii="Arial" w:cs="Arial" w:eastAsia="Arial" w:hAnsi="Arial"/>
          <w:sz w:val="18"/>
          <w:szCs w:val="18"/>
          <w:color w:val="auto"/>
        </w:rPr>
        <w:t>The Company’s amended and restated certificate of incorporation authorizes the Company to issue 10,000,000 shares of $0.001 par value of preferred stock. As of December 31, 2020 and 2019, there were 10,000,000 shares of preferred stock authorized, none of which were issued and outstanding.</w:t>
      </w:r>
    </w:p>
    <w:p>
      <w:pPr>
        <w:spacing w:after="0" w:line="76"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Company to issue 100,000,000 shares of $0.001 par value common stock. As of December 31, 2020 and 2019, there were 51,860,941 and 44,413,372 shares of common stock outstanding,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w:t>
      </w:r>
    </w:p>
    <w:p>
      <w:pPr>
        <w:spacing w:after="0" w:line="229" w:lineRule="exact"/>
        <w:rPr>
          <w:sz w:val="20"/>
          <w:szCs w:val="20"/>
          <w:color w:val="auto"/>
        </w:rPr>
      </w:pPr>
    </w:p>
    <w:p>
      <w:pPr>
        <w:ind w:firstLine="464"/>
        <w:spacing w:after="0" w:line="311" w:lineRule="auto"/>
        <w:rPr>
          <w:sz w:val="20"/>
          <w:szCs w:val="20"/>
          <w:color w:val="auto"/>
        </w:rPr>
      </w:pPr>
      <w:r>
        <w:rPr>
          <w:rFonts w:ascii="Arial" w:cs="Arial" w:eastAsia="Arial" w:hAnsi="Arial"/>
          <w:sz w:val="16"/>
          <w:szCs w:val="16"/>
          <w:color w:val="auto"/>
        </w:rPr>
        <w:t>In September 2016, in connection with a loan agreement, the Company issued warrants to the lenders to purchase up to 29,796 shares of common stock at a price per share of $10.74. The warrants are fully exercisable and expire in September 2026, or earlier upon the occurrence of specified mergers or acquisitions of the Company. The warrants were recorded in equity at the time of issuance and had a remaining life of 5.75 years as of December 31, 2020.</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performance stock awards and other forms of stock compensation to the Company’s employees, directors, and non-employee third parties. The number of shares of common stock reserved for issuance under the 2016 Plan will automatically increase on January 1 each year, through January 1, 2026, by 4% of the total number of shares of the Company’s common stock outstanding on December 31 of the preceding calendar year, or a lesser number of shares as may be determined by the Company’s board of directors. At December 31, 2020, under the 2016 Plan, options to purchase 3,794,184 shares of the Company’s common stock were outstanding at a weighted average price of $4.09 per share and 1,068,601 shares remained available for future grant. As of January 1, 2021, the number of shares of common stock that may be issued under the 2016 Plan was automatically increased by 2,074,437 shares, representing 4% of the total number of shares of common stock outstanding on December 31, 2020, increasing the number of shares of common stock available for issuance under the 2016 Plan as of that date to 3,143,038 shares.</w:t>
      </w:r>
    </w:p>
    <w:p>
      <w:pPr>
        <w:spacing w:after="0" w:line="178"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2020, options to purchase 436,773 shares of the Company’s common stock were outstanding under the 2011 Plan at a weighted average exercise price of $2.53 per share.</w:t>
      </w:r>
    </w:p>
    <w:p>
      <w:pPr>
        <w:spacing w:after="0" w:line="149" w:lineRule="exact"/>
        <w:rPr>
          <w:sz w:val="20"/>
          <w:szCs w:val="20"/>
          <w:color w:val="auto"/>
        </w:rPr>
      </w:pPr>
    </w:p>
    <w:p>
      <w:pPr>
        <w:jc w:val="both"/>
        <w:ind w:right="160" w:firstLine="510"/>
        <w:spacing w:after="0" w:line="277" w:lineRule="auto"/>
        <w:rPr>
          <w:sz w:val="20"/>
          <w:szCs w:val="20"/>
          <w:color w:val="auto"/>
        </w:rPr>
      </w:pPr>
      <w:r>
        <w:rPr>
          <w:rFonts w:ascii="Arial" w:cs="Arial" w:eastAsia="Arial" w:hAnsi="Arial"/>
          <w:sz w:val="18"/>
          <w:szCs w:val="18"/>
          <w:color w:val="auto"/>
        </w:rPr>
        <w:t>The Company has granted stock option awards to employees, directors and consultants. The total share-based compensation expense recognized is reflected in the statements of operations as follows (in thousands):</w:t>
      </w:r>
    </w:p>
    <w:p>
      <w:pPr>
        <w:spacing w:after="0" w:line="18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15875</wp:posOffset>
            </wp:positionV>
            <wp:extent cx="2837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3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r>
      <w:tr>
        <w:trPr>
          <w:trHeight w:val="212"/>
        </w:trPr>
        <w:tc>
          <w:tcPr>
            <w:tcW w:w="4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shd w:val="clear" w:color="auto" w:fill="CFF2FA"/>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2"/>
            <w:shd w:val="clear" w:color="auto" w:fill="CFF2FA"/>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3"/>
              </w:rPr>
              <w:t>1,183</w:t>
            </w:r>
          </w:p>
        </w:tc>
        <w:tc>
          <w:tcPr>
            <w:tcW w:w="540" w:type="dxa"/>
            <w:vAlign w:val="bottom"/>
            <w:gridSpan w:val="2"/>
            <w:shd w:val="clear" w:color="auto" w:fill="CFF2FA"/>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1,379</w:t>
            </w:r>
          </w:p>
        </w:tc>
        <w:tc>
          <w:tcPr>
            <w:tcW w:w="240" w:type="dxa"/>
            <w:vAlign w:val="bottom"/>
            <w:shd w:val="clear" w:color="auto" w:fill="CFF2FA"/>
          </w:tcPr>
          <w:p>
            <w:pPr>
              <w:spacing w:after="0"/>
              <w:rPr>
                <w:sz w:val="19"/>
                <w:szCs w:val="19"/>
                <w:color w:val="auto"/>
              </w:rPr>
            </w:pPr>
          </w:p>
        </w:tc>
        <w:tc>
          <w:tcPr>
            <w:tcW w:w="300" w:type="dxa"/>
            <w:vAlign w:val="bottom"/>
            <w:shd w:val="clear" w:color="auto" w:fill="CFF2FA"/>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FF2FA"/>
          </w:tcPr>
          <w:p>
            <w:pPr>
              <w:spacing w:after="0"/>
              <w:rPr>
                <w:sz w:val="19"/>
                <w:szCs w:val="19"/>
                <w:color w:val="auto"/>
              </w:rPr>
            </w:pPr>
          </w:p>
        </w:tc>
      </w:tr>
      <w:tr>
        <w:trPr>
          <w:trHeight w:val="229"/>
        </w:trPr>
        <w:tc>
          <w:tcPr>
            <w:tcW w:w="43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General and administrative</w:t>
            </w:r>
          </w:p>
        </w:tc>
        <w:tc>
          <w:tcPr>
            <w:tcW w:w="2340" w:type="dxa"/>
            <w:vAlign w:val="bottom"/>
            <w:tcBorders>
              <w:bottom w:val="single" w:sz="8" w:color="CFF2FA"/>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1,574</w:t>
            </w:r>
          </w:p>
        </w:tc>
        <w:tc>
          <w:tcPr>
            <w:tcW w:w="240" w:type="dxa"/>
            <w:vAlign w:val="bottom"/>
            <w:tcBorders>
              <w:bottom w:val="single" w:sz="8" w:color="CFF2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40" w:type="dxa"/>
            <w:vAlign w:val="bottom"/>
            <w:tcBorders>
              <w:bottom w:val="single" w:sz="8" w:color="CFF2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FF2FA"/>
            </w:tcBorders>
          </w:tcPr>
          <w:p>
            <w:pPr>
              <w:spacing w:after="0"/>
              <w:rPr>
                <w:sz w:val="19"/>
                <w:szCs w:val="19"/>
                <w:color w:val="auto"/>
              </w:rPr>
            </w:pPr>
          </w:p>
        </w:tc>
      </w:tr>
      <w:tr>
        <w:trPr>
          <w:trHeight w:val="223"/>
        </w:trPr>
        <w:tc>
          <w:tcPr>
            <w:tcW w:w="4320" w:type="dxa"/>
            <w:vAlign w:val="bottom"/>
            <w:tcBorders>
              <w:bottom w:val="single" w:sz="8" w:color="CFF2FA"/>
            </w:tcBorders>
            <w:shd w:val="clear" w:color="auto" w:fill="CFF2FA"/>
          </w:tcPr>
          <w:p>
            <w:pPr>
              <w:ind w:left="26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2FA"/>
            </w:tcBorders>
            <w:shd w:val="clear" w:color="auto" w:fill="CFF2FA"/>
          </w:tcPr>
          <w:p>
            <w:pPr>
              <w:spacing w:after="0"/>
              <w:rPr>
                <w:sz w:val="19"/>
                <w:szCs w:val="19"/>
                <w:color w:val="auto"/>
              </w:rPr>
            </w:pPr>
          </w:p>
        </w:tc>
        <w:tc>
          <w:tcPr>
            <w:tcW w:w="860" w:type="dxa"/>
            <w:vAlign w:val="bottom"/>
            <w:tcBorders>
              <w:bottom w:val="single" w:sz="8" w:color="auto"/>
            </w:tcBorders>
            <w:shd w:val="clear" w:color="auto" w:fill="CFF2FA"/>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93"/>
              </w:rPr>
              <w:t>2,757</w:t>
            </w:r>
          </w:p>
        </w:tc>
        <w:tc>
          <w:tcPr>
            <w:tcW w:w="240" w:type="dxa"/>
            <w:vAlign w:val="bottom"/>
            <w:tcBorders>
              <w:bottom w:val="single" w:sz="8" w:color="CFF2FA"/>
            </w:tcBorders>
            <w:shd w:val="clear" w:color="auto" w:fill="CFF2FA"/>
          </w:tcPr>
          <w:p>
            <w:pPr>
              <w:spacing w:after="0"/>
              <w:rPr>
                <w:sz w:val="19"/>
                <w:szCs w:val="19"/>
                <w:color w:val="auto"/>
              </w:rPr>
            </w:pPr>
          </w:p>
        </w:tc>
        <w:tc>
          <w:tcPr>
            <w:tcW w:w="300" w:type="dxa"/>
            <w:vAlign w:val="bottom"/>
            <w:tcBorders>
              <w:bottom w:val="single" w:sz="8" w:color="auto"/>
            </w:tcBorders>
            <w:shd w:val="clear" w:color="auto" w:fill="CFF2FA"/>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4,107</w:t>
            </w:r>
          </w:p>
        </w:tc>
        <w:tc>
          <w:tcPr>
            <w:tcW w:w="240" w:type="dxa"/>
            <w:vAlign w:val="bottom"/>
            <w:tcBorders>
              <w:bottom w:val="single" w:sz="8" w:color="CFF2FA"/>
            </w:tcBorders>
            <w:shd w:val="clear" w:color="auto" w:fill="CFF2FA"/>
          </w:tcPr>
          <w:p>
            <w:pPr>
              <w:spacing w:after="0"/>
              <w:rPr>
                <w:sz w:val="19"/>
                <w:szCs w:val="19"/>
                <w:color w:val="auto"/>
              </w:rPr>
            </w:pPr>
          </w:p>
        </w:tc>
        <w:tc>
          <w:tcPr>
            <w:tcW w:w="300" w:type="dxa"/>
            <w:vAlign w:val="bottom"/>
            <w:tcBorders>
              <w:bottom w:val="single" w:sz="8" w:color="auto"/>
            </w:tcBorders>
            <w:shd w:val="clear" w:color="auto" w:fill="CFF2FA"/>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84"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The following table sets forth the weighted average assumptions utilized in the Black-Scholes option pricing model to calculate the fair value of the underlying common stock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Year Ended</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65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400" w:type="dxa"/>
            <w:vAlign w:val="bottom"/>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r>
      <w:tr>
        <w:trPr>
          <w:trHeight w:val="212"/>
        </w:trPr>
        <w:tc>
          <w:tcPr>
            <w:tcW w:w="6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108.13%</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109.49%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93.08%</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1.52%</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(in years): The Company utilized the simplified method as prescribed by ASC 718, as the Company does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post-vesting termination data to provide a reasonable basis upon which to estimate the expected term of stock options granted to employees.</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similar to the expected time to a</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liquidity event.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in the foreseeable future.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stock price volatility</w:t>
      </w:r>
      <w:r>
        <w:rPr>
          <w:rFonts w:ascii="Arial" w:cs="Arial" w:eastAsia="Arial" w:hAnsi="Arial"/>
          <w:sz w:val="18"/>
          <w:szCs w:val="18"/>
          <w:color w:val="auto"/>
        </w:rPr>
        <w:t>: The Company calculates expected volatility based on the historical volatility of its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records forfeitures as they occur.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9560" w:type="dxa"/>
            <w:vAlign w:val="bottom"/>
            <w:gridSpan w:val="3"/>
          </w:tcPr>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year ended December 31, 2020: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7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772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r>
      <w:tr>
        <w:trPr>
          <w:trHeight w:val="223"/>
        </w:trPr>
        <w:tc>
          <w:tcPr>
            <w:tcW w:w="77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4,104,450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1,100,250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(254,466)</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Cancelled/Forfeited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(702,041)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4,248,193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2019</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2,452,764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2020</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2,355,900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The following table provides additional information about the Company’s stock options that were outstanding and exercisable at December 31, 2020 (aggregate intrinsic values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Aggregate</w:t>
            </w: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Remaining</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Aggregate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Exercise</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Intrinsic</w:t>
            </w: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Contractual</w:t>
            </w: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Intrinsic</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19"/>
        </w:trPr>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Price</w:t>
            </w: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Life (Years)</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Exercisable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Life (Years)</w:t>
            </w:r>
          </w:p>
        </w:tc>
      </w:tr>
      <w:tr>
        <w:trPr>
          <w:trHeight w:val="213"/>
        </w:trPr>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$0.00 - $2.99</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2,598,987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1,011,680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r>
      <w:tr>
        <w:trPr>
          <w:trHeight w:val="213"/>
        </w:trPr>
        <w:tc>
          <w:tcPr>
            <w:tcW w:w="1380" w:type="dxa"/>
            <w:vAlign w:val="bottom"/>
          </w:tcPr>
          <w:p>
            <w:pPr>
              <w:jc w:val="center"/>
              <w:spacing w:after="0"/>
              <w:rPr>
                <w:sz w:val="20"/>
                <w:szCs w:val="20"/>
                <w:color w:val="auto"/>
              </w:rPr>
            </w:pPr>
            <w:r>
              <w:rPr>
                <w:rFonts w:ascii="Arial" w:cs="Arial" w:eastAsia="Arial" w:hAnsi="Arial"/>
                <w:sz w:val="16"/>
                <w:szCs w:val="16"/>
                <w:color w:val="auto"/>
                <w:w w:val="91"/>
              </w:rPr>
              <w:t>$3.00 - $6.99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998,120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725,221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9"/>
        </w:trPr>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$7.00 - $8.99</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449,308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432,847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r>
      <w:tr>
        <w:trPr>
          <w:trHeight w:val="213"/>
        </w:trPr>
        <w:tc>
          <w:tcPr>
            <w:tcW w:w="138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91"/>
              </w:rPr>
              <w:t>$9.00 - $20.84</w:t>
            </w:r>
          </w:p>
        </w:tc>
        <w:tc>
          <w:tcPr>
            <w:tcW w:w="1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201,778</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6.76</w:t>
            </w: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186,152</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6.71</w:t>
            </w:r>
          </w:p>
        </w:tc>
      </w:tr>
      <w:tr>
        <w:trPr>
          <w:trHeight w:val="210"/>
        </w:trPr>
        <w:tc>
          <w:tcPr>
            <w:tcW w:w="1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4,248,193</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2,753</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7.49</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2,355,900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1,551</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6.62</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As of December 31, 2020, the Company had $3.4 million of unrecognized compensation expense related to unvested stock options, which is expected to be recognized over a weighted average period of 2.1 years. The weighted average fair values of all stock options granted for the years ended December 31, 2020, 2019 and 2018 was $1.97 per share, $1.09 per share and $5.98 per share, respectively. The intrinsic value is calculated as the difference between the fair market value and the exercise price per share of the stock options. The fair market value per share of common stock as of December 31, 2020 was $2.74, which was the closing sale price of the Company’s common stock on the Nasdaq Global Market on that date.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230" w:lineRule="exact"/>
        <w:rPr>
          <w:sz w:val="20"/>
          <w:szCs w:val="20"/>
          <w:color w:val="auto"/>
        </w:rPr>
      </w:pPr>
    </w:p>
    <w:p>
      <w:pPr>
        <w:ind w:right="1780" w:firstLine="468"/>
        <w:spacing w:after="0" w:line="291" w:lineRule="auto"/>
        <w:rPr>
          <w:sz w:val="20"/>
          <w:szCs w:val="20"/>
          <w:color w:val="auto"/>
        </w:rPr>
      </w:pPr>
      <w:r>
        <w:rPr>
          <w:rFonts w:ascii="Arial" w:cs="Arial" w:eastAsia="Arial" w:hAnsi="Arial"/>
          <w:sz w:val="16"/>
          <w:szCs w:val="16"/>
          <w:color w:val="auto"/>
        </w:rPr>
        <w:t>The Company has granted restricted stock units (“RSUs”) to employees under the 2016 Plan. The shares underlying the RSU awards have vesting terms of two to four years from the date of grant, subject to the employees’ continuous service and</w:t>
      </w:r>
    </w:p>
    <w:p>
      <w:pPr>
        <w:ind w:right="440"/>
        <w:spacing w:after="0" w:line="323" w:lineRule="auto"/>
        <w:rPr>
          <w:sz w:val="20"/>
          <w:szCs w:val="20"/>
          <w:color w:val="auto"/>
        </w:rPr>
      </w:pPr>
      <w:r>
        <w:rPr>
          <w:rFonts w:ascii="Arial" w:cs="Arial" w:eastAsia="Arial" w:hAnsi="Arial"/>
          <w:sz w:val="16"/>
          <w:szCs w:val="16"/>
          <w:color w:val="auto"/>
        </w:rPr>
        <w:t>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2FA"/>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shd w:val="clear" w:color="auto" w:fill="CFF2FA"/>
          </w:tcPr>
          <w:p>
            <w:pPr>
              <w:spacing w:after="0"/>
              <w:rPr>
                <w:sz w:val="19"/>
                <w:szCs w:val="19"/>
                <w:color w:val="auto"/>
              </w:rPr>
            </w:pPr>
          </w:p>
        </w:tc>
        <w:tc>
          <w:tcPr>
            <w:tcW w:w="920" w:type="dxa"/>
            <w:vAlign w:val="bottom"/>
            <w:shd w:val="clear" w:color="auto" w:fill="CFF2FA"/>
          </w:tcPr>
          <w:p>
            <w:pPr>
              <w:spacing w:after="0"/>
              <w:rPr>
                <w:sz w:val="19"/>
                <w:szCs w:val="19"/>
                <w:color w:val="auto"/>
              </w:rPr>
            </w:pPr>
          </w:p>
        </w:tc>
        <w:tc>
          <w:tcPr>
            <w:tcW w:w="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6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20" w:type="dxa"/>
            <w:vAlign w:val="bottom"/>
            <w:vMerge w:val="restart"/>
          </w:tcPr>
          <w:p>
            <w:pPr>
              <w:jc w:val="right"/>
              <w:ind w:right="850"/>
              <w:spacing w:after="0"/>
              <w:rPr>
                <w:sz w:val="20"/>
                <w:szCs w:val="20"/>
                <w:color w:val="auto"/>
              </w:rPr>
            </w:pPr>
            <w:r>
              <w:rPr>
                <w:rFonts w:ascii="Arial" w:cs="Arial" w:eastAsia="Arial" w:hAnsi="Arial"/>
                <w:sz w:val="18"/>
                <w:szCs w:val="18"/>
                <w:color w:val="auto"/>
              </w:rPr>
              <w:t>82</w:t>
            </w: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ind w:left="520"/>
              <w:spacing w:after="0"/>
              <w:rPr>
                <w:sz w:val="20"/>
                <w:szCs w:val="20"/>
                <w:color w:val="auto"/>
              </w:rPr>
            </w:pPr>
            <w:r>
              <w:rPr>
                <w:rFonts w:ascii="Arial" w:cs="Arial" w:eastAsia="Arial" w:hAnsi="Arial"/>
                <w:sz w:val="18"/>
                <w:szCs w:val="18"/>
                <w:color w:val="auto"/>
                <w:w w:val="91"/>
              </w:rPr>
              <w:t>The following table summarizes the activity related to RSUs during the year ended December 31, 2020:</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6"/>
        </w:trPr>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29"/>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Number of</w:t>
            </w:r>
          </w:p>
        </w:tc>
        <w:tc>
          <w:tcPr>
            <w:tcW w:w="2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December 31, 2019</w:t>
            </w: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1,269,300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486,000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(981,329)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FF0FC"/>
          </w:tcPr>
          <w:p>
            <w:pPr>
              <w:spacing w:after="0"/>
              <w:rPr>
                <w:sz w:val="19"/>
                <w:szCs w:val="19"/>
                <w:color w:val="auto"/>
              </w:rPr>
            </w:pPr>
          </w:p>
        </w:tc>
      </w:tr>
      <w:tr>
        <w:trPr>
          <w:trHeight w:val="229"/>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December 31, 2020</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767,271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62"/>
        <w:spacing w:after="0" w:line="277" w:lineRule="auto"/>
        <w:rPr>
          <w:sz w:val="20"/>
          <w:szCs w:val="20"/>
          <w:color w:val="auto"/>
        </w:rPr>
      </w:pPr>
      <w:r>
        <w:rPr>
          <w:rFonts w:ascii="Arial" w:cs="Arial" w:eastAsia="Arial" w:hAnsi="Arial"/>
          <w:sz w:val="18"/>
          <w:szCs w:val="18"/>
          <w:color w:val="auto"/>
        </w:rPr>
        <w:t>As of December 31, 2020, the Company had $1.0 million of unrecognized compensation expense related to the RSUs, which amount is expected to be recognized over a weighted average period of 2.5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number of shares reserved for issuance under the 2016 ESPP will automatically increase on January 1 of each year,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2021. The number of shares of common stock available for issuance under the 2016 ESPP as of December 31, 2020 was 570,972 shares.</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2020, 2019 and 2018, the Company issued 35,359, 52,476 and 12,595 shares, respectively, of common stock purchased under the 2016 ESPP.</w:t>
      </w:r>
    </w:p>
    <w:p>
      <w:pPr>
        <w:spacing w:after="0" w:line="149" w:lineRule="exact"/>
        <w:rPr>
          <w:sz w:val="20"/>
          <w:szCs w:val="20"/>
          <w:color w:val="auto"/>
        </w:rPr>
      </w:pPr>
    </w:p>
    <w:p>
      <w:pPr>
        <w:ind w:right="60" w:firstLine="510"/>
        <w:spacing w:after="0" w:line="258" w:lineRule="auto"/>
        <w:rPr>
          <w:sz w:val="20"/>
          <w:szCs w:val="20"/>
          <w:color w:val="auto"/>
        </w:rPr>
      </w:pPr>
      <w:r>
        <w:rPr>
          <w:rFonts w:ascii="Arial" w:cs="Arial" w:eastAsia="Arial" w:hAnsi="Arial"/>
          <w:sz w:val="18"/>
          <w:szCs w:val="18"/>
          <w:color w:val="auto"/>
        </w:rPr>
        <w:t>The share-based compensation expense recognized for the 2016 ESPP is reflected in the statements of operations and comprehensive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2FA"/>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spacing w:after="0"/>
              <w:rPr>
                <w:sz w:val="19"/>
                <w:szCs w:val="19"/>
                <w:color w:val="auto"/>
              </w:rPr>
            </w:pPr>
          </w:p>
        </w:tc>
        <w:tc>
          <w:tcPr>
            <w:tcW w:w="3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2FA"/>
          </w:tcPr>
          <w:p>
            <w:pPr>
              <w:spacing w:after="0"/>
              <w:rPr>
                <w:sz w:val="19"/>
                <w:szCs w:val="19"/>
                <w:color w:val="auto"/>
              </w:rPr>
            </w:pPr>
          </w:p>
        </w:tc>
        <w:tc>
          <w:tcPr>
            <w:tcW w:w="300" w:type="dxa"/>
            <w:vAlign w:val="bottom"/>
            <w:tcBorders>
              <w:bottom w:val="single" w:sz="8" w:color="auto"/>
            </w:tcBorders>
            <w:shd w:val="clear" w:color="auto" w:fill="CFF2FA"/>
          </w:tcPr>
          <w:p>
            <w:pPr>
              <w:spacing w:after="0"/>
              <w:rPr>
                <w:sz w:val="19"/>
                <w:szCs w:val="19"/>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2F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6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20" w:type="dxa"/>
            <w:vAlign w:val="bottom"/>
            <w:vMerge w:val="restart"/>
          </w:tcPr>
          <w:p>
            <w:pPr>
              <w:jc w:val="right"/>
              <w:ind w:right="850"/>
              <w:spacing w:after="0"/>
              <w:rPr>
                <w:sz w:val="20"/>
                <w:szCs w:val="20"/>
                <w:color w:val="auto"/>
              </w:rPr>
            </w:pPr>
            <w:r>
              <w:rPr>
                <w:rFonts w:ascii="Arial" w:cs="Arial" w:eastAsia="Arial" w:hAnsi="Arial"/>
                <w:sz w:val="18"/>
                <w:szCs w:val="18"/>
                <w:color w:val="auto"/>
              </w:rPr>
              <w:t>83</w:t>
            </w: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income tax assets consist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Deferred tax asset (liability)</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51,414</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46,305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41,152</w:t>
            </w:r>
          </w:p>
        </w:tc>
        <w:tc>
          <w:tcPr>
            <w:tcW w:w="12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Non-deductible accrued expenses</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Right-of-use asset</w:t>
            </w:r>
          </w:p>
        </w:tc>
        <w:tc>
          <w:tcPr>
            <w:tcW w:w="10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Deferred rent</w:t>
            </w:r>
          </w:p>
        </w:tc>
        <w:tc>
          <w:tcPr>
            <w:tcW w:w="104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gridSpan w:val="4"/>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Stock compensation expense</w:t>
            </w:r>
          </w:p>
        </w:tc>
        <w:tc>
          <w:tcPr>
            <w:tcW w:w="10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differences</w:t>
            </w:r>
          </w:p>
        </w:tc>
        <w:tc>
          <w:tcPr>
            <w:tcW w:w="10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Federal tax credits</w:t>
            </w:r>
          </w:p>
        </w:tc>
        <w:tc>
          <w:tcPr>
            <w:tcW w:w="10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8,015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7,249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State tax credits</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Disallowed interest expense</w:t>
            </w:r>
          </w:p>
        </w:tc>
        <w:tc>
          <w:tcPr>
            <w:tcW w:w="10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Charitable contributions</w:t>
            </w:r>
          </w:p>
        </w:tc>
        <w:tc>
          <w:tcPr>
            <w:tcW w:w="10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(63,404)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(56,206)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(49,563)</w:t>
            </w:r>
          </w:p>
        </w:tc>
      </w:tr>
      <w:tr>
        <w:trPr>
          <w:trHeight w:val="223"/>
        </w:trPr>
        <w:tc>
          <w:tcPr>
            <w:tcW w:w="546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Net deferred tax asset</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6500" w:type="dxa"/>
            <w:vAlign w:val="bottom"/>
            <w:gridSpan w:val="3"/>
          </w:tcPr>
          <w:p>
            <w:pPr>
              <w:ind w:left="520"/>
              <w:spacing w:after="0"/>
              <w:rPr>
                <w:sz w:val="20"/>
                <w:szCs w:val="20"/>
                <w:color w:val="auto"/>
              </w:rPr>
            </w:pPr>
            <w:r>
              <w:rPr>
                <w:rFonts w:ascii="Arial" w:cs="Arial" w:eastAsia="Arial" w:hAnsi="Arial"/>
                <w:sz w:val="18"/>
                <w:szCs w:val="18"/>
                <w:color w:val="auto"/>
                <w:w w:val="93"/>
              </w:rPr>
              <w:t>A reconciliation of the statutory tax rates and the effective tax rates is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 federal tax rate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State tax rate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(0.73)</w:t>
            </w: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 and other</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(0.33)</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Tax credit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(39.66)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(20.39)</w:t>
            </w: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ASC 740-10</w:t>
            </w:r>
          </w:p>
        </w:tc>
        <w:tc>
          <w:tcPr>
            <w:tcW w:w="10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Impact of federal rate change</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At December 31, 2020, the Company had a valuation allowance of $63.4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9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At December 31, 2020, the Company had income tax NOL carryforwards for federal and state purposes of $232.7 million and $40.7 million, respectively. The Company has recorded a deferred tax asset for both federal and state NOL carryforwards of $48.9 million and $2.5 million, respectively. If not utilized, the federal NOL carryforwards will begin to expire beginning in 2031, and the state NOL carryforwards will begin to expire at various dates beginning in 2027. Additionally, under the 2017 Tax Cuts and Jobs Act, federal net operating losses incurred in 2018 and beyond may be carried forward indefinitely. However, the deductibility of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federal net operating losses is limited beginning in 2021. Certain states have also adopted the indefinite carryforward period beginning with the 2018 tax year, but state conformity varies state by state.</w:t>
      </w:r>
    </w:p>
    <w:p>
      <w:pPr>
        <w:spacing w:after="0" w:line="18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uncertain tax positions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Balance of uncertain tax positions at the beginning of the year</w:t>
            </w:r>
          </w:p>
        </w:tc>
        <w:tc>
          <w:tcPr>
            <w:tcW w:w="1320" w:type="dxa"/>
            <w:vAlign w:val="bottom"/>
            <w:shd w:val="clear" w:color="auto" w:fill="CFF0FC"/>
          </w:tcPr>
          <w:p>
            <w:pPr>
              <w:jc w:val="right"/>
              <w:ind w:right="116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4,665</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Balance of uncertain tax positions at the end of the year</w:t>
            </w:r>
          </w:p>
        </w:tc>
        <w:tc>
          <w:tcPr>
            <w:tcW w:w="1320" w:type="dxa"/>
            <w:vAlign w:val="bottom"/>
            <w:tcBorders>
              <w:top w:val="single" w:sz="8" w:color="auto"/>
              <w:bottom w:val="single" w:sz="8" w:color="auto"/>
            </w:tcBorders>
            <w:shd w:val="clear" w:color="auto" w:fill="CFF0FC"/>
          </w:tcPr>
          <w:p>
            <w:pPr>
              <w:jc w:val="right"/>
              <w:ind w:right="116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December 31, 2020 and 2019, there was $7.6 million and $2.9 million, respectively, of unrecognized tax benefit that if recognized would be in the form of a net operating loss carryforward, which is expected to require a full valuation allowance based on present circumstances. The Company accrued $4.6 million of unrecognized tax benefit and $48,000 of unrecognized tax expenses for the year 2020. The Company recognizes accrued interest related to unrecognized tax expenses and penalties as income tax expense. No significant amounts of interest or penalties have been recorded as of December 31, 2020</w:t>
      </w:r>
    </w:p>
    <w:p>
      <w:pPr>
        <w:spacing w:after="0" w:line="18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Ownership changes, as defined by Section 382 of the Internal Revenue Code of 1986, as amended (the “Code”), may limit the amount of net operating losses that a company may utilize to offset future taxable income and taxes payable. Pursuant to Section 382 of the Code, an ownership change occurs when the stock ownership of 5% stockholders increases by more than 50% over a testing period of three years. It is possible that the Company has undergone an ownership change as defined by Section 382 of the Code or that the Company may undergo such a change in the future. Any such ownership change may limit the Company’s ability to utilize net operating losses.</w:t>
      </w:r>
    </w:p>
    <w:p>
      <w:pPr>
        <w:spacing w:after="0" w:line="17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is subject to taxation in the United States and certain state jurisdictions. As of December 31, 2020, the Company’s tax returns for 2017, 2018 and 2019 are subject to full examination by the tax authorities. As of December 31, 2020, the Company is generally no longer subject to state or local examinations by tax authorities for years before 2017, except to the extent of NOLs generated in prior years claimed on a tax return.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225"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Company leases its facilities and some of its equipment under noncancelable operating lease arrangements that expire at various dates through 2023. In November 2016, the Company signed an office lease agreement to lease approximately 20,000 square feet of office space in Alpharetta, Georgia for its corporate headquarters. The lease agreement is for a six and one-half year term with a renewal option for one additional five-year term. Rental payments are $35,145 per month subject to an increase of 3% per year. Operating lease cost under this lease is recognized on a straight-line basis over the term of the lease. In addition, the lease agreement requires payment of the pro-rata share of the annual operating expenses associated with the premises. The Company relocated to this space in March 2017.</w:t>
      </w:r>
    </w:p>
    <w:p>
      <w:pPr>
        <w:spacing w:after="0" w:line="84" w:lineRule="exact"/>
        <w:rPr>
          <w:sz w:val="20"/>
          <w:szCs w:val="20"/>
          <w:color w:val="auto"/>
        </w:rPr>
      </w:pPr>
    </w:p>
    <w:p>
      <w:pPr>
        <w:ind w:right="120" w:firstLine="562"/>
        <w:spacing w:after="0" w:line="296" w:lineRule="auto"/>
        <w:rPr>
          <w:sz w:val="20"/>
          <w:szCs w:val="20"/>
          <w:color w:val="auto"/>
        </w:rPr>
      </w:pPr>
      <w:r>
        <w:rPr>
          <w:rFonts w:ascii="Arial" w:cs="Arial" w:eastAsia="Arial" w:hAnsi="Arial"/>
          <w:sz w:val="16"/>
          <w:szCs w:val="16"/>
          <w:color w:val="auto"/>
        </w:rPr>
        <w:t>In August 2018, the Company signed an office lease agreement to lease approximately 3,500 square feet of office space in Berkeley, California for its commercial operations. The lease agreement was for a two-year term with a renewal option for an additional one-year term. The Company did not exercise the renewal option for the Berkeley lease and terminated the lease on December 15, 2019, with no further payments due. The termination of the lease did not have a material impact on the Company’s statements of operations. Operating lease cost under this lease was recognized on a straight-line basis over the term of the lease. The Company also paid a pro-rata share of the annual operating expenses associated with the premises.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63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320" w:type="dxa"/>
            <w:vAlign w:val="bottom"/>
          </w:tcPr>
          <w:p>
            <w:pPr>
              <w:ind w:left="4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62"/>
        <w:spacing w:after="0" w:line="275" w:lineRule="auto"/>
        <w:rPr>
          <w:sz w:val="20"/>
          <w:szCs w:val="20"/>
          <w:color w:val="auto"/>
        </w:rPr>
      </w:pPr>
      <w:r>
        <w:rPr>
          <w:rFonts w:ascii="Arial" w:cs="Arial" w:eastAsia="Arial" w:hAnsi="Arial"/>
          <w:sz w:val="17"/>
          <w:szCs w:val="17"/>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December 31, 2020, the Company’s incremental borrowing rate was 11.0% and the remaining lease term was 2.75 years.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Minimum lease payments were as follows at December 31, 2020 (in thousands):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lease liabilities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Operating lease cost was $247,000 and $393,000 for the years ended December 31, 2020 and 2019, respectively. Variable lease cost was $95,000 and $83,000 for the years ended December 31, 2020 and 2019, respectively. Short-term lease cost was $12,000 and $20,000 for the years ended December 31,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23" w:lineRule="exact"/>
        <w:rPr>
          <w:sz w:val="20"/>
          <w:szCs w:val="20"/>
          <w:color w:val="auto"/>
        </w:rPr>
      </w:pPr>
    </w:p>
    <w:p>
      <w:pPr>
        <w:ind w:right="320" w:firstLine="510"/>
        <w:spacing w:after="0" w:line="323"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and Other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Bausch + Lomb</w:t>
      </w:r>
    </w:p>
    <w:p>
      <w:pPr>
        <w:spacing w:after="0" w:line="225" w:lineRule="exact"/>
        <w:rPr>
          <w:sz w:val="20"/>
          <w:szCs w:val="20"/>
          <w:color w:val="auto"/>
        </w:rPr>
      </w:pPr>
    </w:p>
    <w:p>
      <w:pPr>
        <w:ind w:right="360" w:firstLine="562"/>
        <w:spacing w:after="0" w:line="259" w:lineRule="auto"/>
        <w:rPr>
          <w:sz w:val="20"/>
          <w:szCs w:val="20"/>
          <w:color w:val="auto"/>
        </w:rPr>
      </w:pPr>
      <w:r>
        <w:rPr>
          <w:rFonts w:ascii="Arial" w:cs="Arial" w:eastAsia="Arial" w:hAnsi="Arial"/>
          <w:sz w:val="18"/>
          <w:szCs w:val="18"/>
          <w:color w:val="auto"/>
        </w:rPr>
        <w:t>On October 22, 2019, the Company entered into a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microinjector (the “Device”), as well as specified other steroids, corticosteroids and NSAIDs in combination with the Device (“Other Products,” and</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together with XIPERE, the “Products”), subject to specified exceptions, in the United States and Canada (the “Original Territory”) for the treatment of ophthalmology indications, including non-infectious uveitis.</w:t>
      </w:r>
    </w:p>
    <w:p>
      <w:pPr>
        <w:spacing w:after="0" w:line="185" w:lineRule="exact"/>
        <w:rPr>
          <w:sz w:val="20"/>
          <w:szCs w:val="20"/>
          <w:color w:val="auto"/>
        </w:rPr>
      </w:pPr>
    </w:p>
    <w:p>
      <w:pPr>
        <w:ind w:right="100" w:firstLine="562"/>
        <w:spacing w:after="0" w:line="253" w:lineRule="auto"/>
        <w:rPr>
          <w:sz w:val="20"/>
          <w:szCs w:val="20"/>
          <w:color w:val="auto"/>
        </w:rPr>
      </w:pPr>
      <w:r>
        <w:rPr>
          <w:rFonts w:ascii="Arial" w:cs="Arial" w:eastAsia="Arial" w:hAnsi="Arial"/>
          <w:sz w:val="18"/>
          <w:szCs w:val="18"/>
          <w:color w:val="auto"/>
        </w:rPr>
        <w:t>On April 27, 2020, the Company and Bausch entered into an amendment to the Company’s License Agreement with Bausch dated October 22, 2019 (as amended, the “Bausch License Agreement”). Pursuant to the Bausch License Agreement, the Company has granted Bausch an exclusive option (the “Option”) to develop, manufacture, distribute, promote, market and commercialize XIPERE in one or more of the following regions: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1" w:lineRule="exact"/>
        <w:rPr>
          <w:sz w:val="20"/>
          <w:szCs w:val="20"/>
          <w:color w:val="auto"/>
        </w:rPr>
      </w:pPr>
    </w:p>
    <w:p>
      <w:pPr>
        <w:ind w:right="80" w:firstLine="562"/>
        <w:spacing w:after="0" w:line="286" w:lineRule="auto"/>
        <w:rPr>
          <w:sz w:val="20"/>
          <w:szCs w:val="20"/>
          <w:color w:val="auto"/>
        </w:rPr>
      </w:pPr>
      <w:r>
        <w:rPr>
          <w:rFonts w:ascii="Arial" w:cs="Arial" w:eastAsia="Arial" w:hAnsi="Arial"/>
          <w:sz w:val="16"/>
          <w:szCs w:val="16"/>
          <w:color w:val="auto"/>
        </w:rPr>
        <w:t>Pursuant to the Bausch License Agreement, Bausch made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the Company will not receive any royalties on the first $45.0 million of cumulative net sales of all products in the Original Territory.</w:t>
      </w:r>
    </w:p>
    <w:p>
      <w:pPr>
        <w:spacing w:after="0" w:line="61" w:lineRule="exact"/>
        <w:rPr>
          <w:sz w:val="20"/>
          <w:szCs w:val="20"/>
          <w:color w:val="auto"/>
        </w:rPr>
      </w:pPr>
    </w:p>
    <w:p>
      <w:pPr>
        <w:ind w:right="40" w:firstLine="468"/>
        <w:spacing w:after="0" w:line="284" w:lineRule="auto"/>
        <w:rPr>
          <w:sz w:val="20"/>
          <w:szCs w:val="20"/>
          <w:color w:val="auto"/>
        </w:rPr>
      </w:pPr>
      <w:r>
        <w:rPr>
          <w:rFonts w:ascii="Arial" w:cs="Arial" w:eastAsia="Arial" w:hAnsi="Arial"/>
          <w:sz w:val="16"/>
          <w:szCs w:val="16"/>
          <w:color w:val="auto"/>
        </w:rPr>
        <w:t>During the term of the Bausch License Agreement, and in the Territory, the Company has agreed not to (i) develop or commercialize XIPERE alone or in combination with an Other Device (as defined in the Bausch License Agreement) in the licensed field, (ii) develop or commercialize any corticosteroid with the Device or an Other Device in the licensed field, (iii) develop or commercialize the Device or an Other Device with any active pharmaceutical ingredient for non-infectious uveitis or macular edema associated with non-infectious uveitis, including with any Other Drug (as defined in the Bausch License Agreement, which are restricted to those steroids, corticosteroids and non-steroidal anti-inflammatory drugs specifically identified in the Bausch License Agreement), (iv) develop or commercialize any Other Drug in combination with the Device and (v) commercialize any Other Device for achieving non-surgical access to the suprachoroidal space where such device is sold as a stand-alone product, subject to specified exceptions. 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 Payment refunded if the U.S. Food and Drug Administration (the “FDA”) has not approved the Company’s New Drug Application (“NDA”) for XIPERE by August 31, 2021.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 Upon termination (other than for a material breach by or bankruptcy or insolvency event of the Company), all licenses and other rights granted by the Company to Bausch pursuant to the Bausch License Agreement would revert to the Company.</w:t>
      </w:r>
    </w:p>
    <w:p>
      <w:pPr>
        <w:spacing w:after="0" w:line="200" w:lineRule="exact"/>
        <w:rPr>
          <w:sz w:val="20"/>
          <w:szCs w:val="20"/>
          <w:color w:val="auto"/>
        </w:rPr>
      </w:pPr>
    </w:p>
    <w:p>
      <w:pPr>
        <w:spacing w:after="0" w:line="306"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NDA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one-half of the costs of any post-approval clinical trials required by the FDA, up to a specified maximum amount.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right="320" w:firstLine="562"/>
        <w:spacing w:after="0" w:line="290" w:lineRule="auto"/>
        <w:rPr>
          <w:sz w:val="20"/>
          <w:szCs w:val="20"/>
          <w:color w:val="auto"/>
        </w:rPr>
      </w:pPr>
      <w:r>
        <w:rPr>
          <w:rFonts w:ascii="Arial" w:cs="Arial" w:eastAsia="Arial" w:hAnsi="Arial"/>
          <w:sz w:val="17"/>
          <w:szCs w:val="17"/>
          <w:color w:val="auto"/>
        </w:rPr>
        <w:t>Due to the refund provisions in the License Agreement, the upfront payment of $5.0 million received from Bausch was included on the balance sheet as deferred revenue as of December 31, 2020 and 2019 and will remain in deferred revenue until the refund provisions lapse.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REGENXBIO, Inc</w:t>
      </w:r>
      <w:r>
        <w:rPr>
          <w:rFonts w:ascii="Arial" w:cs="Arial" w:eastAsia="Arial" w:hAnsi="Arial"/>
          <w:sz w:val="18"/>
          <w:szCs w:val="18"/>
          <w:color w:val="auto"/>
        </w:rPr>
        <w:t>.</w:t>
      </w:r>
    </w:p>
    <w:p>
      <w:pPr>
        <w:spacing w:after="0" w:line="33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in October 2019 and paid the Company an option fee equal to $2.0 million, less a credit of $0.5 million previously received under a technology access agreement. In addition, REGENXBIO has agreed to pay the Company up to an aggregate of $34.0 million in milestone payments upon the achievement of specified development milestones and up to an aggregate of $102.0 million in sales-based milestone payments, as well as mid-single digit royalties on net sales of products using the SCS Microinjector during the royalty term. In September 2020, the Company received $3.0 million in milestone payments under the Option.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Arctic Vision (Hong Kong) Limited</w:t>
      </w:r>
    </w:p>
    <w:p>
      <w:pPr>
        <w:spacing w:after="0" w:line="225" w:lineRule="exact"/>
        <w:rPr>
          <w:sz w:val="20"/>
          <w:szCs w:val="20"/>
          <w:color w:val="auto"/>
        </w:rPr>
      </w:pPr>
    </w:p>
    <w:p>
      <w:pPr>
        <w:ind w:right="80" w:firstLine="568"/>
        <w:spacing w:after="0" w:line="272" w:lineRule="auto"/>
        <w:rPr>
          <w:sz w:val="20"/>
          <w:szCs w:val="20"/>
          <w:color w:val="auto"/>
        </w:rPr>
      </w:pPr>
      <w:r>
        <w:rPr>
          <w:rFonts w:ascii="Arial" w:cs="Arial" w:eastAsia="Arial" w:hAnsi="Arial"/>
          <w:sz w:val="17"/>
          <w:szCs w:val="17"/>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China, Hong Kong, Macau, Taiwan and South Korea (the “Arctic Territory”). In addition, upon receipt of the Company’s consent, Arctic Vision will have the right, but not the obligation, to develop and commercialize XIPERE for additional indications in the Arctic Territory.</w:t>
      </w:r>
    </w:p>
    <w:p>
      <w:pPr>
        <w:spacing w:after="0" w:line="177" w:lineRule="exact"/>
        <w:rPr>
          <w:sz w:val="20"/>
          <w:szCs w:val="20"/>
          <w:color w:val="auto"/>
        </w:rPr>
      </w:pPr>
    </w:p>
    <w:p>
      <w:pPr>
        <w:ind w:firstLine="562"/>
        <w:spacing w:after="0" w:line="290" w:lineRule="auto"/>
        <w:rPr>
          <w:sz w:val="20"/>
          <w:szCs w:val="20"/>
          <w:color w:val="auto"/>
        </w:rPr>
      </w:pPr>
      <w:r>
        <w:rPr>
          <w:rFonts w:ascii="Arial" w:cs="Arial" w:eastAsia="Arial" w:hAnsi="Arial"/>
          <w:sz w:val="16"/>
          <w:szCs w:val="16"/>
          <w:color w:val="auto"/>
        </w:rPr>
        <w:t>Pursuant to the License Agreement, Arctic Vision has agreed to pay the Company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In March 2020, the Company received an upfront payment of $4.0 million under the License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$200,000, $105,000 and $30,000 of revenue from these agreements during the years ended December 31, 2020, 2019 and 2018,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Company’s material financial instruments at December 31, 2020 and 2019 consisted primarily of cash and cash equivalents and long-term debt. The fair value of cash and cash equivalents, other current assets and accounts payable approximate their respective carrying values due to the short-term nature of these instruments and are classified as Level 1 in the fair value hierarchy. The fair value of long-term debt approximates the carrying value due to variable interest rates that correspond to market rates.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significant transfers between Levels 1, 2 and 3 during the years ended December 31, 2020 and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tables summarize the fair value of financial assets and liabilities that are measured at fair value and the classification by level of input within the fair value hierarchy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r>
      <w:tr>
        <w:trPr>
          <w:trHeight w:val="213"/>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17,287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17,287</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23"/>
        </w:trPr>
        <w:tc>
          <w:tcPr>
            <w:tcW w:w="35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17,647</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r>
      <w:tr>
        <w:trPr>
          <w:trHeight w:val="213"/>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22,595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23"/>
        </w:trPr>
        <w:tc>
          <w:tcPr>
            <w:tcW w:w="35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4"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For all periods presented, the Company’s potential common stock equivalents, which included convertible preferred stock,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4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75"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Year Ended</w:t>
      </w:r>
    </w:p>
    <w:p>
      <w:pPr>
        <w:jc w:val="center"/>
        <w:ind w:left="58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598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4,248,193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4,104,450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767,271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1,269,300</w:t>
            </w: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5,045,260</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5,403,546</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3,105,145</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On November 22, 2019, the Company issued shares of common stock in a private placement offering at an offering price of $1.054 per share. Two of the purchasers, Hatteras Venture Partners IV SBIC, LP and Hatteras Venture Partners IV, LP, are affiliated with certain of the Company’s directors and purchased 1,347,629 and 170,397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6"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2020. Based on that evaluation, our Chief Executive Officer and Chief Financial Officer concluded that our disclosure controls and procedures were effective as of the end of the period covered by this report at the reasonable assurance level.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2020 that has materially affected, or is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Report of the Registered Public Accounting Firm</w:t>
      </w:r>
    </w:p>
    <w:p>
      <w:pPr>
        <w:spacing w:after="0" w:line="1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2020, our internal control over financial reporting was effective.</w:t>
      </w:r>
    </w:p>
    <w:p>
      <w:pPr>
        <w:spacing w:after="0" w:line="63"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333333"/>
        </w:rPr>
        <w:t>On December 10, 2020, the board of directors of the Company adopted resolutions (the “Resolutions”) approving the ratification of the issuance of certain shares of Common Stock, pursuant to Section 204 of the Delaware General Corporation Law (the “Ratification”). A copy of the Resolutions adopted by the board of directors setting forth the information with respect to the Ratification required under Section 204 of the Delaware General Corporation Law is attached hereto as Exhibit 99.1. Any claim that any defective corporate act or putative stock ratified pursuant to the Ratification is void or voidable due to the failure of authorization specified in the Resolutions, or that the Delaware Court of Chancery should declare in its discretion that the Ratification in accordance with Section 204 of the Delaware General Corporation Law not be effective or be effective only on certain conditions, must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333333"/>
        </w:rPr>
        <w:t>brought within the later of (i) 120 days from the validation effective time (which is December 10, 2020) and (ii) the giving of this notice (which is deemed given on the date that this Annual Report on Form 10-K is filed with the Securities and Exchange Commission)</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will file a definitive Proxy Statement for our 2021 Annual Meeting of Stockholders (the “2021 Proxy Statement”) with the SEC, pursuant to Regulation 14A, not later than 120 days after the end of our fiscal year. Accordingly, certain information required by Part III has been omitted under General Instruction G(3) to Form 10-K. Only those sections of the 2021 Proxy Statement that specifically address the items set forth herein are incorporated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The information required by Item 10 is hereby incorporated by reference to the sections of the 2021 Proxy Statement under the captions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"Information Regarding the Board of Directors and Corporate Governance," "Election of Directors," and "Information About Our Executive Officers."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2021 Proxy Statement under the captions "Executive Compensation" and "Non-Employee Director Compensation."</w:t>
      </w:r>
    </w:p>
    <w:p>
      <w:pPr>
        <w:spacing w:after="0" w:line="27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The information required by Item 12 is hereby incorporated by reference to the sections of the 2021 Proxy Statement under the captions "Security Ownership of Certain Beneficial Owners and Management" and "Securities Authorized for Issuance under Equity Compensation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The information required by Item 13 is hereby incorporated by reference to the sections of the 2021 Proxy Statement under the captions "Transactions with Related Persons" and "Independence of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2021 Proxy Statement under the caption "Ratification of Selection of Independent Auditors."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schedules are omitted as information required is inapplicable or the information is presented in the financial statements and the related notes.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920" w:type="dxa"/>
            <w:vAlign w:val="bottom"/>
          </w:tcPr>
          <w:p>
            <w:pPr>
              <w:spacing w:after="0"/>
              <w:rPr>
                <w:sz w:val="18"/>
                <w:szCs w:val="18"/>
                <w:color w:val="auto"/>
              </w:rPr>
            </w:pPr>
          </w:p>
        </w:tc>
        <w:tc>
          <w:tcPr>
            <w:tcW w:w="9160" w:type="dxa"/>
            <w:vAlign w:val="bottom"/>
            <w:gridSpan w:val="28"/>
          </w:tcPr>
          <w:p>
            <w:pPr>
              <w:spacing w:after="0"/>
              <w:rPr>
                <w:sz w:val="20"/>
                <w:szCs w:val="20"/>
                <w:color w:val="auto"/>
              </w:rPr>
            </w:pPr>
            <w:r>
              <w:rPr>
                <w:rFonts w:ascii="Arial" w:cs="Arial" w:eastAsia="Arial" w:hAnsi="Arial"/>
                <w:sz w:val="16"/>
                <w:szCs w:val="16"/>
                <w:b w:val="1"/>
                <w:bCs w:val="1"/>
                <w:color w:val="auto"/>
              </w:rPr>
              <w:t>Description of document</w:t>
            </w:r>
          </w:p>
        </w:tc>
      </w:tr>
      <w:tr>
        <w:trPr>
          <w:trHeight w:val="276"/>
        </w:trPr>
        <w:tc>
          <w:tcPr>
            <w:tcW w:w="1180" w:type="dxa"/>
            <w:vAlign w:val="bottom"/>
          </w:tcPr>
          <w:p>
            <w:pPr>
              <w:ind w:left="20"/>
              <w:spacing w:after="0"/>
              <w:rPr>
                <w:sz w:val="20"/>
                <w:szCs w:val="20"/>
                <w:color w:val="auto"/>
              </w:rPr>
            </w:pPr>
            <w:r>
              <w:rPr>
                <w:rFonts w:ascii="Arial" w:cs="Arial" w:eastAsia="Arial" w:hAnsi="Arial"/>
                <w:sz w:val="16"/>
                <w:szCs w:val="16"/>
                <w:color w:val="auto"/>
              </w:rPr>
              <w:t>3.1</w:t>
            </w:r>
          </w:p>
        </w:tc>
        <w:tc>
          <w:tcPr>
            <w:tcW w:w="92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6"/>
                <w:szCs w:val="16"/>
                <w:color w:val="0000EE"/>
                <w:w w:val="94"/>
              </w:rPr>
            </w:pPr>
            <w:hyperlink r:id="rId118">
              <w:r>
                <w:rPr>
                  <w:rFonts w:ascii="Arial" w:cs="Arial" w:eastAsia="Arial" w:hAnsi="Arial"/>
                  <w:sz w:val="16"/>
                  <w:szCs w:val="16"/>
                  <w:color w:val="0000EE"/>
                  <w:w w:val="94"/>
                </w:rPr>
                <w:t>Amended and Restated Certificate of Incorporation (incorporated herein by reference to Exhibit 3.1 to the Registrant’s Current Report on</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8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118">
              <w:r>
                <w:rPr>
                  <w:rFonts w:ascii="Arial" w:cs="Arial" w:eastAsia="Arial" w:hAnsi="Arial"/>
                  <w:sz w:val="16"/>
                  <w:szCs w:val="16"/>
                  <w:color w:val="0000EE"/>
                  <w:w w:val="93"/>
                </w:rPr>
                <w:t>Form 8-K (File No. 001-37783) filed with the SEC on June 7, 2016).</w:t>
              </w:r>
            </w:hyperlink>
          </w:p>
        </w:tc>
        <w:tc>
          <w:tcPr>
            <w:tcW w:w="4420" w:type="dxa"/>
            <w:vAlign w:val="bottom"/>
            <w:tcBorders>
              <w:top w:val="single" w:sz="8" w:color="0000EE"/>
            </w:tcBorders>
            <w:gridSpan w:val="9"/>
          </w:tcPr>
          <w:p>
            <w:pPr>
              <w:spacing w:after="0"/>
              <w:rPr>
                <w:sz w:val="15"/>
                <w:szCs w:val="15"/>
                <w:color w:val="auto"/>
              </w:rPr>
            </w:pPr>
          </w:p>
        </w:tc>
        <w:tc>
          <w:tcPr>
            <w:tcW w:w="260" w:type="dxa"/>
            <w:vAlign w:val="bottom"/>
            <w:gridSpan w:val="11"/>
          </w:tcPr>
          <w:p>
            <w:pPr>
              <w:spacing w:after="0"/>
              <w:rPr>
                <w:sz w:val="15"/>
                <w:szCs w:val="15"/>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3.2</w:t>
            </w:r>
          </w:p>
        </w:tc>
        <w:tc>
          <w:tcPr>
            <w:tcW w:w="92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rFonts w:ascii="Arial" w:cs="Arial" w:eastAsia="Arial" w:hAnsi="Arial"/>
                <w:sz w:val="16"/>
                <w:szCs w:val="16"/>
                <w:color w:val="0000EE"/>
                <w:w w:val="92"/>
              </w:rPr>
            </w:pPr>
            <w:hyperlink r:id="rId119">
              <w:r>
                <w:rPr>
                  <w:rFonts w:ascii="Arial" w:cs="Arial" w:eastAsia="Arial" w:hAnsi="Arial"/>
                  <w:sz w:val="16"/>
                  <w:szCs w:val="16"/>
                  <w:color w:val="0000EE"/>
                  <w:w w:val="92"/>
                </w:rPr>
                <w:t>Amended and Restated Bylaws (incorporated herein by reference to Exhibit 3.2 to the Registrant’s Current Report on Form 8-K (File No.</w:t>
              </w:r>
            </w:hyperlink>
          </w:p>
        </w:tc>
        <w:tc>
          <w:tcPr>
            <w:tcW w:w="240" w:type="dxa"/>
            <w:vAlign w:val="bottom"/>
            <w:gridSpan w:val="10"/>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60" w:type="dxa"/>
            <w:vAlign w:val="bottom"/>
            <w:gridSpan w:val="28"/>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001-37783) filed with the SEC on June 7, 2016).</w:t>
              </w:r>
            </w:hyperlink>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6"/>
                <w:szCs w:val="16"/>
                <w:color w:val="auto"/>
              </w:rPr>
              <w:t>4.1</w:t>
            </w:r>
          </w:p>
        </w:tc>
        <w:tc>
          <w:tcPr>
            <w:tcW w:w="92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6"/>
                <w:szCs w:val="16"/>
                <w:color w:val="0000EE"/>
                <w:w w:val="92"/>
              </w:rPr>
            </w:pPr>
            <w:hyperlink r:id="rId120">
              <w:r>
                <w:rPr>
                  <w:rFonts w:ascii="Arial" w:cs="Arial" w:eastAsia="Arial" w:hAnsi="Arial"/>
                  <w:sz w:val="16"/>
                  <w:szCs w:val="16"/>
                  <w:color w:val="0000EE"/>
                  <w:w w:val="92"/>
                </w:rPr>
                <w:t>Specimen stock certificate evidencing shares of Common Stock (incorporated herein by reference to Exhibit 4.1 to Amendment No. 1 to the</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8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2"/>
              </w:rPr>
            </w:pPr>
            <w:hyperlink r:id="rId120">
              <w:r>
                <w:rPr>
                  <w:rFonts w:ascii="Arial" w:cs="Arial" w:eastAsia="Arial" w:hAnsi="Arial"/>
                  <w:sz w:val="16"/>
                  <w:szCs w:val="16"/>
                  <w:color w:val="0000EE"/>
                  <w:w w:val="92"/>
                </w:rPr>
                <w:t>Registrant’s Registration Statement on Form S-1 (File No. 333-208916) filed with the SEC on March 18, 2016).</w:t>
              </w:r>
            </w:hyperlink>
          </w:p>
        </w:tc>
        <w:tc>
          <w:tcPr>
            <w:tcW w:w="1800" w:type="dxa"/>
            <w:vAlign w:val="bottom"/>
            <w:tcBorders>
              <w:top w:val="single" w:sz="8" w:color="0000EE"/>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4.2</w:t>
            </w:r>
          </w:p>
        </w:tc>
        <w:tc>
          <w:tcPr>
            <w:tcW w:w="92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6"/>
                <w:szCs w:val="16"/>
                <w:color w:val="0000EE"/>
                <w:w w:val="94"/>
              </w:rPr>
            </w:pPr>
            <w:hyperlink r:id="rId121">
              <w:r>
                <w:rPr>
                  <w:rFonts w:ascii="Arial" w:cs="Arial" w:eastAsia="Arial" w:hAnsi="Arial"/>
                  <w:sz w:val="16"/>
                  <w:szCs w:val="16"/>
                  <w:color w:val="0000EE"/>
                  <w:w w:val="94"/>
                </w:rPr>
                <w:t>Third Amended and Restated Investor Rights Agreement, dated as of November 23, 2015, by and among the Registrant and certain of its</w:t>
              </w:r>
            </w:hyperlink>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00" w:type="dxa"/>
            <w:vAlign w:val="bottom"/>
            <w:tcBorders>
              <w:bottom w:val="single" w:sz="8" w:color="0000EE"/>
            </w:tcBorders>
            <w:gridSpan w:val="25"/>
          </w:tcPr>
          <w:p>
            <w:pPr>
              <w:spacing w:after="0" w:line="183" w:lineRule="exact"/>
              <w:rPr>
                <w:rFonts w:ascii="Arial" w:cs="Arial" w:eastAsia="Arial" w:hAnsi="Arial"/>
                <w:sz w:val="16"/>
                <w:szCs w:val="16"/>
                <w:color w:val="0000EE"/>
                <w:w w:val="92"/>
              </w:rPr>
            </w:pPr>
            <w:hyperlink r:id="rId121">
              <w:r>
                <w:rPr>
                  <w:rFonts w:ascii="Arial" w:cs="Arial" w:eastAsia="Arial" w:hAnsi="Arial"/>
                  <w:sz w:val="16"/>
                  <w:szCs w:val="16"/>
                  <w:color w:val="0000EE"/>
                  <w:w w:val="92"/>
                </w:rPr>
                <w:t>stockholders (incorporated herein by reference to Exhibit 4.2 to the Registrant’s Registration Statement on Form S-1 (File No. 333-208916),</w:t>
              </w:r>
            </w:hyperlink>
          </w:p>
        </w:tc>
        <w:tc>
          <w:tcPr>
            <w:tcW w:w="60" w:type="dxa"/>
            <w:vAlign w:val="bottom"/>
            <w:gridSpan w:val="3"/>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160" w:type="dxa"/>
            <w:vAlign w:val="bottom"/>
            <w:tcBorders>
              <w:bottom w:val="single" w:sz="8" w:color="0000EE"/>
            </w:tcBorders>
            <w:gridSpan w:val="6"/>
          </w:tcPr>
          <w:p>
            <w:pPr>
              <w:spacing w:after="0" w:line="183" w:lineRule="exact"/>
              <w:rPr>
                <w:rFonts w:ascii="Arial" w:cs="Arial" w:eastAsia="Arial" w:hAnsi="Arial"/>
                <w:sz w:val="16"/>
                <w:szCs w:val="16"/>
                <w:color w:val="0000EE"/>
                <w:w w:val="93"/>
              </w:rPr>
            </w:pPr>
            <w:hyperlink r:id="rId121">
              <w:r>
                <w:rPr>
                  <w:rFonts w:ascii="Arial" w:cs="Arial" w:eastAsia="Arial" w:hAnsi="Arial"/>
                  <w:sz w:val="16"/>
                  <w:szCs w:val="16"/>
                  <w:color w:val="0000EE"/>
                  <w:w w:val="93"/>
                </w:rPr>
                <w:t>filed with the Commission on January 8, 2016).</w:t>
              </w:r>
            </w:hyperlink>
          </w:p>
        </w:tc>
        <w:tc>
          <w:tcPr>
            <w:tcW w:w="6000" w:type="dxa"/>
            <w:vAlign w:val="bottom"/>
            <w:gridSpan w:val="22"/>
          </w:tcPr>
          <w:p>
            <w:pPr>
              <w:spacing w:after="0"/>
              <w:rPr>
                <w:sz w:val="15"/>
                <w:szCs w:val="15"/>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6"/>
                <w:szCs w:val="16"/>
                <w:color w:val="auto"/>
              </w:rPr>
              <w:t>4.3</w:t>
            </w:r>
          </w:p>
        </w:tc>
        <w:tc>
          <w:tcPr>
            <w:tcW w:w="920" w:type="dxa"/>
            <w:vAlign w:val="bottom"/>
          </w:tcPr>
          <w:p>
            <w:pPr>
              <w:spacing w:after="0"/>
              <w:rPr>
                <w:sz w:val="24"/>
                <w:szCs w:val="24"/>
                <w:color w:val="auto"/>
              </w:rPr>
            </w:pPr>
          </w:p>
        </w:tc>
        <w:tc>
          <w:tcPr>
            <w:tcW w:w="8760" w:type="dxa"/>
            <w:vAlign w:val="bottom"/>
            <w:tcBorders>
              <w:bottom w:val="single" w:sz="8" w:color="0000EE"/>
            </w:tcBorders>
            <w:gridSpan w:val="13"/>
          </w:tcPr>
          <w:p>
            <w:pPr>
              <w:spacing w:after="0"/>
              <w:rPr>
                <w:rFonts w:ascii="Arial" w:cs="Arial" w:eastAsia="Arial" w:hAnsi="Arial"/>
                <w:sz w:val="16"/>
                <w:szCs w:val="16"/>
                <w:color w:val="0000EE"/>
                <w:w w:val="90"/>
              </w:rPr>
            </w:pPr>
            <w:hyperlink r:id="rId122">
              <w:r>
                <w:rPr>
                  <w:rFonts w:ascii="Arial" w:cs="Arial" w:eastAsia="Arial" w:hAnsi="Arial"/>
                  <w:sz w:val="16"/>
                  <w:szCs w:val="16"/>
                  <w:color w:val="0000EE"/>
                  <w:w w:val="90"/>
                </w:rPr>
                <w:t>Form of Warrant to Purchase Common Stock issued to lenders in September 2016 in connection with Amended and Restated Loan and</w:t>
              </w:r>
            </w:hyperlink>
          </w:p>
        </w:tc>
        <w:tc>
          <w:tcPr>
            <w:tcW w:w="400" w:type="dxa"/>
            <w:vAlign w:val="bottom"/>
            <w:gridSpan w:val="15"/>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60" w:type="dxa"/>
            <w:vAlign w:val="bottom"/>
            <w:gridSpan w:val="28"/>
          </w:tcPr>
          <w:p>
            <w:pPr>
              <w:spacing w:after="0" w:line="183" w:lineRule="exact"/>
              <w:rPr>
                <w:rFonts w:ascii="Arial" w:cs="Arial" w:eastAsia="Arial" w:hAnsi="Arial"/>
                <w:sz w:val="16"/>
                <w:szCs w:val="16"/>
                <w:color w:val="0000EE"/>
                <w:w w:val="94"/>
              </w:rPr>
            </w:pPr>
            <w:hyperlink r:id="rId122">
              <w:r>
                <w:rPr>
                  <w:rFonts w:ascii="Arial" w:cs="Arial" w:eastAsia="Arial" w:hAnsi="Arial"/>
                  <w:sz w:val="16"/>
                  <w:szCs w:val="16"/>
                  <w:color w:val="0000EE"/>
                  <w:w w:val="94"/>
                </w:rPr>
                <w:t>Security Agreement (incorporated herein by reference to Exhibit 4.1 to the Registrant’s Current Report on Form 8-K (File No. 001-37783),</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22">
              <w:r>
                <w:rPr>
                  <w:rFonts w:ascii="Arial" w:cs="Arial" w:eastAsia="Arial" w:hAnsi="Arial"/>
                  <w:sz w:val="16"/>
                  <w:szCs w:val="16"/>
                  <w:color w:val="0000EE"/>
                  <w:w w:val="93"/>
                </w:rPr>
                <w:t>filed with the Commission on October 4, 2016).</w:t>
              </w:r>
            </w:hyperlink>
          </w:p>
        </w:tc>
        <w:tc>
          <w:tcPr>
            <w:tcW w:w="5860" w:type="dxa"/>
            <w:vAlign w:val="bottom"/>
            <w:tcBorders>
              <w:top w:val="single" w:sz="8" w:color="0000EE"/>
            </w:tcBorders>
            <w:gridSpan w:val="15"/>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398"/>
        </w:trPr>
        <w:tc>
          <w:tcPr>
            <w:tcW w:w="1180" w:type="dxa"/>
            <w:vAlign w:val="bottom"/>
          </w:tcPr>
          <w:p>
            <w:pPr>
              <w:ind w:left="20"/>
              <w:spacing w:after="0"/>
              <w:rPr>
                <w:sz w:val="20"/>
                <w:szCs w:val="20"/>
                <w:color w:val="auto"/>
              </w:rPr>
            </w:pPr>
            <w:r>
              <w:rPr>
                <w:rFonts w:ascii="Arial" w:cs="Arial" w:eastAsia="Arial" w:hAnsi="Arial"/>
                <w:sz w:val="16"/>
                <w:szCs w:val="16"/>
                <w:color w:val="auto"/>
              </w:rPr>
              <w:t>4.4</w:t>
            </w:r>
          </w:p>
        </w:tc>
        <w:tc>
          <w:tcPr>
            <w:tcW w:w="92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6"/>
                <w:szCs w:val="16"/>
                <w:color w:val="0000EE"/>
                <w:w w:val="96"/>
              </w:rPr>
            </w:pPr>
            <w:hyperlink r:id="rId123">
              <w:r>
                <w:rPr>
                  <w:rFonts w:ascii="Arial" w:cs="Arial" w:eastAsia="Arial" w:hAnsi="Arial"/>
                  <w:sz w:val="16"/>
                  <w:szCs w:val="16"/>
                  <w:color w:val="0000EE"/>
                  <w:w w:val="96"/>
                </w:rPr>
                <w:t>Description of Common Stock of Clearside Biomedical, Inc. (incorporated herein by reference to Exhibit 4.4 to the Registrant’s Annual</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2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w w:val="93"/>
              </w:rPr>
            </w:pPr>
            <w:hyperlink r:id="rId123">
              <w:r>
                <w:rPr>
                  <w:rFonts w:ascii="Arial" w:cs="Arial" w:eastAsia="Arial" w:hAnsi="Arial"/>
                  <w:sz w:val="16"/>
                  <w:szCs w:val="16"/>
                  <w:color w:val="0000EE"/>
                  <w:w w:val="93"/>
                </w:rPr>
                <w:t>Report on Form 10-K (File No. 001-37783), filed with the Commission on March 13, 2020).</w:t>
              </w:r>
            </w:hyperlink>
          </w:p>
        </w:tc>
        <w:tc>
          <w:tcPr>
            <w:tcW w:w="2780" w:type="dxa"/>
            <w:vAlign w:val="bottom"/>
            <w:tcBorders>
              <w:top w:val="single" w:sz="8" w:color="0000EE"/>
            </w:tcBorders>
            <w:gridSpan w:val="4"/>
          </w:tcPr>
          <w:p>
            <w:pPr>
              <w:spacing w:after="0"/>
              <w:rPr>
                <w:sz w:val="15"/>
                <w:szCs w:val="15"/>
                <w:color w:val="auto"/>
              </w:rPr>
            </w:pPr>
          </w:p>
        </w:tc>
        <w:tc>
          <w:tcPr>
            <w:tcW w:w="360" w:type="dxa"/>
            <w:vAlign w:val="bottom"/>
            <w:gridSpan w:val="14"/>
          </w:tcPr>
          <w:p>
            <w:pPr>
              <w:spacing w:after="0"/>
              <w:rPr>
                <w:sz w:val="15"/>
                <w:szCs w:val="15"/>
                <w:color w:val="auto"/>
              </w:rPr>
            </w:pPr>
          </w:p>
        </w:tc>
      </w:tr>
      <w:tr>
        <w:trPr>
          <w:trHeight w:val="399"/>
        </w:trPr>
        <w:tc>
          <w:tcPr>
            <w:tcW w:w="1180" w:type="dxa"/>
            <w:vAlign w:val="bottom"/>
          </w:tcPr>
          <w:p>
            <w:pPr>
              <w:ind w:left="20"/>
              <w:spacing w:after="0"/>
              <w:rPr>
                <w:sz w:val="20"/>
                <w:szCs w:val="20"/>
                <w:color w:val="auto"/>
              </w:rPr>
            </w:pPr>
            <w:r>
              <w:rPr>
                <w:rFonts w:ascii="Arial" w:cs="Arial" w:eastAsia="Arial" w:hAnsi="Arial"/>
                <w:sz w:val="16"/>
                <w:szCs w:val="16"/>
                <w:color w:val="auto"/>
              </w:rPr>
              <w:t>4.5</w:t>
            </w:r>
          </w:p>
        </w:tc>
        <w:tc>
          <w:tcPr>
            <w:tcW w:w="920" w:type="dxa"/>
            <w:vAlign w:val="bottom"/>
          </w:tcPr>
          <w:p>
            <w:pPr>
              <w:spacing w:after="0"/>
              <w:rPr>
                <w:sz w:val="24"/>
                <w:szCs w:val="24"/>
                <w:color w:val="auto"/>
              </w:rPr>
            </w:pPr>
          </w:p>
        </w:tc>
        <w:tc>
          <w:tcPr>
            <w:tcW w:w="9120" w:type="dxa"/>
            <w:vAlign w:val="bottom"/>
            <w:tcBorders>
              <w:bottom w:val="single" w:sz="8" w:color="0000EE"/>
            </w:tcBorders>
            <w:gridSpan w:val="26"/>
          </w:tcPr>
          <w:p>
            <w:pPr>
              <w:spacing w:after="0"/>
              <w:rPr>
                <w:rFonts w:ascii="Arial" w:cs="Arial" w:eastAsia="Arial" w:hAnsi="Arial"/>
                <w:sz w:val="16"/>
                <w:szCs w:val="16"/>
                <w:color w:val="0000EE"/>
                <w:w w:val="91"/>
              </w:rPr>
            </w:pPr>
            <w:hyperlink r:id="rId124">
              <w:r>
                <w:rPr>
                  <w:rFonts w:ascii="Arial" w:cs="Arial" w:eastAsia="Arial" w:hAnsi="Arial"/>
                  <w:sz w:val="16"/>
                  <w:szCs w:val="16"/>
                  <w:color w:val="0000EE"/>
                  <w:w w:val="91"/>
                </w:rPr>
                <w:t>Registration Rights Agreement, by and among the Registrant and the Investors named therein, dated as of November 22, 2019 (incorporated</w:t>
              </w:r>
            </w:hyperlink>
          </w:p>
        </w:tc>
        <w:tc>
          <w:tcPr>
            <w:tcW w:w="40" w:type="dxa"/>
            <w:vAlign w:val="bottom"/>
            <w:gridSpan w:val="2"/>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2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r:id="rId124">
              <w:r>
                <w:rPr>
                  <w:rFonts w:ascii="Arial" w:cs="Arial" w:eastAsia="Arial" w:hAnsi="Arial"/>
                  <w:sz w:val="16"/>
                  <w:szCs w:val="16"/>
                  <w:color w:val="0000EE"/>
                  <w:w w:val="93"/>
                </w:rPr>
                <w:t>herein by reference to Exhibit 10.2 to the Registrant’s Current Report on Form 8-K (File No. 001-37783), filed with the Commission on</w:t>
              </w:r>
            </w:hyperlink>
          </w:p>
        </w:tc>
        <w:tc>
          <w:tcPr>
            <w:tcW w:w="340" w:type="dxa"/>
            <w:vAlign w:val="bottom"/>
            <w:gridSpan w:val="13"/>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124">
              <w:r>
                <w:rPr>
                  <w:rFonts w:ascii="Arial" w:cs="Arial" w:eastAsia="Arial" w:hAnsi="Arial"/>
                  <w:sz w:val="16"/>
                  <w:szCs w:val="16"/>
                  <w:color w:val="0000EE"/>
                  <w:w w:val="91"/>
                </w:rPr>
                <w:t>November 25, 2019).</w:t>
              </w:r>
            </w:hyperlink>
          </w:p>
        </w:tc>
        <w:tc>
          <w:tcPr>
            <w:tcW w:w="7760" w:type="dxa"/>
            <w:vAlign w:val="bottom"/>
            <w:gridSpan w:val="25"/>
          </w:tcPr>
          <w:p>
            <w:pPr>
              <w:spacing w:after="0"/>
              <w:rPr>
                <w:sz w:val="15"/>
                <w:szCs w:val="15"/>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6"/>
                <w:szCs w:val="16"/>
                <w:color w:val="auto"/>
              </w:rPr>
              <w:t>10.1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60" w:type="dxa"/>
            <w:vAlign w:val="bottom"/>
            <w:tcBorders>
              <w:bottom w:val="single" w:sz="8" w:color="0000EE"/>
            </w:tcBorders>
            <w:gridSpan w:val="23"/>
          </w:tcPr>
          <w:p>
            <w:pPr>
              <w:spacing w:after="0"/>
              <w:rPr>
                <w:rFonts w:ascii="Arial" w:cs="Arial" w:eastAsia="Arial" w:hAnsi="Arial"/>
                <w:sz w:val="16"/>
                <w:szCs w:val="16"/>
                <w:color w:val="0000EE"/>
                <w:w w:val="91"/>
              </w:rPr>
            </w:pPr>
            <w:hyperlink r:id="rId125">
              <w:r>
                <w:rPr>
                  <w:rFonts w:ascii="Arial" w:cs="Arial" w:eastAsia="Arial" w:hAnsi="Arial"/>
                  <w:sz w:val="16"/>
                  <w:szCs w:val="16"/>
                  <w:color w:val="0000EE"/>
                  <w:w w:val="91"/>
                </w:rPr>
                <w:t>License Agreement, by and among the Registrant, Emory University and The Georgia Tech Research Corporation, dated as of July 4, 2012,</w:t>
              </w:r>
            </w:hyperlink>
          </w:p>
        </w:tc>
        <w:tc>
          <w:tcPr>
            <w:tcW w:w="100" w:type="dxa"/>
            <w:vAlign w:val="bottom"/>
            <w:gridSpan w:val="5"/>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25">
              <w:r>
                <w:rPr>
                  <w:rFonts w:ascii="Arial" w:cs="Arial" w:eastAsia="Arial" w:hAnsi="Arial"/>
                  <w:sz w:val="16"/>
                  <w:szCs w:val="16"/>
                  <w:color w:val="0000EE"/>
                  <w:w w:val="91"/>
                </w:rPr>
                <w:t>as amended by the First Amendment to License Agreement, dated April 2, 2014 (incorporated herein by reference to Exhibit 10.1 to the</w:t>
              </w:r>
            </w:hyperlink>
          </w:p>
        </w:tc>
        <w:tc>
          <w:tcPr>
            <w:tcW w:w="340" w:type="dxa"/>
            <w:vAlign w:val="bottom"/>
            <w:gridSpan w:val="13"/>
          </w:tcPr>
          <w:p>
            <w:pPr>
              <w:spacing w:after="0"/>
              <w:rPr>
                <w:sz w:val="15"/>
                <w:szCs w:val="15"/>
                <w:color w:val="auto"/>
              </w:rPr>
            </w:pPr>
          </w:p>
        </w:tc>
      </w:tr>
      <w:tr>
        <w:trPr>
          <w:trHeight w:val="217"/>
        </w:trPr>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60" w:type="dxa"/>
            <w:vAlign w:val="bottom"/>
            <w:gridSpan w:val="28"/>
          </w:tcPr>
          <w:p>
            <w:pPr>
              <w:spacing w:after="0"/>
              <w:rPr>
                <w:rFonts w:ascii="Arial" w:cs="Arial" w:eastAsia="Arial" w:hAnsi="Arial"/>
                <w:sz w:val="16"/>
                <w:szCs w:val="16"/>
                <w:u w:val="single" w:color="auto"/>
                <w:color w:val="0000EE"/>
              </w:rPr>
            </w:pPr>
            <w:hyperlink r:id="rId125">
              <w:r>
                <w:rPr>
                  <w:rFonts w:ascii="Arial" w:cs="Arial" w:eastAsia="Arial" w:hAnsi="Arial"/>
                  <w:sz w:val="16"/>
                  <w:szCs w:val="16"/>
                  <w:u w:val="single" w:color="auto"/>
                  <w:color w:val="0000EE"/>
                </w:rPr>
                <w:t>Registrant’s Registration Statement on Form S-1 (File No. 333-208916), filed with the Commission on January 8, 2016).</w:t>
              </w:r>
            </w:hyperlink>
          </w:p>
        </w:tc>
      </w:tr>
      <w:tr>
        <w:trPr>
          <w:trHeight w:val="276"/>
        </w:trPr>
        <w:tc>
          <w:tcPr>
            <w:tcW w:w="1180" w:type="dxa"/>
            <w:vAlign w:val="bottom"/>
          </w:tcPr>
          <w:p>
            <w:pPr>
              <w:ind w:left="20"/>
              <w:spacing w:after="0"/>
              <w:rPr>
                <w:sz w:val="20"/>
                <w:szCs w:val="20"/>
                <w:color w:val="auto"/>
              </w:rPr>
            </w:pPr>
            <w:r>
              <w:rPr>
                <w:rFonts w:ascii="Arial" w:cs="Arial" w:eastAsia="Arial" w:hAnsi="Arial"/>
                <w:sz w:val="16"/>
                <w:szCs w:val="16"/>
                <w:color w:val="auto"/>
              </w:rPr>
              <w:t>10.2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80" w:type="dxa"/>
            <w:vAlign w:val="bottom"/>
            <w:tcBorders>
              <w:bottom w:val="single" w:sz="8" w:color="0000EE"/>
            </w:tcBorders>
            <w:gridSpan w:val="20"/>
          </w:tcPr>
          <w:p>
            <w:pPr>
              <w:spacing w:after="0"/>
              <w:rPr>
                <w:rFonts w:ascii="Arial" w:cs="Arial" w:eastAsia="Arial" w:hAnsi="Arial"/>
                <w:sz w:val="16"/>
                <w:szCs w:val="16"/>
                <w:color w:val="0000EE"/>
                <w:w w:val="91"/>
              </w:rPr>
            </w:pPr>
            <w:hyperlink r:id="rId126">
              <w:r>
                <w:rPr>
                  <w:rFonts w:ascii="Arial" w:cs="Arial" w:eastAsia="Arial" w:hAnsi="Arial"/>
                  <w:sz w:val="16"/>
                  <w:szCs w:val="16"/>
                  <w:color w:val="0000EE"/>
                  <w:w w:val="91"/>
                </w:rPr>
                <w:t>2011 Stock Incentive Plan, as amended to date (incorporated herein by reference to Exhibit 10.3 to the Registrant’s Registration Statement</w:t>
              </w:r>
            </w:hyperlink>
          </w:p>
        </w:tc>
        <w:tc>
          <w:tcPr>
            <w:tcW w:w="180" w:type="dxa"/>
            <w:vAlign w:val="bottom"/>
            <w:gridSpan w:val="8"/>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60" w:type="dxa"/>
            <w:vAlign w:val="bottom"/>
            <w:gridSpan w:val="28"/>
          </w:tcPr>
          <w:p>
            <w:pPr>
              <w:spacing w:after="0" w:line="183" w:lineRule="exact"/>
              <w:rPr>
                <w:rFonts w:ascii="Arial" w:cs="Arial" w:eastAsia="Arial" w:hAnsi="Arial"/>
                <w:sz w:val="16"/>
                <w:szCs w:val="16"/>
                <w:color w:val="0000EE"/>
              </w:rPr>
            </w:pPr>
            <w:hyperlink r:id="rId126">
              <w:r>
                <w:rPr>
                  <w:rFonts w:ascii="Arial" w:cs="Arial" w:eastAsia="Arial" w:hAnsi="Arial"/>
                  <w:sz w:val="16"/>
                  <w:szCs w:val="16"/>
                  <w:color w:val="0000EE"/>
                </w:rPr>
                <w:t>on Form S-1 (File No. 333-208916), filed with the Commission on January 8, 2016).</w:t>
              </w:r>
            </w:hyperlink>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10.3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60" w:type="dxa"/>
            <w:vAlign w:val="bottom"/>
            <w:gridSpan w:val="28"/>
          </w:tcPr>
          <w:p>
            <w:pPr>
              <w:spacing w:after="0"/>
              <w:rPr>
                <w:rFonts w:ascii="Arial" w:cs="Arial" w:eastAsia="Arial" w:hAnsi="Arial"/>
                <w:sz w:val="16"/>
                <w:szCs w:val="16"/>
                <w:color w:val="0000EE"/>
                <w:w w:val="93"/>
              </w:rPr>
            </w:pPr>
            <w:hyperlink r:id="rId127">
              <w:r>
                <w:rPr>
                  <w:rFonts w:ascii="Arial" w:cs="Arial" w:eastAsia="Arial" w:hAnsi="Arial"/>
                  <w:sz w:val="16"/>
                  <w:szCs w:val="16"/>
                  <w:color w:val="0000EE"/>
                  <w:w w:val="93"/>
                </w:rPr>
                <w:t>Form of Incentive Stock Option Grant Notice and Incentive Stock Option Agreement under 2011 Stock Incentive Plan (incorporated herein</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940" w:type="dxa"/>
            <w:vAlign w:val="bottom"/>
            <w:tcBorders>
              <w:top w:val="single" w:sz="8" w:color="0000EE"/>
              <w:bottom w:val="single" w:sz="8" w:color="0000EE"/>
            </w:tcBorders>
            <w:gridSpan w:val="19"/>
          </w:tcPr>
          <w:p>
            <w:pPr>
              <w:spacing w:after="0" w:line="183" w:lineRule="exact"/>
              <w:rPr>
                <w:rFonts w:ascii="Arial" w:cs="Arial" w:eastAsia="Arial" w:hAnsi="Arial"/>
                <w:sz w:val="16"/>
                <w:szCs w:val="16"/>
                <w:color w:val="0000EE"/>
                <w:w w:val="92"/>
              </w:rPr>
            </w:pPr>
            <w:hyperlink r:id="rId127">
              <w:r>
                <w:rPr>
                  <w:rFonts w:ascii="Arial" w:cs="Arial" w:eastAsia="Arial" w:hAnsi="Arial"/>
                  <w:sz w:val="16"/>
                  <w:szCs w:val="16"/>
                  <w:color w:val="0000EE"/>
                  <w:w w:val="92"/>
                </w:rPr>
                <w:t>by reference to Exhibit 10.4 to the Registrant’s Registration Statement on Form S-1 (File No. 333-208916), filed with the Commission on</w:t>
              </w:r>
            </w:hyperlink>
          </w:p>
        </w:tc>
        <w:tc>
          <w:tcPr>
            <w:tcW w:w="100" w:type="dxa"/>
            <w:vAlign w:val="bottom"/>
            <w:tcBorders>
              <w:top w:val="single" w:sz="8" w:color="0000EE"/>
            </w:tcBorders>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Borders>
              <w:bottom w:val="single" w:sz="8" w:color="0000EE"/>
            </w:tcBorders>
          </w:tcPr>
          <w:p>
            <w:pPr>
              <w:spacing w:after="0" w:line="183" w:lineRule="exact"/>
              <w:rPr>
                <w:rFonts w:ascii="Arial" w:cs="Arial" w:eastAsia="Arial" w:hAnsi="Arial"/>
                <w:sz w:val="16"/>
                <w:szCs w:val="16"/>
                <w:color w:val="0000EE"/>
                <w:w w:val="89"/>
              </w:rPr>
            </w:pPr>
            <w:hyperlink r:id="rId127">
              <w:r>
                <w:rPr>
                  <w:rFonts w:ascii="Arial" w:cs="Arial" w:eastAsia="Arial" w:hAnsi="Arial"/>
                  <w:sz w:val="16"/>
                  <w:szCs w:val="16"/>
                  <w:color w:val="0000EE"/>
                  <w:w w:val="89"/>
                </w:rPr>
                <w:t>January 8, 2016).</w:t>
              </w:r>
            </w:hyperlink>
          </w:p>
        </w:tc>
        <w:tc>
          <w:tcPr>
            <w:tcW w:w="8020" w:type="dxa"/>
            <w:vAlign w:val="bottom"/>
            <w:gridSpan w:val="27"/>
          </w:tcPr>
          <w:p>
            <w:pPr>
              <w:spacing w:after="0"/>
              <w:rPr>
                <w:sz w:val="15"/>
                <w:szCs w:val="15"/>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10.4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60" w:type="dxa"/>
            <w:vAlign w:val="bottom"/>
            <w:gridSpan w:val="28"/>
          </w:tcPr>
          <w:p>
            <w:pPr>
              <w:spacing w:after="0"/>
              <w:rPr>
                <w:rFonts w:ascii="Arial" w:cs="Arial" w:eastAsia="Arial" w:hAnsi="Arial"/>
                <w:sz w:val="16"/>
                <w:szCs w:val="16"/>
                <w:color w:val="0000EE"/>
                <w:w w:val="93"/>
              </w:rPr>
            </w:pPr>
            <w:hyperlink r:id="rId128">
              <w:r>
                <w:rPr>
                  <w:rFonts w:ascii="Arial" w:cs="Arial" w:eastAsia="Arial" w:hAnsi="Arial"/>
                  <w:sz w:val="16"/>
                  <w:szCs w:val="16"/>
                  <w:color w:val="0000EE"/>
                  <w:w w:val="93"/>
                </w:rPr>
                <w:t>Form of Nonqualified Stock Option Grant Notice and Nonqualified Stock Option Agreement under 2011 Stock Incentive Plan (incorporated</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32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2"/>
              </w:rPr>
            </w:pPr>
            <w:hyperlink r:id="rId128">
              <w:r>
                <w:rPr>
                  <w:rFonts w:ascii="Arial" w:cs="Arial" w:eastAsia="Arial" w:hAnsi="Arial"/>
                  <w:sz w:val="16"/>
                  <w:szCs w:val="16"/>
                  <w:color w:val="0000EE"/>
                  <w:w w:val="92"/>
                </w:rPr>
                <w:t>herein by reference to Exhibit 10.5 to the Registrant’s Registration Statement on Form S-1 (File No. 333-208916), filed with the</w:t>
              </w:r>
            </w:hyperlink>
          </w:p>
        </w:tc>
        <w:tc>
          <w:tcPr>
            <w:tcW w:w="780" w:type="dxa"/>
            <w:vAlign w:val="bottom"/>
            <w:tcBorders>
              <w:top w:val="single" w:sz="8" w:color="0000EE"/>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0" w:type="dxa"/>
            <w:vAlign w:val="bottom"/>
            <w:tcBorders>
              <w:bottom w:val="single" w:sz="8" w:color="0000EE"/>
            </w:tcBorders>
            <w:gridSpan w:val="4"/>
          </w:tcPr>
          <w:p>
            <w:pPr>
              <w:spacing w:after="0" w:line="183" w:lineRule="exact"/>
              <w:rPr>
                <w:rFonts w:ascii="Arial" w:cs="Arial" w:eastAsia="Arial" w:hAnsi="Arial"/>
                <w:sz w:val="16"/>
                <w:szCs w:val="16"/>
                <w:color w:val="0000EE"/>
                <w:w w:val="91"/>
              </w:rPr>
            </w:pPr>
            <w:hyperlink r:id="rId128">
              <w:r>
                <w:rPr>
                  <w:rFonts w:ascii="Arial" w:cs="Arial" w:eastAsia="Arial" w:hAnsi="Arial"/>
                  <w:sz w:val="16"/>
                  <w:szCs w:val="16"/>
                  <w:color w:val="0000EE"/>
                  <w:w w:val="91"/>
                </w:rPr>
                <w:t>Commission on January 8, 2016).</w:t>
              </w:r>
            </w:hyperlink>
          </w:p>
        </w:tc>
        <w:tc>
          <w:tcPr>
            <w:tcW w:w="6960" w:type="dxa"/>
            <w:vAlign w:val="bottom"/>
            <w:gridSpan w:val="24"/>
          </w:tcPr>
          <w:p>
            <w:pPr>
              <w:spacing w:after="0"/>
              <w:rPr>
                <w:sz w:val="15"/>
                <w:szCs w:val="15"/>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10.5</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40" w:type="dxa"/>
            <w:vAlign w:val="bottom"/>
            <w:tcBorders>
              <w:bottom w:val="single" w:sz="8" w:color="0000EE"/>
            </w:tcBorders>
            <w:gridSpan w:val="27"/>
          </w:tcPr>
          <w:p>
            <w:pPr>
              <w:spacing w:after="0"/>
              <w:rPr>
                <w:rFonts w:ascii="Arial" w:cs="Arial" w:eastAsia="Arial" w:hAnsi="Arial"/>
                <w:sz w:val="16"/>
                <w:szCs w:val="16"/>
                <w:color w:val="0000EE"/>
                <w:w w:val="92"/>
              </w:rPr>
            </w:pPr>
            <w:hyperlink r:id="rId129">
              <w:r>
                <w:rPr>
                  <w:rFonts w:ascii="Arial" w:cs="Arial" w:eastAsia="Arial" w:hAnsi="Arial"/>
                  <w:sz w:val="16"/>
                  <w:szCs w:val="16"/>
                  <w:color w:val="0000EE"/>
                  <w:w w:val="92"/>
                </w:rPr>
                <w:t>2016 Equity Incentive Plan (incorporated herein by reference to Exhibit 4.7 to the Registrant’s Registration Statement on Form S-8 (File No.</w:t>
              </w:r>
            </w:hyperlink>
          </w:p>
        </w:tc>
        <w:tc>
          <w:tcPr>
            <w:tcW w:w="2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60" w:type="dxa"/>
            <w:vAlign w:val="bottom"/>
            <w:gridSpan w:val="28"/>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333-212014), file with the Commission on June 14, 2016).</w:t>
              </w:r>
            </w:hyperlink>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10.6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80" w:type="dxa"/>
            <w:vAlign w:val="bottom"/>
            <w:tcBorders>
              <w:bottom w:val="single" w:sz="8" w:color="0000EE"/>
            </w:tcBorders>
            <w:gridSpan w:val="16"/>
          </w:tcPr>
          <w:p>
            <w:pPr>
              <w:spacing w:after="0"/>
              <w:rPr>
                <w:rFonts w:ascii="Arial" w:cs="Arial" w:eastAsia="Arial" w:hAnsi="Arial"/>
                <w:sz w:val="16"/>
                <w:szCs w:val="16"/>
                <w:color w:val="0000EE"/>
                <w:w w:val="92"/>
              </w:rPr>
            </w:pPr>
            <w:hyperlink r:id="rId130">
              <w:r>
                <w:rPr>
                  <w:rFonts w:ascii="Arial" w:cs="Arial" w:eastAsia="Arial" w:hAnsi="Arial"/>
                  <w:sz w:val="16"/>
                  <w:szCs w:val="16"/>
                  <w:color w:val="0000EE"/>
                  <w:w w:val="92"/>
                </w:rPr>
                <w:t>Form of Stock Option Grant Notice and Stock Option Agreement under 2016 Equity Incentive Plan (incorporated herein by reference to</w:t>
              </w:r>
            </w:hyperlink>
          </w:p>
        </w:tc>
        <w:tc>
          <w:tcPr>
            <w:tcW w:w="280" w:type="dxa"/>
            <w:vAlign w:val="bottom"/>
            <w:gridSpan w:val="12"/>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160" w:type="dxa"/>
            <w:vAlign w:val="bottom"/>
            <w:gridSpan w:val="28"/>
          </w:tcPr>
          <w:p>
            <w:pPr>
              <w:spacing w:after="0" w:line="183" w:lineRule="exact"/>
              <w:rPr>
                <w:rFonts w:ascii="Arial" w:cs="Arial" w:eastAsia="Arial" w:hAnsi="Arial"/>
                <w:sz w:val="16"/>
                <w:szCs w:val="16"/>
                <w:color w:val="0000EE"/>
                <w:w w:val="93"/>
              </w:rPr>
            </w:pPr>
            <w:hyperlink r:id="rId130">
              <w:r>
                <w:rPr>
                  <w:rFonts w:ascii="Arial" w:cs="Arial" w:eastAsia="Arial" w:hAnsi="Arial"/>
                  <w:sz w:val="16"/>
                  <w:szCs w:val="16"/>
                  <w:color w:val="0000EE"/>
                  <w:w w:val="93"/>
                </w:rPr>
                <w:t>Exhibit 10.7 to Amendment No. 1 to the Registrant’s Registration Statement on Form S-1 (File No. 333-208916), filed with the Commission</w:t>
              </w:r>
            </w:hyperlink>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r:id="rId130">
              <w:r>
                <w:rPr>
                  <w:rFonts w:ascii="Arial" w:cs="Arial" w:eastAsia="Arial" w:hAnsi="Arial"/>
                  <w:sz w:val="16"/>
                  <w:szCs w:val="16"/>
                  <w:color w:val="0000EE"/>
                  <w:w w:val="92"/>
                </w:rPr>
                <w:t>on March 18, 2016).</w:t>
              </w:r>
            </w:hyperlink>
          </w:p>
        </w:tc>
        <w:tc>
          <w:tcPr>
            <w:tcW w:w="7780" w:type="dxa"/>
            <w:vAlign w:val="bottom"/>
            <w:tcBorders>
              <w:top w:val="single" w:sz="8" w:color="0000EE"/>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90"/>
        </w:trPr>
        <w:tc>
          <w:tcPr>
            <w:tcW w:w="1180" w:type="dxa"/>
            <w:vAlign w:val="bottom"/>
          </w:tcPr>
          <w:p>
            <w:pPr>
              <w:ind w:left="20"/>
              <w:spacing w:after="0"/>
              <w:rPr>
                <w:sz w:val="20"/>
                <w:szCs w:val="20"/>
                <w:color w:val="auto"/>
              </w:rPr>
            </w:pPr>
            <w:r>
              <w:rPr>
                <w:rFonts w:ascii="Arial" w:cs="Arial" w:eastAsia="Arial" w:hAnsi="Arial"/>
                <w:sz w:val="16"/>
                <w:szCs w:val="16"/>
                <w:color w:val="auto"/>
              </w:rPr>
              <w:t>10.7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20" w:type="dxa"/>
            <w:vAlign w:val="bottom"/>
            <w:tcBorders>
              <w:bottom w:val="single" w:sz="8" w:color="0000EE"/>
            </w:tcBorders>
            <w:gridSpan w:val="18"/>
          </w:tcPr>
          <w:p>
            <w:pPr>
              <w:spacing w:after="0"/>
              <w:rPr>
                <w:rFonts w:ascii="Arial" w:cs="Arial" w:eastAsia="Arial" w:hAnsi="Arial"/>
                <w:sz w:val="16"/>
                <w:szCs w:val="16"/>
                <w:color w:val="0000EE"/>
                <w:w w:val="92"/>
              </w:rPr>
            </w:pPr>
            <w:hyperlink r:id="rId131">
              <w:r>
                <w:rPr>
                  <w:rFonts w:ascii="Arial" w:cs="Arial" w:eastAsia="Arial" w:hAnsi="Arial"/>
                  <w:sz w:val="16"/>
                  <w:szCs w:val="16"/>
                  <w:color w:val="0000EE"/>
                  <w:w w:val="92"/>
                </w:rPr>
                <w:t>Form of Restricted Stock Unit Grant Notice and Restricted Stock Unit Award Agreement under 2016 Equity Incentive Plan (incorporated</w:t>
              </w:r>
            </w:hyperlink>
          </w:p>
        </w:tc>
        <w:tc>
          <w:tcPr>
            <w:tcW w:w="240" w:type="dxa"/>
            <w:vAlign w:val="bottom"/>
            <w:gridSpan w:val="10"/>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2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131">
              <w:r>
                <w:rPr>
                  <w:rFonts w:ascii="Arial" w:cs="Arial" w:eastAsia="Arial" w:hAnsi="Arial"/>
                  <w:sz w:val="16"/>
                  <w:szCs w:val="16"/>
                  <w:color w:val="0000EE"/>
                  <w:w w:val="92"/>
                </w:rPr>
                <w:t>herein by reference to Exhibit 10.8 to Amendment No. 1 to the Registrant’s Registration Statement on Form S-1 (File No. 333-208916),</w:t>
              </w:r>
            </w:hyperlink>
          </w:p>
        </w:tc>
        <w:tc>
          <w:tcPr>
            <w:tcW w:w="340" w:type="dxa"/>
            <w:vAlign w:val="bottom"/>
            <w:gridSpan w:val="13"/>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100" w:type="dxa"/>
            <w:vAlign w:val="bottom"/>
            <w:tcBorders>
              <w:bottom w:val="single" w:sz="8" w:color="0000EE"/>
            </w:tcBorders>
            <w:gridSpan w:val="5"/>
          </w:tcPr>
          <w:p>
            <w:pPr>
              <w:spacing w:after="0" w:line="183" w:lineRule="exact"/>
              <w:rPr>
                <w:rFonts w:ascii="Arial" w:cs="Arial" w:eastAsia="Arial" w:hAnsi="Arial"/>
                <w:sz w:val="16"/>
                <w:szCs w:val="16"/>
                <w:color w:val="0000EE"/>
                <w:w w:val="93"/>
              </w:rPr>
            </w:pPr>
            <w:hyperlink r:id="rId131">
              <w:r>
                <w:rPr>
                  <w:rFonts w:ascii="Arial" w:cs="Arial" w:eastAsia="Arial" w:hAnsi="Arial"/>
                  <w:sz w:val="16"/>
                  <w:szCs w:val="16"/>
                  <w:color w:val="0000EE"/>
                  <w:w w:val="93"/>
                </w:rPr>
                <w:t>filed with the Commission on March 18, 2016).</w:t>
              </w:r>
            </w:hyperlink>
          </w:p>
        </w:tc>
        <w:tc>
          <w:tcPr>
            <w:tcW w:w="6060" w:type="dxa"/>
            <w:vAlign w:val="bottom"/>
            <w:gridSpan w:val="23"/>
          </w:tcPr>
          <w:p>
            <w:pPr>
              <w:spacing w:after="0"/>
              <w:rPr>
                <w:sz w:val="15"/>
                <w:szCs w:val="15"/>
                <w:color w:val="auto"/>
              </w:rPr>
            </w:pPr>
          </w:p>
        </w:tc>
      </w:tr>
      <w:tr>
        <w:trPr>
          <w:trHeight w:val="560"/>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gridSpan w:val="7"/>
          </w:tcPr>
          <w:p>
            <w:pPr>
              <w:ind w:left="3440"/>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ind w:left="20"/>
              <w:spacing w:after="0"/>
              <w:rPr>
                <w:sz w:val="20"/>
                <w:szCs w:val="20"/>
                <w:color w:val="auto"/>
              </w:rPr>
            </w:pPr>
            <w:r>
              <w:rPr>
                <w:rFonts w:ascii="Arial" w:cs="Arial" w:eastAsia="Arial" w:hAnsi="Arial"/>
                <w:sz w:val="16"/>
                <w:szCs w:val="16"/>
                <w:color w:val="auto"/>
              </w:rPr>
              <w:t>10.8</w:t>
            </w:r>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6"/>
                <w:szCs w:val="16"/>
                <w:color w:val="0000EE"/>
                <w:w w:val="97"/>
              </w:rPr>
            </w:pPr>
            <w:hyperlink r:id="rId134">
              <w:r>
                <w:rPr>
                  <w:rFonts w:ascii="Arial" w:cs="Arial" w:eastAsia="Arial" w:hAnsi="Arial"/>
                  <w:sz w:val="16"/>
                  <w:szCs w:val="16"/>
                  <w:color w:val="0000EE"/>
                  <w:w w:val="97"/>
                </w:rPr>
                <w:t>Form of Indemnification Agreement with non-employee directors (incorporated herein by reference to Exhibit 10.9 to the Registrant’s</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70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Registration Statement on Form S-1 (File No. 333-208916), filed with the Commission on January 8, 2016).</w:t>
              </w:r>
            </w:hyperlink>
          </w:p>
        </w:tc>
        <w:tc>
          <w:tcPr>
            <w:tcW w:w="4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ind w:left="20"/>
              <w:spacing w:after="0"/>
              <w:rPr>
                <w:sz w:val="20"/>
                <w:szCs w:val="20"/>
                <w:color w:val="auto"/>
              </w:rPr>
            </w:pPr>
            <w:r>
              <w:rPr>
                <w:rFonts w:ascii="Arial" w:cs="Arial" w:eastAsia="Arial" w:hAnsi="Arial"/>
                <w:sz w:val="16"/>
                <w:szCs w:val="16"/>
                <w:color w:val="auto"/>
              </w:rPr>
              <w:t>10.9</w:t>
            </w:r>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900" w:type="dxa"/>
            <w:vAlign w:val="bottom"/>
            <w:tcBorders>
              <w:bottom w:val="single" w:sz="8" w:color="0000EE"/>
            </w:tcBorders>
            <w:gridSpan w:val="20"/>
          </w:tcPr>
          <w:p>
            <w:pPr>
              <w:spacing w:after="0"/>
              <w:rPr>
                <w:rFonts w:ascii="Arial" w:cs="Arial" w:eastAsia="Arial" w:hAnsi="Arial"/>
                <w:sz w:val="16"/>
                <w:szCs w:val="16"/>
                <w:color w:val="0000EE"/>
                <w:w w:val="92"/>
              </w:rPr>
            </w:pPr>
            <w:hyperlink r:id="rId135">
              <w:r>
                <w:rPr>
                  <w:rFonts w:ascii="Arial" w:cs="Arial" w:eastAsia="Arial" w:hAnsi="Arial"/>
                  <w:sz w:val="16"/>
                  <w:szCs w:val="16"/>
                  <w:color w:val="0000EE"/>
                  <w:w w:val="92"/>
                </w:rPr>
                <w:t>Form of 2016 Employee Stock Purchase Plan (incorporated herein by reference to Exhibit 10.12 to Amendment No. 1 to the Registrant’s</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rPr>
            </w:pPr>
            <w:hyperlink r:id="rId135">
              <w:r>
                <w:rPr>
                  <w:rFonts w:ascii="Arial" w:cs="Arial" w:eastAsia="Arial" w:hAnsi="Arial"/>
                  <w:sz w:val="16"/>
                  <w:szCs w:val="16"/>
                  <w:color w:val="0000EE"/>
                </w:rPr>
                <w:t>Registration Statement on Form S-1 (File No. 333-208916), filed with the Commission on March 18, 2016).</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10.10</w:t>
            </w:r>
          </w:p>
        </w:tc>
        <w:tc>
          <w:tcPr>
            <w:tcW w:w="1040" w:type="dxa"/>
            <w:vAlign w:val="bottom"/>
          </w:tcPr>
          <w:p>
            <w:pPr>
              <w:spacing w:after="0"/>
              <w:rPr>
                <w:sz w:val="24"/>
                <w:szCs w:val="24"/>
                <w:color w:val="auto"/>
              </w:rPr>
            </w:pPr>
          </w:p>
        </w:tc>
        <w:tc>
          <w:tcPr>
            <w:tcW w:w="9160" w:type="dxa"/>
            <w:vAlign w:val="bottom"/>
            <w:gridSpan w:val="30"/>
          </w:tcPr>
          <w:p>
            <w:pPr>
              <w:spacing w:after="0"/>
              <w:rPr>
                <w:rFonts w:ascii="Arial" w:cs="Arial" w:eastAsia="Arial" w:hAnsi="Arial"/>
                <w:sz w:val="16"/>
                <w:szCs w:val="16"/>
                <w:color w:val="0000EE"/>
                <w:w w:val="98"/>
              </w:rPr>
            </w:pPr>
            <w:hyperlink r:id="rId136">
              <w:r>
                <w:rPr>
                  <w:rFonts w:ascii="Arial" w:cs="Arial" w:eastAsia="Arial" w:hAnsi="Arial"/>
                  <w:sz w:val="16"/>
                  <w:szCs w:val="16"/>
                  <w:color w:val="0000EE"/>
                  <w:w w:val="98"/>
                </w:rPr>
                <w:t>Office Lease Agreement, dated November 21, 2016, by and between the Registrant and BRE/COH GA LLC (incorporated herein by</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w w:val="95"/>
              </w:rPr>
            </w:pPr>
            <w:hyperlink r:id="rId136">
              <w:r>
                <w:rPr>
                  <w:rFonts w:ascii="Arial" w:cs="Arial" w:eastAsia="Arial" w:hAnsi="Arial"/>
                  <w:sz w:val="16"/>
                  <w:szCs w:val="16"/>
                  <w:color w:val="0000EE"/>
                  <w:w w:val="95"/>
                </w:rPr>
                <w:t>reference to Exhibit 10.1 to the Registrant’s Current Report on Form 8-K (File No. 001-37783), filed with the Commission on November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8"/>
              </w:rPr>
            </w:pPr>
            <w:hyperlink r:id="rId136">
              <w:r>
                <w:rPr>
                  <w:rFonts w:ascii="Arial" w:cs="Arial" w:eastAsia="Arial" w:hAnsi="Arial"/>
                  <w:sz w:val="16"/>
                  <w:szCs w:val="16"/>
                  <w:color w:val="0000EE"/>
                  <w:w w:val="88"/>
                </w:rPr>
                <w:t>23, 2016).</w:t>
              </w:r>
            </w:hyperlink>
          </w:p>
        </w:tc>
        <w:tc>
          <w:tcPr>
            <w:tcW w:w="44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7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20"/>
              <w:spacing w:after="0"/>
              <w:rPr>
                <w:sz w:val="20"/>
                <w:szCs w:val="20"/>
                <w:color w:val="auto"/>
              </w:rPr>
            </w:pPr>
            <w:r>
              <w:rPr>
                <w:rFonts w:ascii="Arial" w:cs="Arial" w:eastAsia="Arial" w:hAnsi="Arial"/>
                <w:sz w:val="16"/>
                <w:szCs w:val="16"/>
                <w:color w:val="auto"/>
              </w:rPr>
              <w:t>10.11</w:t>
            </w:r>
          </w:p>
        </w:tc>
        <w:tc>
          <w:tcPr>
            <w:tcW w:w="1040" w:type="dxa"/>
            <w:vAlign w:val="bottom"/>
          </w:tcPr>
          <w:p>
            <w:pPr>
              <w:spacing w:after="0"/>
              <w:rPr>
                <w:sz w:val="24"/>
                <w:szCs w:val="24"/>
                <w:color w:val="auto"/>
              </w:rPr>
            </w:pPr>
          </w:p>
        </w:tc>
        <w:tc>
          <w:tcPr>
            <w:tcW w:w="8980" w:type="dxa"/>
            <w:vAlign w:val="bottom"/>
            <w:tcBorders>
              <w:bottom w:val="single" w:sz="8" w:color="0000EE"/>
            </w:tcBorders>
            <w:gridSpan w:val="23"/>
          </w:tcPr>
          <w:p>
            <w:pPr>
              <w:spacing w:after="0"/>
              <w:rPr>
                <w:rFonts w:ascii="Arial" w:cs="Arial" w:eastAsia="Arial" w:hAnsi="Arial"/>
                <w:sz w:val="16"/>
                <w:szCs w:val="16"/>
                <w:color w:val="0000EE"/>
                <w:w w:val="91"/>
              </w:rPr>
            </w:pPr>
            <w:hyperlink r:id="rId137">
              <w:r>
                <w:rPr>
                  <w:rFonts w:ascii="Arial" w:cs="Arial" w:eastAsia="Arial" w:hAnsi="Arial"/>
                  <w:sz w:val="16"/>
                  <w:szCs w:val="16"/>
                  <w:color w:val="0000EE"/>
                  <w:w w:val="91"/>
                </w:rPr>
                <w:t>Second Amendment to License Agreement, by and among the Registrant, Emory University and The Georgia Tech Research Corporation,</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20" w:type="dxa"/>
            <w:vAlign w:val="bottom"/>
            <w:tcBorders>
              <w:bottom w:val="single" w:sz="8" w:color="0000EE"/>
            </w:tcBorders>
            <w:gridSpan w:val="29"/>
          </w:tcPr>
          <w:p>
            <w:pPr>
              <w:spacing w:after="0" w:line="183" w:lineRule="exact"/>
              <w:rPr>
                <w:rFonts w:ascii="Arial" w:cs="Arial" w:eastAsia="Arial" w:hAnsi="Arial"/>
                <w:sz w:val="16"/>
                <w:szCs w:val="16"/>
                <w:color w:val="0000EE"/>
                <w:w w:val="92"/>
              </w:rPr>
            </w:pPr>
            <w:hyperlink r:id="rId137">
              <w:r>
                <w:rPr>
                  <w:rFonts w:ascii="Arial" w:cs="Arial" w:eastAsia="Arial" w:hAnsi="Arial"/>
                  <w:sz w:val="16"/>
                  <w:szCs w:val="16"/>
                  <w:color w:val="0000EE"/>
                  <w:w w:val="92"/>
                </w:rPr>
                <w:t>dated December 12, 2016 (incorporated herein by reference to Exhibit 10.21 to the Registrant’s Annual Report on Form 10-K (File No. 001-</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40" w:type="dxa"/>
            <w:vAlign w:val="bottom"/>
            <w:tcBorders>
              <w:bottom w:val="single" w:sz="8" w:color="0000EE"/>
            </w:tcBorders>
            <w:gridSpan w:val="7"/>
          </w:tcPr>
          <w:p>
            <w:pPr>
              <w:spacing w:after="0" w:line="183" w:lineRule="exact"/>
              <w:rPr>
                <w:rFonts w:ascii="Arial" w:cs="Arial" w:eastAsia="Arial" w:hAnsi="Arial"/>
                <w:sz w:val="16"/>
                <w:szCs w:val="16"/>
                <w:color w:val="0000EE"/>
                <w:w w:val="93"/>
              </w:rPr>
            </w:pPr>
            <w:hyperlink r:id="rId137">
              <w:r>
                <w:rPr>
                  <w:rFonts w:ascii="Arial" w:cs="Arial" w:eastAsia="Arial" w:hAnsi="Arial"/>
                  <w:sz w:val="16"/>
                  <w:szCs w:val="16"/>
                  <w:color w:val="0000EE"/>
                  <w:w w:val="93"/>
                </w:rPr>
                <w:t>37783)</w:t>
              </w:r>
              <w:r>
                <w:rPr>
                  <w:rFonts w:ascii="Arial" w:cs="Arial" w:eastAsia="Arial" w:hAnsi="Arial"/>
                  <w:sz w:val="16"/>
                  <w:szCs w:val="16"/>
                  <w:u w:val="single" w:color="auto"/>
                  <w:color w:val="0000EE"/>
                  <w:w w:val="93"/>
                </w:rPr>
                <w:t>,</w:t>
              </w:r>
              <w:r>
                <w:rPr>
                  <w:rFonts w:ascii="Arial" w:cs="Arial" w:eastAsia="Arial" w:hAnsi="Arial"/>
                  <w:sz w:val="16"/>
                  <w:szCs w:val="16"/>
                  <w:color w:val="0000EE"/>
                  <w:w w:val="93"/>
                </w:rPr>
                <w:t xml:space="preserve"> filed with the Commission on March 16, 2017).</w:t>
              </w:r>
            </w:hyperlink>
          </w:p>
        </w:tc>
        <w:tc>
          <w:tcPr>
            <w:tcW w:w="55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10.12</w:t>
            </w:r>
          </w:p>
        </w:tc>
        <w:tc>
          <w:tcPr>
            <w:tcW w:w="1040" w:type="dxa"/>
            <w:vAlign w:val="bottom"/>
          </w:tcPr>
          <w:p>
            <w:pPr>
              <w:spacing w:after="0"/>
              <w:rPr>
                <w:sz w:val="24"/>
                <w:szCs w:val="24"/>
                <w:color w:val="auto"/>
              </w:rPr>
            </w:pPr>
          </w:p>
        </w:tc>
        <w:tc>
          <w:tcPr>
            <w:tcW w:w="9160" w:type="dxa"/>
            <w:vAlign w:val="bottom"/>
            <w:gridSpan w:val="30"/>
          </w:tcPr>
          <w:p>
            <w:pPr>
              <w:spacing w:after="0"/>
              <w:rPr>
                <w:rFonts w:ascii="Arial" w:cs="Arial" w:eastAsia="Arial" w:hAnsi="Arial"/>
                <w:sz w:val="16"/>
                <w:szCs w:val="16"/>
                <w:color w:val="0000EE"/>
                <w:w w:val="97"/>
              </w:rPr>
            </w:pPr>
            <w:hyperlink r:id="rId138">
              <w:r>
                <w:rPr>
                  <w:rFonts w:ascii="Arial" w:cs="Arial" w:eastAsia="Arial" w:hAnsi="Arial"/>
                  <w:sz w:val="16"/>
                  <w:szCs w:val="16"/>
                  <w:color w:val="0000EE"/>
                  <w:w w:val="97"/>
                </w:rPr>
                <w:t>Sales Agreement, dated June 30, 2017, by and between the Registrant and Cowen and Company, LLC (incorporated by reference to</w:t>
              </w:r>
            </w:hyperlink>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0" w:type="dxa"/>
            <w:vAlign w:val="bottom"/>
            <w:tcBorders>
              <w:top w:val="single" w:sz="8" w:color="0000EE"/>
            </w:tcBorders>
            <w:gridSpan w:val="12"/>
          </w:tcPr>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Exhibit 10.1 to the Registrant’s Current Report on Form 8-K (File No. 001-37783), filed with the SEC on July 3, 2017).</w:t>
              </w:r>
            </w:hyperlink>
          </w:p>
        </w:tc>
        <w:tc>
          <w:tcPr>
            <w:tcW w:w="5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60" w:type="dxa"/>
            <w:vAlign w:val="bottom"/>
          </w:tcPr>
          <w:p>
            <w:pPr>
              <w:ind w:left="20"/>
              <w:spacing w:after="0"/>
              <w:rPr>
                <w:sz w:val="20"/>
                <w:szCs w:val="20"/>
                <w:color w:val="auto"/>
              </w:rPr>
            </w:pPr>
            <w:r>
              <w:rPr>
                <w:rFonts w:ascii="Arial" w:cs="Arial" w:eastAsia="Arial" w:hAnsi="Arial"/>
                <w:sz w:val="16"/>
                <w:szCs w:val="16"/>
                <w:color w:val="auto"/>
              </w:rPr>
              <w:t>10.13</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6"/>
                <w:szCs w:val="16"/>
                <w:color w:val="0000EE"/>
                <w:w w:val="92"/>
              </w:rPr>
            </w:pPr>
            <w:hyperlink r:id="rId139">
              <w:r>
                <w:rPr>
                  <w:rFonts w:ascii="Arial" w:cs="Arial" w:eastAsia="Arial" w:hAnsi="Arial"/>
                  <w:sz w:val="16"/>
                  <w:szCs w:val="16"/>
                  <w:color w:val="0000EE"/>
                  <w:w w:val="92"/>
                </w:rPr>
                <w:t>Amended and Restated Executive Employment Agreement, by and between Clearside Biomedical, Inc. and Charles A. Deignan, dated as of</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80" w:type="dxa"/>
            <w:vAlign w:val="bottom"/>
            <w:tcBorders>
              <w:top w:val="single" w:sz="8" w:color="0000EE"/>
            </w:tcBorders>
            <w:gridSpan w:val="28"/>
          </w:tcPr>
          <w:p>
            <w:pPr>
              <w:spacing w:after="0" w:line="183" w:lineRule="exact"/>
              <w:rPr>
                <w:rFonts w:ascii="Arial" w:cs="Arial" w:eastAsia="Arial" w:hAnsi="Arial"/>
                <w:sz w:val="16"/>
                <w:szCs w:val="16"/>
                <w:color w:val="0000EE"/>
                <w:w w:val="93"/>
              </w:rPr>
            </w:pPr>
            <w:hyperlink r:id="rId139">
              <w:r>
                <w:rPr>
                  <w:rFonts w:ascii="Arial" w:cs="Arial" w:eastAsia="Arial" w:hAnsi="Arial"/>
                  <w:sz w:val="16"/>
                  <w:szCs w:val="16"/>
                  <w:color w:val="0000EE"/>
                  <w:w w:val="93"/>
                </w:rPr>
                <w:t>August 3, 2017 (incorporated herein by reference to Exhibit 10.2 to the Registrant’s Quarterly Report on Form 10-Q (File No. 001-37783),</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3"/>
              </w:rPr>
            </w:pPr>
            <w:hyperlink r:id="rId139">
              <w:r>
                <w:rPr>
                  <w:rFonts w:ascii="Arial" w:cs="Arial" w:eastAsia="Arial" w:hAnsi="Arial"/>
                  <w:sz w:val="16"/>
                  <w:szCs w:val="16"/>
                  <w:color w:val="0000EE"/>
                  <w:w w:val="93"/>
                </w:rPr>
                <w:t>filed with the Commission on November 9, 2017).</w:t>
              </w:r>
            </w:hyperlink>
          </w:p>
        </w:tc>
        <w:tc>
          <w:tcPr>
            <w:tcW w:w="5720" w:type="dxa"/>
            <w:vAlign w:val="bottom"/>
            <w:tcBorders>
              <w:top w:val="single" w:sz="8" w:color="0000EE"/>
            </w:tcBorders>
            <w:gridSpan w:val="20"/>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10.14</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6"/>
                <w:szCs w:val="16"/>
                <w:color w:val="0000EE"/>
                <w:w w:val="93"/>
              </w:rPr>
            </w:pPr>
            <w:hyperlink r:id="rId140">
              <w:r>
                <w:rPr>
                  <w:rFonts w:ascii="Arial" w:cs="Arial" w:eastAsia="Arial" w:hAnsi="Arial"/>
                  <w:sz w:val="16"/>
                  <w:szCs w:val="16"/>
                  <w:color w:val="0000EE"/>
                  <w:w w:val="93"/>
                </w:rPr>
                <w:t>Amended and Restated Non-Employee Director Compensation Policy (incorporated herein by reference to Exhibit 10.4 to the Registrant’s</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6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w w:val="93"/>
              </w:rPr>
            </w:pPr>
            <w:hyperlink r:id="rId140">
              <w:r>
                <w:rPr>
                  <w:rFonts w:ascii="Arial" w:cs="Arial" w:eastAsia="Arial" w:hAnsi="Arial"/>
                  <w:sz w:val="16"/>
                  <w:szCs w:val="16"/>
                  <w:color w:val="0000EE"/>
                  <w:w w:val="93"/>
                </w:rPr>
                <w:t>Quarterly Report on Form 10-Q (File No. 001-37783), filed with the Commission on November 9, 2017).</w:t>
              </w:r>
            </w:hyperlink>
          </w:p>
        </w:tc>
        <w:tc>
          <w:tcPr>
            <w:tcW w:w="2120" w:type="dxa"/>
            <w:vAlign w:val="bottom"/>
            <w:tcBorders>
              <w:top w:val="single" w:sz="8" w:color="0000EE"/>
            </w:tcBorders>
            <w:gridSpan w:val="14"/>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6"/>
                <w:szCs w:val="16"/>
                <w:color w:val="auto"/>
              </w:rPr>
              <w:t>1</w:t>
            </w:r>
            <w:r>
              <w:rPr>
                <w:rFonts w:ascii="Arial" w:cs="Arial" w:eastAsia="Arial" w:hAnsi="Arial"/>
                <w:sz w:val="17"/>
                <w:szCs w:val="17"/>
                <w:color w:val="auto"/>
              </w:rPr>
              <w:t>0.15</w:t>
            </w:r>
          </w:p>
        </w:tc>
        <w:tc>
          <w:tcPr>
            <w:tcW w:w="1040" w:type="dxa"/>
            <w:vAlign w:val="bottom"/>
          </w:tcPr>
          <w:p>
            <w:pPr>
              <w:spacing w:after="0"/>
              <w:rPr>
                <w:sz w:val="24"/>
                <w:szCs w:val="24"/>
                <w:color w:val="auto"/>
              </w:rPr>
            </w:pPr>
          </w:p>
        </w:tc>
        <w:tc>
          <w:tcPr>
            <w:tcW w:w="8880" w:type="dxa"/>
            <w:vAlign w:val="bottom"/>
            <w:tcBorders>
              <w:bottom w:val="single" w:sz="8" w:color="0000EE"/>
            </w:tcBorders>
            <w:gridSpan w:val="19"/>
          </w:tcPr>
          <w:p>
            <w:pPr>
              <w:spacing w:after="0"/>
              <w:rPr>
                <w:rFonts w:ascii="Arial" w:cs="Arial" w:eastAsia="Arial" w:hAnsi="Arial"/>
                <w:sz w:val="16"/>
                <w:szCs w:val="16"/>
                <w:color w:val="0000EE"/>
                <w:w w:val="91"/>
              </w:rPr>
            </w:pPr>
            <w:hyperlink r:id="rId141">
              <w:r>
                <w:rPr>
                  <w:rFonts w:ascii="Arial" w:cs="Arial" w:eastAsia="Arial" w:hAnsi="Arial"/>
                  <w:sz w:val="16"/>
                  <w:szCs w:val="16"/>
                  <w:color w:val="0000EE"/>
                  <w:w w:val="91"/>
                </w:rPr>
                <w:t>Supply Agreement, by and among the Registrant and Gerresheimer Regensburg GmbH, dated as of May 8, 2018 (incorporated herein by</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w w:val="94"/>
              </w:rPr>
            </w:pPr>
            <w:hyperlink r:id="rId141">
              <w:r>
                <w:rPr>
                  <w:rFonts w:ascii="Arial" w:cs="Arial" w:eastAsia="Arial" w:hAnsi="Arial"/>
                  <w:sz w:val="16"/>
                  <w:szCs w:val="16"/>
                  <w:color w:val="0000EE"/>
                  <w:w w:val="94"/>
                </w:rPr>
                <w:t>reference to Exhibit 10.1 to the Registrant’s Quarterly Report on Form 10-Q (File No. 001-37783), filed with the Commission on August 8,</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41">
              <w:r>
                <w:rPr>
                  <w:rFonts w:ascii="Arial" w:cs="Arial" w:eastAsia="Arial" w:hAnsi="Arial"/>
                  <w:sz w:val="16"/>
                  <w:szCs w:val="16"/>
                  <w:color w:val="0000EE"/>
                  <w:w w:val="88"/>
                </w:rPr>
                <w:t>2018).</w:t>
              </w:r>
            </w:hyperlink>
          </w:p>
        </w:tc>
        <w:tc>
          <w:tcPr>
            <w:tcW w:w="2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7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060" w:type="dxa"/>
            <w:vAlign w:val="bottom"/>
          </w:tcPr>
          <w:p>
            <w:pPr>
              <w:ind w:left="20"/>
              <w:spacing w:after="0"/>
              <w:rPr>
                <w:sz w:val="20"/>
                <w:szCs w:val="20"/>
                <w:color w:val="auto"/>
              </w:rPr>
            </w:pPr>
            <w:r>
              <w:rPr>
                <w:rFonts w:ascii="Arial" w:cs="Arial" w:eastAsia="Arial" w:hAnsi="Arial"/>
                <w:sz w:val="16"/>
                <w:szCs w:val="16"/>
                <w:color w:val="auto"/>
              </w:rPr>
              <w:t>10.16</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vMerge w:val="restart"/>
          </w:tcPr>
          <w:p>
            <w:pPr>
              <w:spacing w:after="0"/>
              <w:rPr>
                <w:rFonts w:ascii="Arial" w:cs="Arial" w:eastAsia="Arial" w:hAnsi="Arial"/>
                <w:sz w:val="16"/>
                <w:szCs w:val="16"/>
                <w:color w:val="0000EE"/>
                <w:w w:val="95"/>
              </w:rPr>
            </w:pPr>
            <w:hyperlink r:id="rId142">
              <w:r>
                <w:rPr>
                  <w:rFonts w:ascii="Arial" w:cs="Arial" w:eastAsia="Arial" w:hAnsi="Arial"/>
                  <w:sz w:val="16"/>
                  <w:szCs w:val="16"/>
                  <w:color w:val="0000EE"/>
                  <w:w w:val="95"/>
                </w:rPr>
                <w:t>Change in Control Equity Acceleration Plan, amending the Registrant’s 2016 Equity Incentive Plan (incorporated herein by reference to</w:t>
              </w:r>
            </w:hyperlink>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16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20" w:type="dxa"/>
            <w:vAlign w:val="bottom"/>
            <w:tcBorders>
              <w:top w:val="single" w:sz="8" w:color="0000EE"/>
            </w:tcBorders>
            <w:gridSpan w:val="16"/>
          </w:tcPr>
          <w:p>
            <w:pPr>
              <w:spacing w:after="0"/>
              <w:rPr>
                <w:rFonts w:ascii="Arial" w:cs="Arial" w:eastAsia="Arial" w:hAnsi="Arial"/>
                <w:sz w:val="16"/>
                <w:szCs w:val="16"/>
                <w:u w:val="single" w:color="auto"/>
                <w:color w:val="0000EE"/>
                <w:w w:val="94"/>
              </w:rPr>
            </w:pPr>
            <w:hyperlink r:id="rId142">
              <w:r>
                <w:rPr>
                  <w:rFonts w:ascii="Arial" w:cs="Arial" w:eastAsia="Arial" w:hAnsi="Arial"/>
                  <w:sz w:val="16"/>
                  <w:szCs w:val="16"/>
                  <w:u w:val="single" w:color="auto"/>
                  <w:color w:val="0000EE"/>
                  <w:w w:val="94"/>
                </w:rPr>
                <w:t>Exhibit 10.2 to the Registrant’s Quarterly Report on Form 10-Q (File No. 001-37783), filed with the Commission on August 8, 2018.</w:t>
              </w:r>
              <w:r>
                <w:rPr>
                  <w:rFonts w:ascii="Arial" w:cs="Arial" w:eastAsia="Arial" w:hAnsi="Arial"/>
                  <w:sz w:val="16"/>
                  <w:szCs w:val="16"/>
                  <w:u w:val="single" w:color="auto"/>
                  <w:color w:val="000000"/>
                  <w:w w:val="94"/>
                </w:rPr>
                <w:t>)</w:t>
              </w:r>
            </w:hyperlink>
          </w:p>
        </w:tc>
        <w:tc>
          <w:tcPr>
            <w:tcW w:w="3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060" w:type="dxa"/>
            <w:vAlign w:val="bottom"/>
          </w:tcPr>
          <w:p>
            <w:pPr>
              <w:ind w:left="20"/>
              <w:spacing w:after="0"/>
              <w:rPr>
                <w:sz w:val="20"/>
                <w:szCs w:val="20"/>
                <w:color w:val="auto"/>
              </w:rPr>
            </w:pPr>
            <w:r>
              <w:rPr>
                <w:rFonts w:ascii="Arial" w:cs="Arial" w:eastAsia="Arial" w:hAnsi="Arial"/>
                <w:sz w:val="16"/>
                <w:szCs w:val="16"/>
                <w:color w:val="auto"/>
              </w:rPr>
              <w:t>10.17</w:t>
            </w:r>
          </w:p>
        </w:tc>
        <w:tc>
          <w:tcPr>
            <w:tcW w:w="1040" w:type="dxa"/>
            <w:vAlign w:val="bottom"/>
          </w:tcPr>
          <w:p>
            <w:pPr>
              <w:spacing w:after="0"/>
              <w:rPr>
                <w:sz w:val="24"/>
                <w:szCs w:val="24"/>
                <w:color w:val="auto"/>
              </w:rPr>
            </w:pPr>
          </w:p>
        </w:tc>
        <w:tc>
          <w:tcPr>
            <w:tcW w:w="9160" w:type="dxa"/>
            <w:vAlign w:val="bottom"/>
            <w:gridSpan w:val="30"/>
          </w:tcPr>
          <w:p>
            <w:pPr>
              <w:spacing w:after="0"/>
              <w:rPr>
                <w:rFonts w:ascii="Arial" w:cs="Arial" w:eastAsia="Arial" w:hAnsi="Arial"/>
                <w:sz w:val="16"/>
                <w:szCs w:val="16"/>
                <w:color w:val="0000EE"/>
                <w:w w:val="95"/>
              </w:rPr>
            </w:pPr>
            <w:hyperlink r:id="rId143">
              <w:r>
                <w:rPr>
                  <w:rFonts w:ascii="Arial" w:cs="Arial" w:eastAsia="Arial" w:hAnsi="Arial"/>
                  <w:sz w:val="16"/>
                  <w:szCs w:val="16"/>
                  <w:color w:val="0000EE"/>
                  <w:w w:val="95"/>
                </w:rPr>
                <w:t>Third Amendment to License Agreement, by and among the Registrant, Emory University and The Georgia Tech Research Corporation,</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780" w:type="dxa"/>
            <w:vAlign w:val="bottom"/>
            <w:tcBorders>
              <w:top w:val="single" w:sz="8" w:color="0000EE"/>
              <w:bottom w:val="single" w:sz="8" w:color="0000EE"/>
            </w:tcBorders>
            <w:gridSpan w:val="15"/>
          </w:tcPr>
          <w:p>
            <w:pPr>
              <w:spacing w:after="0" w:line="183" w:lineRule="exact"/>
              <w:rPr>
                <w:rFonts w:ascii="Arial" w:cs="Arial" w:eastAsia="Arial" w:hAnsi="Arial"/>
                <w:sz w:val="16"/>
                <w:szCs w:val="16"/>
                <w:color w:val="0000EE"/>
                <w:w w:val="92"/>
              </w:rPr>
            </w:pPr>
            <w:hyperlink r:id="rId143">
              <w:r>
                <w:rPr>
                  <w:rFonts w:ascii="Arial" w:cs="Arial" w:eastAsia="Arial" w:hAnsi="Arial"/>
                  <w:sz w:val="16"/>
                  <w:szCs w:val="16"/>
                  <w:color w:val="0000EE"/>
                  <w:w w:val="92"/>
                </w:rPr>
                <w:t>dated April 1, 2018 (incorporated herein by reference to Exhibit 10.1 to the Registrant’s Quarterly Report on Form 10-Q (File No. 001-</w:t>
              </w:r>
            </w:hyperlink>
          </w:p>
        </w:tc>
        <w:tc>
          <w:tcPr>
            <w:tcW w:w="60" w:type="dxa"/>
            <w:vAlign w:val="bottom"/>
            <w:tcBorders>
              <w:top w:val="single" w:sz="8" w:color="0000EE"/>
            </w:tcBorders>
            <w:gridSpan w:val="2"/>
          </w:tcPr>
          <w:p>
            <w:pPr>
              <w:spacing w:after="0"/>
              <w:rPr>
                <w:sz w:val="15"/>
                <w:szCs w:val="15"/>
                <w:color w:val="auto"/>
              </w:rPr>
            </w:pPr>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rPr>
            </w:pPr>
            <w:hyperlink r:id="rId143">
              <w:r>
                <w:rPr>
                  <w:rFonts w:ascii="Arial" w:cs="Arial" w:eastAsia="Arial" w:hAnsi="Arial"/>
                  <w:sz w:val="16"/>
                  <w:szCs w:val="16"/>
                  <w:color w:val="0000EE"/>
                </w:rPr>
                <w:t>37783)</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filed with the Commission on August 8,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6"/>
                <w:szCs w:val="16"/>
                <w:color w:val="auto"/>
              </w:rPr>
              <w:t>10.18</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8960" w:type="dxa"/>
            <w:vAlign w:val="bottom"/>
            <w:tcBorders>
              <w:bottom w:val="single" w:sz="8" w:color="0000EE"/>
            </w:tcBorders>
            <w:gridSpan w:val="22"/>
          </w:tcPr>
          <w:p>
            <w:pPr>
              <w:spacing w:after="0"/>
              <w:rPr>
                <w:rFonts w:ascii="Arial" w:cs="Arial" w:eastAsia="Arial" w:hAnsi="Arial"/>
                <w:sz w:val="16"/>
                <w:szCs w:val="16"/>
                <w:color w:val="0000EE"/>
                <w:w w:val="91"/>
              </w:rPr>
            </w:pPr>
            <w:hyperlink r:id="rId144">
              <w:r>
                <w:rPr>
                  <w:rFonts w:ascii="Arial" w:cs="Arial" w:eastAsia="Arial" w:hAnsi="Arial"/>
                  <w:sz w:val="16"/>
                  <w:szCs w:val="16"/>
                  <w:color w:val="0000EE"/>
                  <w:w w:val="91"/>
                </w:rPr>
                <w:t>License Agreement, by and between the Registrant and Bausch Health Ireland Limited, dated as of October 22, 2019 (incorporated herein</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w w:val="95"/>
              </w:rPr>
            </w:pPr>
            <w:hyperlink r:id="rId144">
              <w:r>
                <w:rPr>
                  <w:rFonts w:ascii="Arial" w:cs="Arial" w:eastAsia="Arial" w:hAnsi="Arial"/>
                  <w:sz w:val="16"/>
                  <w:szCs w:val="16"/>
                  <w:color w:val="0000EE"/>
                  <w:w w:val="95"/>
                </w:rPr>
                <w:t>by reference to Exhibit 10.26 to the Registrant’s Annual Report on Form 10-K (File No. 001-37783), filed with the Commission on March</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8"/>
              </w:rPr>
            </w:pPr>
            <w:hyperlink r:id="rId144">
              <w:r>
                <w:rPr>
                  <w:rFonts w:ascii="Arial" w:cs="Arial" w:eastAsia="Arial" w:hAnsi="Arial"/>
                  <w:sz w:val="16"/>
                  <w:szCs w:val="16"/>
                  <w:color w:val="0000EE"/>
                  <w:w w:val="88"/>
                </w:rPr>
                <w:t>13, 2020).</w:t>
              </w:r>
            </w:hyperlink>
          </w:p>
        </w:tc>
        <w:tc>
          <w:tcPr>
            <w:tcW w:w="44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7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060" w:type="dxa"/>
            <w:vAlign w:val="bottom"/>
          </w:tcPr>
          <w:p>
            <w:pPr>
              <w:ind w:left="20"/>
              <w:spacing w:after="0"/>
              <w:rPr>
                <w:sz w:val="20"/>
                <w:szCs w:val="20"/>
                <w:color w:val="auto"/>
              </w:rPr>
            </w:pPr>
            <w:r>
              <w:rPr>
                <w:rFonts w:ascii="Arial" w:cs="Arial" w:eastAsia="Arial" w:hAnsi="Arial"/>
                <w:sz w:val="16"/>
                <w:szCs w:val="16"/>
                <w:color w:val="auto"/>
              </w:rPr>
              <w:t>10.19</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First Amendment to License Agreement, by and between the Registrant and Bausch Health Ireland Limited, dated as of April</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27, 2020. (incorporated herein by reference to Exhibit 10.1 to the Registrant’s Quarterly Report on Form 10-Q (File No. 001-</w:t>
              </w:r>
            </w:hyperlink>
          </w:p>
        </w:tc>
        <w:tc>
          <w:tcPr>
            <w:tcW w:w="2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37783)</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Commission on August 10, 2020).</w:t>
              </w:r>
            </w:hyperlink>
          </w:p>
        </w:tc>
        <w:tc>
          <w:tcPr>
            <w:tcW w:w="50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6"/>
                <w:szCs w:val="16"/>
                <w:color w:val="auto"/>
              </w:rPr>
              <w:t>10.20</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8940" w:type="dxa"/>
            <w:vAlign w:val="bottom"/>
            <w:tcBorders>
              <w:bottom w:val="single" w:sz="8" w:color="0000EE"/>
            </w:tcBorders>
            <w:gridSpan w:val="21"/>
          </w:tcPr>
          <w:p>
            <w:pPr>
              <w:spacing w:after="0"/>
              <w:rPr>
                <w:rFonts w:ascii="Arial" w:cs="Arial" w:eastAsia="Arial" w:hAnsi="Arial"/>
                <w:sz w:val="16"/>
                <w:szCs w:val="16"/>
                <w:color w:val="0000EE"/>
                <w:w w:val="91"/>
              </w:rPr>
            </w:pPr>
            <w:hyperlink r:id="rId146">
              <w:r>
                <w:rPr>
                  <w:rFonts w:ascii="Arial" w:cs="Arial" w:eastAsia="Arial" w:hAnsi="Arial"/>
                  <w:sz w:val="16"/>
                  <w:szCs w:val="16"/>
                  <w:color w:val="0000EE"/>
                  <w:w w:val="91"/>
                </w:rPr>
                <w:t>Letter Agreement, by and between the Registrant and George Lasezkay, dated April 16, 2019 (incorporated herein by reference to Exhibit</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160" w:type="dxa"/>
            <w:vAlign w:val="bottom"/>
            <w:gridSpan w:val="30"/>
          </w:tcPr>
          <w:p>
            <w:pPr>
              <w:spacing w:after="0"/>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10.1 to the Registrant’s Current Report on Form 8-K (File No. 001-37783), filed with the Commission on April 17, 2019).</w:t>
              </w:r>
            </w:hyperlink>
          </w:p>
        </w:tc>
        <w:tc>
          <w:tcPr>
            <w:tcW w:w="0" w:type="dxa"/>
            <w:vAlign w:val="bottom"/>
          </w:tcPr>
          <w:p>
            <w:pPr>
              <w:spacing w:after="0"/>
              <w:rPr>
                <w:sz w:val="1"/>
                <w:szCs w:val="1"/>
                <w:color w:val="auto"/>
              </w:rPr>
            </w:pPr>
          </w:p>
        </w:tc>
      </w:tr>
      <w:tr>
        <w:trPr>
          <w:trHeight w:val="370"/>
        </w:trPr>
        <w:tc>
          <w:tcPr>
            <w:tcW w:w="1060" w:type="dxa"/>
            <w:vAlign w:val="bottom"/>
          </w:tcPr>
          <w:p>
            <w:pPr>
              <w:ind w:left="20"/>
              <w:spacing w:after="0"/>
              <w:rPr>
                <w:sz w:val="20"/>
                <w:szCs w:val="20"/>
                <w:color w:val="auto"/>
              </w:rPr>
            </w:pPr>
            <w:r>
              <w:rPr>
                <w:rFonts w:ascii="Arial" w:cs="Arial" w:eastAsia="Arial" w:hAnsi="Arial"/>
                <w:sz w:val="16"/>
                <w:szCs w:val="16"/>
                <w:color w:val="auto"/>
              </w:rPr>
              <w:t>10.21</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8760" w:type="dxa"/>
            <w:vAlign w:val="bottom"/>
            <w:tcBorders>
              <w:bottom w:val="single" w:sz="8" w:color="0000EE"/>
            </w:tcBorders>
            <w:gridSpan w:val="14"/>
          </w:tcPr>
          <w:p>
            <w:pPr>
              <w:spacing w:after="0"/>
              <w:rPr>
                <w:rFonts w:ascii="Arial" w:cs="Arial" w:eastAsia="Arial" w:hAnsi="Arial"/>
                <w:sz w:val="16"/>
                <w:szCs w:val="16"/>
                <w:color w:val="0000EE"/>
                <w:w w:val="91"/>
              </w:rPr>
            </w:pPr>
            <w:hyperlink r:id="rId147">
              <w:r>
                <w:rPr>
                  <w:rFonts w:ascii="Arial" w:cs="Arial" w:eastAsia="Arial" w:hAnsi="Arial"/>
                  <w:sz w:val="16"/>
                  <w:szCs w:val="16"/>
                  <w:color w:val="0000EE"/>
                  <w:w w:val="91"/>
                </w:rPr>
                <w:t>Amendment to Offer Letter Agreement, by and between the Registrant and George Lasezkay, dated as of August 6, 2019 (incorporated</w:t>
              </w:r>
            </w:hyperlink>
          </w:p>
        </w:tc>
        <w:tc>
          <w:tcPr>
            <w:tcW w:w="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w w:val="94"/>
              </w:rPr>
            </w:pPr>
            <w:hyperlink r:id="rId147">
              <w:r>
                <w:rPr>
                  <w:rFonts w:ascii="Arial" w:cs="Arial" w:eastAsia="Arial" w:hAnsi="Arial"/>
                  <w:sz w:val="16"/>
                  <w:szCs w:val="16"/>
                  <w:color w:val="0000EE"/>
                  <w:w w:val="94"/>
                </w:rPr>
                <w:t>herein by reference to Exhibit 10.3 to the Registrant’s Quarterly Report on Form 10-Q (File No. 001-37783), filed with the Commission on</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r:id="rId147">
              <w:r>
                <w:rPr>
                  <w:rFonts w:ascii="Arial" w:cs="Arial" w:eastAsia="Arial" w:hAnsi="Arial"/>
                  <w:sz w:val="16"/>
                  <w:szCs w:val="16"/>
                  <w:color w:val="0000EE"/>
                  <w:w w:val="91"/>
                </w:rPr>
                <w:t>August 8, 2019).</w:t>
              </w:r>
            </w:hyperlink>
          </w:p>
        </w:tc>
        <w:tc>
          <w:tcPr>
            <w:tcW w:w="7920" w:type="dxa"/>
            <w:vAlign w:val="bottom"/>
            <w:tcBorders>
              <w:top w:val="single" w:sz="8" w:color="0000EE"/>
            </w:tcBorders>
            <w:gridSpan w:val="22"/>
          </w:tcPr>
          <w:p>
            <w:pPr>
              <w:spacing w:after="0"/>
              <w:rPr>
                <w:sz w:val="15"/>
                <w:szCs w:val="15"/>
                <w:color w:val="auto"/>
              </w:rPr>
            </w:pPr>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6"/>
                <w:szCs w:val="16"/>
                <w:color w:val="auto"/>
              </w:rPr>
              <w:t>10.22</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040" w:type="dxa"/>
            <w:vAlign w:val="bottom"/>
            <w:tcBorders>
              <w:bottom w:val="single" w:sz="8" w:color="0000EE"/>
            </w:tcBorders>
            <w:gridSpan w:val="26"/>
          </w:tcPr>
          <w:p>
            <w:pPr>
              <w:spacing w:after="0"/>
              <w:rPr>
                <w:rFonts w:ascii="Arial" w:cs="Arial" w:eastAsia="Arial" w:hAnsi="Arial"/>
                <w:sz w:val="16"/>
                <w:szCs w:val="16"/>
                <w:color w:val="0000EE"/>
                <w:w w:val="91"/>
              </w:rPr>
            </w:pPr>
            <w:hyperlink r:id="rId148">
              <w:r>
                <w:rPr>
                  <w:rFonts w:ascii="Arial" w:cs="Arial" w:eastAsia="Arial" w:hAnsi="Arial"/>
                  <w:sz w:val="16"/>
                  <w:szCs w:val="16"/>
                  <w:color w:val="0000EE"/>
                  <w:w w:val="91"/>
                </w:rPr>
                <w:t>Option and License Agreement by and between the Registrant and REGENXBIO Inc., dated as of August 29, 2019 (incorporated herein by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60" w:type="dxa"/>
            <w:vAlign w:val="bottom"/>
            <w:gridSpan w:val="30"/>
          </w:tcPr>
          <w:p>
            <w:pPr>
              <w:spacing w:after="0" w:line="183" w:lineRule="exact"/>
              <w:rPr>
                <w:rFonts w:ascii="Arial" w:cs="Arial" w:eastAsia="Arial" w:hAnsi="Arial"/>
                <w:sz w:val="16"/>
                <w:szCs w:val="16"/>
                <w:color w:val="0000EE"/>
                <w:w w:val="94"/>
              </w:rPr>
            </w:pPr>
            <w:hyperlink r:id="rId148">
              <w:r>
                <w:rPr>
                  <w:rFonts w:ascii="Arial" w:cs="Arial" w:eastAsia="Arial" w:hAnsi="Arial"/>
                  <w:sz w:val="16"/>
                  <w:szCs w:val="16"/>
                  <w:color w:val="0000EE"/>
                  <w:w w:val="94"/>
                </w:rPr>
                <w:t>reference to Exhibit 10.30 to the Registrant’s Annual Report on Form 10-K (File No. 001-37783), filed with the Commission on March 13,</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48">
              <w:r>
                <w:rPr>
                  <w:rFonts w:ascii="Arial" w:cs="Arial" w:eastAsia="Arial" w:hAnsi="Arial"/>
                  <w:sz w:val="16"/>
                  <w:szCs w:val="16"/>
                  <w:color w:val="0000EE"/>
                  <w:w w:val="88"/>
                </w:rPr>
                <w:t>2020).</w:t>
              </w:r>
            </w:hyperlink>
          </w:p>
        </w:tc>
        <w:tc>
          <w:tcPr>
            <w:tcW w:w="2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7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20"/>
              <w:spacing w:after="0"/>
              <w:rPr>
                <w:sz w:val="20"/>
                <w:szCs w:val="20"/>
                <w:color w:val="auto"/>
              </w:rPr>
            </w:pPr>
            <w:r>
              <w:rPr>
                <w:rFonts w:ascii="Arial" w:cs="Arial" w:eastAsia="Arial" w:hAnsi="Arial"/>
                <w:sz w:val="16"/>
                <w:szCs w:val="16"/>
                <w:color w:val="auto"/>
              </w:rPr>
              <w:t>1</w:t>
            </w:r>
            <w:r>
              <w:rPr>
                <w:rFonts w:ascii="Arial" w:cs="Arial" w:eastAsia="Arial" w:hAnsi="Arial"/>
                <w:sz w:val="17"/>
                <w:szCs w:val="17"/>
                <w:color w:val="auto"/>
              </w:rPr>
              <w:t>0.23</w:t>
            </w:r>
          </w:p>
        </w:tc>
        <w:tc>
          <w:tcPr>
            <w:tcW w:w="10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9160" w:type="dxa"/>
            <w:vAlign w:val="bottom"/>
            <w:gridSpan w:val="30"/>
          </w:tcPr>
          <w:p>
            <w:pPr>
              <w:spacing w:after="0"/>
              <w:rPr>
                <w:rFonts w:ascii="Arial" w:cs="Arial" w:eastAsia="Arial" w:hAnsi="Arial"/>
                <w:sz w:val="16"/>
                <w:szCs w:val="16"/>
                <w:color w:val="0000EE"/>
                <w:w w:val="92"/>
              </w:rPr>
            </w:pPr>
            <w:hyperlink r:id="rId149">
              <w:r>
                <w:rPr>
                  <w:rFonts w:ascii="Arial" w:cs="Arial" w:eastAsia="Arial" w:hAnsi="Arial"/>
                  <w:sz w:val="16"/>
                  <w:szCs w:val="16"/>
                  <w:color w:val="0000EE"/>
                  <w:w w:val="92"/>
                </w:rPr>
                <w:t>License Agreement by and between the Registrant and Arctic Vision (Hong Kong) Limited, dated as of March 20, 2020 (incorporated herein</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120" w:type="dxa"/>
            <w:vAlign w:val="bottom"/>
            <w:tcBorders>
              <w:top w:val="single" w:sz="8" w:color="0000EE"/>
            </w:tcBorders>
            <w:gridSpan w:val="29"/>
          </w:tcPr>
          <w:p>
            <w:pPr>
              <w:spacing w:after="0" w:line="183" w:lineRule="exact"/>
              <w:rPr>
                <w:rFonts w:ascii="Arial" w:cs="Arial" w:eastAsia="Arial" w:hAnsi="Arial"/>
                <w:sz w:val="16"/>
                <w:szCs w:val="16"/>
                <w:color w:val="0000EE"/>
                <w:w w:val="93"/>
              </w:rPr>
            </w:pPr>
            <w:hyperlink r:id="rId149">
              <w:r>
                <w:rPr>
                  <w:rFonts w:ascii="Arial" w:cs="Arial" w:eastAsia="Arial" w:hAnsi="Arial"/>
                  <w:sz w:val="16"/>
                  <w:szCs w:val="16"/>
                  <w:color w:val="0000EE"/>
                  <w:w w:val="93"/>
                </w:rPr>
                <w:t>by reference to Exhibit 10.2 to the Registrant’s Quarterly Report on Form 10-Q (File No. 001-37783), filed with the Commission on May 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49">
              <w:r>
                <w:rPr>
                  <w:rFonts w:ascii="Arial" w:cs="Arial" w:eastAsia="Arial" w:hAnsi="Arial"/>
                  <w:sz w:val="16"/>
                  <w:szCs w:val="16"/>
                  <w:color w:val="0000EE"/>
                  <w:w w:val="88"/>
                </w:rPr>
                <w:t>2020).</w:t>
              </w:r>
            </w:hyperlink>
          </w:p>
        </w:tc>
        <w:tc>
          <w:tcPr>
            <w:tcW w:w="2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7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6"/>
                <w:szCs w:val="16"/>
                <w:color w:val="auto"/>
              </w:rPr>
              <w:t>10.24</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Executive Employment Agreement, by and between the Registrant and Thomas Ciulla, dated as of June 24,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4640" w:type="dxa"/>
            <w:vAlign w:val="bottom"/>
            <w:gridSpan w:val="6"/>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(incorporated herein by reference to Exhibit 10.2 to the Registrant’s Quarterly Report on Form 10-Q (File No. 001-37783),</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5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filed with the Commission on August 10, 2020).</w:t>
              </w:r>
            </w:hyperlink>
          </w:p>
        </w:tc>
        <w:tc>
          <w:tcPr>
            <w:tcW w:w="5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060" w:type="dxa"/>
            <w:vAlign w:val="bottom"/>
          </w:tcPr>
          <w:p>
            <w:pPr>
              <w:ind w:left="20"/>
              <w:spacing w:after="0"/>
              <w:rPr>
                <w:sz w:val="20"/>
                <w:szCs w:val="20"/>
                <w:color w:val="auto"/>
              </w:rPr>
            </w:pPr>
            <w:r>
              <w:rPr>
                <w:rFonts w:ascii="Arial" w:cs="Arial" w:eastAsia="Arial" w:hAnsi="Arial"/>
                <w:sz w:val="16"/>
                <w:szCs w:val="16"/>
                <w:color w:val="auto"/>
              </w:rPr>
              <w:t>23.1</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11"/>
        </w:trPr>
        <w:tc>
          <w:tcPr>
            <w:tcW w:w="1060" w:type="dxa"/>
            <w:vAlign w:val="bottom"/>
          </w:tcPr>
          <w:p>
            <w:pPr>
              <w:ind w:left="20"/>
              <w:spacing w:after="0"/>
              <w:rPr>
                <w:sz w:val="20"/>
                <w:szCs w:val="20"/>
                <w:color w:val="auto"/>
              </w:rPr>
            </w:pPr>
            <w:r>
              <w:rPr>
                <w:rFonts w:ascii="Arial" w:cs="Arial" w:eastAsia="Arial" w:hAnsi="Arial"/>
                <w:sz w:val="16"/>
                <w:szCs w:val="16"/>
                <w:color w:val="auto"/>
              </w:rPr>
              <w:t>24.1</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9160" w:type="dxa"/>
            <w:vAlign w:val="bottom"/>
            <w:gridSpan w:val="30"/>
          </w:tcPr>
          <w:p>
            <w:pPr>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Power of Attorney (included on signature page).</w:t>
              </w:r>
            </w:hyperlink>
          </w:p>
        </w:tc>
        <w:tc>
          <w:tcPr>
            <w:tcW w:w="0" w:type="dxa"/>
            <w:vAlign w:val="bottom"/>
          </w:tcPr>
          <w:p>
            <w:pPr>
              <w:spacing w:after="0"/>
              <w:rPr>
                <w:sz w:val="1"/>
                <w:szCs w:val="1"/>
                <w:color w:val="auto"/>
              </w:rPr>
            </w:pPr>
          </w:p>
        </w:tc>
      </w:tr>
      <w:tr>
        <w:trPr>
          <w:trHeight w:val="559"/>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40" w:type="dxa"/>
            <w:vAlign w:val="bottom"/>
            <w:gridSpan w:val="7"/>
          </w:tcPr>
          <w:p>
            <w:pPr>
              <w:ind w:left="3440"/>
              <w:spacing w:after="0"/>
              <w:rPr>
                <w:sz w:val="20"/>
                <w:szCs w:val="20"/>
                <w:color w:val="auto"/>
              </w:rPr>
            </w:pPr>
            <w:r>
              <w:rPr>
                <w:rFonts w:ascii="Arial" w:cs="Arial" w:eastAsia="Arial" w:hAnsi="Arial"/>
                <w:sz w:val="18"/>
                <w:szCs w:val="18"/>
                <w:color w:val="auto"/>
                <w:w w:val="89"/>
              </w:rPr>
              <w:t>94</w:t>
            </w: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4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99">
              <w:r>
                <w:rPr>
                  <w:rFonts w:ascii="Arial" w:cs="Arial" w:eastAsia="Arial" w:hAnsi="Arial"/>
                  <w:sz w:val="16"/>
                  <w:szCs w:val="16"/>
                  <w:color w:val="0000EE"/>
                  <w:w w:val="92"/>
                </w:rPr>
                <w:t>Certification of Principal Executive Officer pursuant to Rules 13a-14(a) and 15d-14(a) promulgated under the Securities Exchange Act of</w:t>
              </w:r>
            </w:hyperlink>
          </w:p>
        </w:tc>
        <w:tc>
          <w:tcPr>
            <w:tcW w:w="200" w:type="dxa"/>
            <w:vAlign w:val="bottom"/>
            <w:gridSpan w:val="2"/>
          </w:tcPr>
          <w:p>
            <w:pPr>
              <w:spacing w:after="0"/>
              <w:rPr>
                <w:sz w:val="16"/>
                <w:szCs w:val="16"/>
                <w:color w:val="auto"/>
              </w:rPr>
            </w:pPr>
          </w:p>
        </w:tc>
      </w:tr>
      <w:tr>
        <w:trPr>
          <w:trHeight w:val="183"/>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2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99">
              <w:r>
                <w:rPr>
                  <w:rFonts w:ascii="Arial" w:cs="Arial" w:eastAsia="Arial" w:hAnsi="Arial"/>
                  <w:sz w:val="16"/>
                  <w:szCs w:val="16"/>
                  <w:color w:val="0000EE"/>
                  <w:w w:val="90"/>
                </w:rPr>
                <w:t>1934, as adopted pursuant to Section 302 of the Sarbanes-Oxley Act of 2002.</w:t>
              </w:r>
            </w:hyperlink>
          </w:p>
        </w:tc>
        <w:tc>
          <w:tcPr>
            <w:tcW w:w="4120" w:type="dxa"/>
            <w:vAlign w:val="bottom"/>
            <w:gridSpan w:val="5"/>
          </w:tcPr>
          <w:p>
            <w:pPr>
              <w:spacing w:after="0"/>
              <w:rPr>
                <w:sz w:val="15"/>
                <w:szCs w:val="15"/>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40" w:type="dxa"/>
            <w:vAlign w:val="bottom"/>
            <w:gridSpan w:val="7"/>
          </w:tcPr>
          <w:p>
            <w:pPr>
              <w:spacing w:after="0"/>
              <w:rPr>
                <w:rFonts w:ascii="Arial" w:cs="Arial" w:eastAsia="Arial" w:hAnsi="Arial"/>
                <w:sz w:val="16"/>
                <w:szCs w:val="16"/>
                <w:color w:val="0000EE"/>
                <w:w w:val="95"/>
              </w:rPr>
            </w:pPr>
            <w:hyperlink w:anchor="page100">
              <w:r>
                <w:rPr>
                  <w:rFonts w:ascii="Arial" w:cs="Arial" w:eastAsia="Arial" w:hAnsi="Arial"/>
                  <w:sz w:val="16"/>
                  <w:szCs w:val="16"/>
                  <w:color w:val="0000EE"/>
                  <w:w w:val="95"/>
                </w:rPr>
                <w:t>Certification of Principal Financial Officer pursuant to Rules 13a-14(a) and 15d-14(a) promulgated under the Securities Exchange Act of</w:t>
              </w:r>
            </w:hyperlink>
          </w:p>
        </w:tc>
      </w:tr>
      <w:tr>
        <w:trPr>
          <w:trHeight w:val="183"/>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0"/>
              </w:rPr>
            </w:pPr>
            <w:hyperlink w:anchor="page100">
              <w:r>
                <w:rPr>
                  <w:rFonts w:ascii="Arial" w:cs="Arial" w:eastAsia="Arial" w:hAnsi="Arial"/>
                  <w:sz w:val="16"/>
                  <w:szCs w:val="16"/>
                  <w:color w:val="0000EE"/>
                  <w:w w:val="90"/>
                </w:rPr>
                <w:t>1934, as adopted pursuant to section 302 of the Sarbanes-Oxley Act of 2002.</w:t>
              </w:r>
            </w:hyperlink>
          </w:p>
        </w:tc>
        <w:tc>
          <w:tcPr>
            <w:tcW w:w="3880" w:type="dxa"/>
            <w:vAlign w:val="bottom"/>
            <w:tcBorders>
              <w:top w:val="single" w:sz="8" w:color="0000EE"/>
            </w:tcBorders>
            <w:gridSpan w:val="3"/>
          </w:tcPr>
          <w:p>
            <w:pPr>
              <w:spacing w:after="0"/>
              <w:rPr>
                <w:sz w:val="15"/>
                <w:szCs w:val="15"/>
                <w:color w:val="auto"/>
              </w:rPr>
            </w:pPr>
          </w:p>
        </w:tc>
        <w:tc>
          <w:tcPr>
            <w:tcW w:w="260" w:type="dxa"/>
            <w:vAlign w:val="bottom"/>
            <w:gridSpan w:val="3"/>
          </w:tcPr>
          <w:p>
            <w:pPr>
              <w:spacing w:after="0"/>
              <w:rPr>
                <w:sz w:val="15"/>
                <w:szCs w:val="15"/>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60" w:type="dxa"/>
            <w:vAlign w:val="bottom"/>
            <w:tcBorders>
              <w:bottom w:val="single" w:sz="8" w:color="0000EE"/>
            </w:tcBorders>
            <w:gridSpan w:val="6"/>
          </w:tcPr>
          <w:p>
            <w:pPr>
              <w:spacing w:after="0"/>
              <w:rPr>
                <w:rFonts w:ascii="Arial" w:cs="Arial" w:eastAsia="Arial" w:hAnsi="Arial"/>
                <w:sz w:val="16"/>
                <w:szCs w:val="16"/>
                <w:color w:val="0000EE"/>
                <w:w w:val="93"/>
              </w:rPr>
            </w:pPr>
            <w:hyperlink w:anchor="page101">
              <w:r>
                <w:rPr>
                  <w:rFonts w:ascii="Arial" w:cs="Arial" w:eastAsia="Arial" w:hAnsi="Arial"/>
                  <w:sz w:val="16"/>
                  <w:szCs w:val="16"/>
                  <w:color w:val="0000EE"/>
                  <w:w w:val="93"/>
                </w:rPr>
                <w:t>Certification of Principal Executive Officer and Principal Financial Officer pursuant to Rules 13a-14(b) and 15d-14(b) promulgated under</w:t>
              </w:r>
            </w:hyperlink>
          </w:p>
        </w:tc>
        <w:tc>
          <w:tcPr>
            <w:tcW w:w="18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40" w:type="dxa"/>
            <w:vAlign w:val="bottom"/>
            <w:gridSpan w:val="7"/>
          </w:tcPr>
          <w:p>
            <w:pPr>
              <w:spacing w:after="0"/>
              <w:rPr>
                <w:rFonts w:ascii="Arial" w:cs="Arial" w:eastAsia="Arial" w:hAnsi="Arial"/>
                <w:sz w:val="16"/>
                <w:szCs w:val="16"/>
                <w:u w:val="single" w:color="auto"/>
                <w:color w:val="0000EE"/>
                <w:w w:val="93"/>
              </w:rPr>
            </w:pPr>
            <w:hyperlink w:anchor="page101">
              <w:r>
                <w:rPr>
                  <w:rFonts w:ascii="Arial" w:cs="Arial" w:eastAsia="Arial" w:hAnsi="Arial"/>
                  <w:sz w:val="16"/>
                  <w:szCs w:val="16"/>
                  <w:u w:val="single" w:color="auto"/>
                  <w:color w:val="0000EE"/>
                  <w:w w:val="93"/>
                </w:rPr>
                <w:t>the Securities Exchange Act of 1934 and 18 U.S.C. Section 1350, as adopted pursuant to section 906 of The Sarbanes-Oxley Act of 2002.</w:t>
              </w:r>
            </w:hyperlink>
          </w:p>
        </w:tc>
      </w:tr>
      <w:tr>
        <w:trPr>
          <w:trHeight w:val="289"/>
        </w:trPr>
        <w:tc>
          <w:tcPr>
            <w:tcW w:w="1160" w:type="dxa"/>
            <w:vAlign w:val="bottom"/>
          </w:tcPr>
          <w:p>
            <w:pPr>
              <w:spacing w:after="0"/>
              <w:rPr>
                <w:sz w:val="20"/>
                <w:szCs w:val="20"/>
                <w:color w:val="auto"/>
              </w:rPr>
            </w:pPr>
            <w:r>
              <w:rPr>
                <w:rFonts w:ascii="Arial" w:cs="Arial" w:eastAsia="Arial" w:hAnsi="Arial"/>
                <w:sz w:val="16"/>
                <w:szCs w:val="16"/>
                <w:color w:val="auto"/>
              </w:rPr>
              <w:t>99.1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40" w:type="dxa"/>
            <w:vAlign w:val="bottom"/>
            <w:gridSpan w:val="7"/>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Resolutions adopted by the Board of Directors of the Registrant setting forth the information with respect to the Ratification</w:t>
              </w:r>
            </w:hyperlink>
          </w:p>
        </w:tc>
      </w:tr>
      <w:tr>
        <w:trPr>
          <w:trHeight w:val="196"/>
        </w:trPr>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required under Section 204 of the Delaware General Corporation Law.</w:t>
              </w:r>
            </w:hyperlink>
          </w:p>
        </w:tc>
        <w:tc>
          <w:tcPr>
            <w:tcW w:w="200" w:type="dxa"/>
            <w:vAlign w:val="bottom"/>
            <w:gridSpan w:val="2"/>
          </w:tcPr>
          <w:p>
            <w:pPr>
              <w:spacing w:after="0"/>
              <w:rPr>
                <w:sz w:val="17"/>
                <w:szCs w:val="17"/>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920" w:type="dxa"/>
            <w:vAlign w:val="bottom"/>
          </w:tcPr>
          <w:p>
            <w:pPr>
              <w:spacing w:after="0"/>
              <w:rPr>
                <w:sz w:val="24"/>
                <w:szCs w:val="24"/>
                <w:color w:val="auto"/>
              </w:rPr>
            </w:pPr>
          </w:p>
        </w:tc>
        <w:tc>
          <w:tcPr>
            <w:tcW w:w="508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XBRL Instance Document</w:t>
            </w:r>
          </w:p>
        </w:tc>
        <w:tc>
          <w:tcPr>
            <w:tcW w:w="4060" w:type="dxa"/>
            <w:vAlign w:val="bottom"/>
            <w:gridSpan w:val="4"/>
          </w:tcPr>
          <w:p>
            <w:pPr>
              <w:spacing w:after="0"/>
              <w:rPr>
                <w:sz w:val="24"/>
                <w:szCs w:val="24"/>
                <w:color w:val="auto"/>
              </w:rPr>
            </w:pP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920" w:type="dxa"/>
            <w:vAlign w:val="bottom"/>
          </w:tcPr>
          <w:p>
            <w:pPr>
              <w:spacing w:after="0"/>
              <w:rPr>
                <w:sz w:val="24"/>
                <w:szCs w:val="24"/>
                <w:color w:val="auto"/>
              </w:rPr>
            </w:pPr>
          </w:p>
        </w:tc>
        <w:tc>
          <w:tcPr>
            <w:tcW w:w="914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920" w:type="dxa"/>
            <w:vAlign w:val="bottom"/>
          </w:tcPr>
          <w:p>
            <w:pPr>
              <w:spacing w:after="0"/>
              <w:rPr>
                <w:sz w:val="24"/>
                <w:szCs w:val="24"/>
                <w:color w:val="auto"/>
              </w:rPr>
            </w:pPr>
          </w:p>
        </w:tc>
        <w:tc>
          <w:tcPr>
            <w:tcW w:w="914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920" w:type="dxa"/>
            <w:vAlign w:val="bottom"/>
          </w:tcPr>
          <w:p>
            <w:pPr>
              <w:spacing w:after="0"/>
              <w:rPr>
                <w:sz w:val="24"/>
                <w:szCs w:val="24"/>
                <w:color w:val="auto"/>
              </w:rPr>
            </w:pPr>
          </w:p>
        </w:tc>
        <w:tc>
          <w:tcPr>
            <w:tcW w:w="914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920" w:type="dxa"/>
            <w:vAlign w:val="bottom"/>
          </w:tcPr>
          <w:p>
            <w:pPr>
              <w:spacing w:after="0"/>
              <w:rPr>
                <w:sz w:val="24"/>
                <w:szCs w:val="24"/>
                <w:color w:val="auto"/>
              </w:rPr>
            </w:pPr>
          </w:p>
        </w:tc>
        <w:tc>
          <w:tcPr>
            <w:tcW w:w="914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920" w:type="dxa"/>
            <w:vAlign w:val="bottom"/>
          </w:tcPr>
          <w:p>
            <w:pPr>
              <w:spacing w:after="0"/>
              <w:rPr>
                <w:sz w:val="24"/>
                <w:szCs w:val="24"/>
                <w:color w:val="auto"/>
              </w:rPr>
            </w:pPr>
          </w:p>
        </w:tc>
        <w:tc>
          <w:tcPr>
            <w:tcW w:w="914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08"/>
        </w:trPr>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bl>
    <w:p>
      <w:pPr>
        <w:spacing w:after="0" w:line="395"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9" w:lineRule="exact"/>
        <w:rPr>
          <w:sz w:val="20"/>
          <w:szCs w:val="20"/>
          <w:color w:val="auto"/>
        </w:rPr>
      </w:pPr>
    </w:p>
    <w:p>
      <w:pPr>
        <w:ind w:left="480" w:right="600" w:hanging="472"/>
        <w:spacing w:after="0" w:line="264"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(indicated by asterisks) and those portions have been separately filed with the Securities and Exchange Commission.</w:t>
      </w:r>
    </w:p>
    <w:p>
      <w:pPr>
        <w:ind w:left="480" w:right="20" w:hanging="472"/>
        <w:spacing w:after="0" w:line="264"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jc w:val="both"/>
        <w:ind w:left="480" w:right="100" w:hanging="472"/>
        <w:spacing w:after="0" w:line="276"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Item 601(b)(10)(iv) of Regulation S-K promulgated by the Securities and Exchange Commission, certain portions of this exhibit (indicated by asterisks) have been omitted.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CLEARSIDE BIOMEDICAL,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Pr>
          <w:p>
            <w:pPr>
              <w:ind w:left="6880"/>
              <w:spacing w:after="0"/>
              <w:rPr>
                <w:sz w:val="20"/>
                <w:szCs w:val="20"/>
                <w:color w:val="auto"/>
              </w:rPr>
            </w:pPr>
            <w:r>
              <w:rPr>
                <w:rFonts w:ascii="Arial" w:cs="Arial" w:eastAsia="Arial" w:hAnsi="Arial"/>
                <w:sz w:val="16"/>
                <w:szCs w:val="16"/>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 xml:space="preserve">/s/ </w:t>
            </w:r>
            <w:r>
              <w:rPr>
                <w:rFonts w:ascii="Arial" w:cs="Arial" w:eastAsia="Arial" w:hAnsi="Arial"/>
                <w:sz w:val="16"/>
                <w:szCs w:val="16"/>
                <w:i w:val="1"/>
                <w:iCs w:val="1"/>
                <w:color w:val="auto"/>
                <w:w w:val="90"/>
              </w:rPr>
              <w:t>George Lasezkay, Pharm.D., J.D.</w:t>
            </w:r>
          </w:p>
        </w:tc>
      </w:tr>
      <w:tr>
        <w:trPr>
          <w:trHeight w:val="189"/>
        </w:trPr>
        <w:tc>
          <w:tcPr>
            <w:tcW w:w="744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w w:val="90"/>
              </w:rPr>
              <w:t>George Lasezkay, Pharm.D., J.D.</w:t>
            </w:r>
          </w:p>
        </w:tc>
      </w:tr>
      <w:tr>
        <w:trPr>
          <w:trHeight w:val="206"/>
        </w:trPr>
        <w:tc>
          <w:tcPr>
            <w:tcW w:w="7440" w:type="dxa"/>
            <w:vAlign w:val="bottom"/>
          </w:tcPr>
          <w:p>
            <w:pPr>
              <w:spacing w:after="0"/>
              <w:rPr>
                <w:sz w:val="20"/>
                <w:szCs w:val="20"/>
                <w:color w:val="auto"/>
              </w:rPr>
            </w:pPr>
            <w:r>
              <w:rPr>
                <w:rFonts w:ascii="Arial" w:cs="Arial" w:eastAsia="Arial" w:hAnsi="Arial"/>
                <w:sz w:val="16"/>
                <w:szCs w:val="16"/>
                <w:color w:val="auto"/>
              </w:rPr>
              <w:t>March 15, 2021</w:t>
            </w:r>
          </w:p>
        </w:tc>
        <w:tc>
          <w:tcPr>
            <w:tcW w:w="3800" w:type="dxa"/>
            <w:vAlign w:val="bottom"/>
          </w:tcPr>
          <w:p>
            <w:pPr>
              <w:jc w:val="center"/>
              <w:spacing w:after="0"/>
              <w:rPr>
                <w:sz w:val="20"/>
                <w:szCs w:val="20"/>
                <w:color w:val="auto"/>
              </w:rPr>
            </w:pPr>
            <w:r>
              <w:rPr>
                <w:rFonts w:ascii="Arial" w:cs="Arial" w:eastAsia="Arial" w:hAnsi="Arial"/>
                <w:sz w:val="16"/>
                <w:szCs w:val="16"/>
                <w:i w:val="1"/>
                <w:iCs w:val="1"/>
                <w:color w:val="auto"/>
                <w:w w:val="92"/>
              </w:rPr>
              <w:t>President and Chief Executive Officer</w:t>
            </w:r>
          </w:p>
        </w:tc>
      </w:tr>
    </w:tbl>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George Lasezkay, Charles A. Deignan and Leslie Zacks,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4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308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6"/>
                <w:szCs w:val="16"/>
                <w:b w:val="1"/>
                <w:bCs w:val="1"/>
                <w:color w:val="auto"/>
              </w:rPr>
              <w:t>Title</w:t>
            </w:r>
          </w:p>
        </w:tc>
        <w:tc>
          <w:tcPr>
            <w:tcW w:w="24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93"/>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/s/ George Lasezkay, Pharm.D., J.D.</w:t>
            </w:r>
          </w:p>
        </w:tc>
        <w:tc>
          <w:tcPr>
            <w:tcW w:w="3080" w:type="dxa"/>
            <w:vAlign w:val="bottom"/>
          </w:tcPr>
          <w:p>
            <w:pPr>
              <w:ind w:left="180"/>
              <w:spacing w:after="0"/>
              <w:rPr>
                <w:sz w:val="20"/>
                <w:szCs w:val="20"/>
                <w:color w:val="auto"/>
              </w:rPr>
            </w:pPr>
            <w:r>
              <w:rPr>
                <w:rFonts w:ascii="Arial" w:cs="Arial" w:eastAsia="Arial" w:hAnsi="Arial"/>
                <w:sz w:val="16"/>
                <w:szCs w:val="16"/>
                <w:color w:val="auto"/>
              </w:rPr>
              <w:t>President, Chief Executive Officer and</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00" w:type="dxa"/>
            <w:vAlign w:val="bottom"/>
          </w:tcPr>
          <w:p>
            <w:pPr>
              <w:jc w:val="center"/>
              <w:spacing w:after="0" w:line="179" w:lineRule="exact"/>
              <w:rPr>
                <w:sz w:val="20"/>
                <w:szCs w:val="20"/>
                <w:color w:val="auto"/>
              </w:rPr>
            </w:pPr>
            <w:r>
              <w:rPr>
                <w:rFonts w:ascii="Arial" w:cs="Arial" w:eastAsia="Arial" w:hAnsi="Arial"/>
                <w:sz w:val="16"/>
                <w:szCs w:val="16"/>
                <w:color w:val="auto"/>
                <w:w w:val="90"/>
              </w:rPr>
              <w:t>George Lasezkay, Pharm.D., J.D.</w:t>
            </w:r>
          </w:p>
        </w:tc>
        <w:tc>
          <w:tcPr>
            <w:tcW w:w="3080" w:type="dxa"/>
            <w:vAlign w:val="bottom"/>
          </w:tcPr>
          <w:p>
            <w:pPr>
              <w:ind w:left="180"/>
              <w:spacing w:after="0" w:line="179" w:lineRule="exact"/>
              <w:rPr>
                <w:sz w:val="20"/>
                <w:szCs w:val="20"/>
                <w:color w:val="auto"/>
              </w:rPr>
            </w:pPr>
            <w:r>
              <w:rPr>
                <w:rFonts w:ascii="Arial" w:cs="Arial" w:eastAsia="Arial" w:hAnsi="Arial"/>
                <w:sz w:val="16"/>
                <w:szCs w:val="16"/>
                <w:color w:val="auto"/>
              </w:rPr>
              <w:t>Director</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(Principal Executive Officer)</w:t>
            </w:r>
          </w:p>
        </w:tc>
        <w:tc>
          <w:tcPr>
            <w:tcW w:w="2400" w:type="dxa"/>
            <w:vAlign w:val="bottom"/>
          </w:tcPr>
          <w:p>
            <w:pPr>
              <w:ind w:left="14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Charles A. Deignan</w:t>
            </w:r>
          </w:p>
        </w:tc>
        <w:tc>
          <w:tcPr>
            <w:tcW w:w="308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00" w:type="dxa"/>
            <w:vAlign w:val="bottom"/>
          </w:tcPr>
          <w:p>
            <w:pPr>
              <w:jc w:val="center"/>
              <w:spacing w:after="0" w:line="179" w:lineRule="exact"/>
              <w:rPr>
                <w:sz w:val="20"/>
                <w:szCs w:val="20"/>
                <w:color w:val="auto"/>
              </w:rPr>
            </w:pPr>
            <w:r>
              <w:rPr>
                <w:rFonts w:ascii="Arial" w:cs="Arial" w:eastAsia="Arial" w:hAnsi="Arial"/>
                <w:sz w:val="16"/>
                <w:szCs w:val="16"/>
                <w:color w:val="auto"/>
                <w:w w:val="92"/>
              </w:rPr>
              <w:t>Charles A. Deignan</w:t>
            </w:r>
          </w:p>
        </w:tc>
        <w:tc>
          <w:tcPr>
            <w:tcW w:w="3080" w:type="dxa"/>
            <w:vAlign w:val="bottom"/>
          </w:tcPr>
          <w:p>
            <w:pPr>
              <w:ind w:left="180"/>
              <w:spacing w:after="0" w:line="179" w:lineRule="exact"/>
              <w:rPr>
                <w:sz w:val="20"/>
                <w:szCs w:val="20"/>
                <w:color w:val="auto"/>
              </w:rPr>
            </w:pPr>
            <w:r>
              <w:rPr>
                <w:rFonts w:ascii="Arial" w:cs="Arial" w:eastAsia="Arial" w:hAnsi="Arial"/>
                <w:sz w:val="16"/>
                <w:szCs w:val="16"/>
                <w:i w:val="1"/>
                <w:iCs w:val="1"/>
                <w:color w:val="auto"/>
              </w:rPr>
              <w:t>(Principal Financial Officer and Principal</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Accounting Officer)</w:t>
            </w:r>
          </w:p>
        </w:tc>
        <w:tc>
          <w:tcPr>
            <w:tcW w:w="2400" w:type="dxa"/>
            <w:vAlign w:val="bottom"/>
          </w:tcPr>
          <w:p>
            <w:pPr>
              <w:ind w:left="14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William D. Humphries</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jc w:val="center"/>
              <w:spacing w:after="0"/>
              <w:rPr>
                <w:sz w:val="20"/>
                <w:szCs w:val="20"/>
                <w:color w:val="auto"/>
              </w:rPr>
            </w:pPr>
            <w:r>
              <w:rPr>
                <w:rFonts w:ascii="Arial" w:cs="Arial" w:eastAsia="Arial" w:hAnsi="Arial"/>
                <w:sz w:val="16"/>
                <w:szCs w:val="16"/>
                <w:color w:val="auto"/>
                <w:w w:val="96"/>
              </w:rPr>
              <w:t>William D. Humphries</w:t>
            </w:r>
          </w:p>
        </w:tc>
        <w:tc>
          <w:tcPr>
            <w:tcW w:w="3080" w:type="dxa"/>
            <w:vAlign w:val="bottom"/>
            <w:vMerge w:val="continue"/>
          </w:tcPr>
          <w:p>
            <w:pPr>
              <w:spacing w:after="0"/>
              <w:rPr>
                <w:sz w:val="17"/>
                <w:szCs w:val="17"/>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09"/>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Richard Croarkin</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jc w:val="center"/>
              <w:spacing w:after="0"/>
              <w:rPr>
                <w:sz w:val="20"/>
                <w:szCs w:val="20"/>
                <w:color w:val="auto"/>
              </w:rPr>
            </w:pPr>
            <w:r>
              <w:rPr>
                <w:rFonts w:ascii="Arial" w:cs="Arial" w:eastAsia="Arial" w:hAnsi="Arial"/>
                <w:sz w:val="16"/>
                <w:szCs w:val="16"/>
                <w:color w:val="auto"/>
                <w:w w:val="93"/>
              </w:rPr>
              <w:t>Richard Croarkin</w:t>
            </w:r>
          </w:p>
        </w:tc>
        <w:tc>
          <w:tcPr>
            <w:tcW w:w="3080" w:type="dxa"/>
            <w:vAlign w:val="bottom"/>
            <w:vMerge w:val="continue"/>
          </w:tcPr>
          <w:p>
            <w:pPr>
              <w:spacing w:after="0"/>
              <w:rPr>
                <w:sz w:val="17"/>
                <w:szCs w:val="17"/>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09"/>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/s/ Jeffrey L. Edwards</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jc w:val="center"/>
              <w:spacing w:after="0"/>
              <w:rPr>
                <w:sz w:val="20"/>
                <w:szCs w:val="20"/>
                <w:color w:val="auto"/>
              </w:rPr>
            </w:pPr>
            <w:r>
              <w:rPr>
                <w:rFonts w:ascii="Arial" w:cs="Arial" w:eastAsia="Arial" w:hAnsi="Arial"/>
                <w:sz w:val="16"/>
                <w:szCs w:val="16"/>
                <w:color w:val="auto"/>
                <w:w w:val="93"/>
              </w:rPr>
              <w:t>Jeffrey L. Edwards</w:t>
            </w:r>
          </w:p>
        </w:tc>
        <w:tc>
          <w:tcPr>
            <w:tcW w:w="3080" w:type="dxa"/>
            <w:vAlign w:val="bottom"/>
            <w:vMerge w:val="continue"/>
          </w:tcPr>
          <w:p>
            <w:pPr>
              <w:spacing w:after="0"/>
              <w:rPr>
                <w:sz w:val="17"/>
                <w:szCs w:val="17"/>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1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Nancy J. Hutson</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vMerge w:val="restart"/>
          </w:tcPr>
          <w:p>
            <w:pPr>
              <w:ind w:left="12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203"/>
        </w:trPr>
        <w:tc>
          <w:tcPr>
            <w:tcW w:w="4000" w:type="dxa"/>
            <w:vAlign w:val="bottom"/>
          </w:tcPr>
          <w:p>
            <w:pPr>
              <w:jc w:val="center"/>
              <w:spacing w:after="0"/>
              <w:rPr>
                <w:sz w:val="20"/>
                <w:szCs w:val="20"/>
                <w:color w:val="auto"/>
              </w:rPr>
            </w:pPr>
            <w:r>
              <w:rPr>
                <w:rFonts w:ascii="Arial" w:cs="Arial" w:eastAsia="Arial" w:hAnsi="Arial"/>
                <w:sz w:val="16"/>
                <w:szCs w:val="16"/>
                <w:color w:val="auto"/>
                <w:w w:val="91"/>
              </w:rPr>
              <w:t>Nancy J. Hutson</w:t>
            </w:r>
          </w:p>
        </w:tc>
        <w:tc>
          <w:tcPr>
            <w:tcW w:w="3080" w:type="dxa"/>
            <w:vAlign w:val="bottom"/>
            <w:vMerge w:val="continue"/>
          </w:tcPr>
          <w:p>
            <w:pPr>
              <w:spacing w:after="0"/>
              <w:rPr>
                <w:sz w:val="17"/>
                <w:szCs w:val="17"/>
                <w:color w:val="auto"/>
              </w:rPr>
            </w:pP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Christy L. Shaffer, Ph.D.</w:t>
            </w:r>
          </w:p>
        </w:tc>
        <w:tc>
          <w:tcPr>
            <w:tcW w:w="3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jc w:val="center"/>
              <w:spacing w:after="0"/>
              <w:rPr>
                <w:sz w:val="20"/>
                <w:szCs w:val="20"/>
                <w:color w:val="auto"/>
              </w:rPr>
            </w:pPr>
            <w:r>
              <w:rPr>
                <w:rFonts w:ascii="Arial" w:cs="Arial" w:eastAsia="Arial" w:hAnsi="Arial"/>
                <w:sz w:val="16"/>
                <w:szCs w:val="16"/>
                <w:color w:val="auto"/>
                <w:w w:val="93"/>
              </w:rPr>
              <w:t>Christy L. Shaffer, Ph.D.</w:t>
            </w:r>
          </w:p>
        </w:tc>
        <w:tc>
          <w:tcPr>
            <w:tcW w:w="3080" w:type="dxa"/>
            <w:vAlign w:val="bottom"/>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8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r>
        <w:trPr>
          <w:trHeight w:val="409"/>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/s/Clay B. Thorp</w:t>
            </w:r>
          </w:p>
        </w:tc>
        <w:tc>
          <w:tcPr>
            <w:tcW w:w="3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jc w:val="center"/>
              <w:spacing w:after="0"/>
              <w:rPr>
                <w:sz w:val="20"/>
                <w:szCs w:val="20"/>
                <w:color w:val="auto"/>
              </w:rPr>
            </w:pPr>
            <w:r>
              <w:rPr>
                <w:rFonts w:ascii="Arial" w:cs="Arial" w:eastAsia="Arial" w:hAnsi="Arial"/>
                <w:sz w:val="16"/>
                <w:szCs w:val="16"/>
                <w:color w:val="auto"/>
                <w:w w:val="94"/>
              </w:rPr>
              <w:t>Clay B. Thorp</w:t>
            </w:r>
          </w:p>
        </w:tc>
        <w:tc>
          <w:tcPr>
            <w:tcW w:w="3080" w:type="dxa"/>
            <w:vAlign w:val="bottom"/>
          </w:tcPr>
          <w:p>
            <w:pPr>
              <w:ind w:left="18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80"/>
              <w:spacing w:after="0"/>
              <w:rPr>
                <w:sz w:val="20"/>
                <w:szCs w:val="20"/>
                <w:color w:val="auto"/>
              </w:rPr>
            </w:pPr>
            <w:r>
              <w:rPr>
                <w:rFonts w:ascii="Arial" w:cs="Arial" w:eastAsia="Arial" w:hAnsi="Arial"/>
                <w:sz w:val="16"/>
                <w:szCs w:val="16"/>
                <w:color w:val="auto"/>
              </w:rPr>
              <w:t>March 15,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5" w:right="339" w:bottom="1440" w:gutter="0" w:footer="0" w:header="0"/>
        </w:sectPr>
      </w:pPr>
    </w:p>
    <w:bookmarkStart w:id="97" w:name="page98"/>
    <w:bookmarkEnd w:id="97"/>
    <w:p>
      <w:pPr>
        <w:ind w:left="10120"/>
        <w:spacing w:after="0"/>
        <w:rPr>
          <w:sz w:val="20"/>
          <w:szCs w:val="20"/>
          <w:color w:val="auto"/>
        </w:rPr>
      </w:pPr>
      <w:r>
        <w:rPr>
          <w:rFonts w:ascii="Arial" w:cs="Arial" w:eastAsia="Arial" w:hAnsi="Arial"/>
          <w:sz w:val="19"/>
          <w:szCs w:val="19"/>
          <w:b w:val="1"/>
          <w:bCs w:val="1"/>
          <w:color w:val="auto"/>
        </w:rPr>
        <w:t>Exhibit 23.1</w:t>
      </w:r>
    </w:p>
    <w:p>
      <w:pPr>
        <w:spacing w:after="0" w:line="29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880" w:right="580" w:hanging="440"/>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333-212014) pertaining to the 2011 Stock Incentive Plan, as amended, Stock Option Awards, 2016 Equity Incentive Plan, and 2016 Employee Stock Purchase Plan of Clearside Biomedical, Inc.,</w:t>
      </w:r>
    </w:p>
    <w:p>
      <w:pPr>
        <w:spacing w:after="0" w:line="196" w:lineRule="exact"/>
        <w:rPr>
          <w:rFonts w:ascii="Arial" w:cs="Arial" w:eastAsia="Arial" w:hAnsi="Arial"/>
          <w:sz w:val="18"/>
          <w:szCs w:val="18"/>
          <w:color w:val="auto"/>
        </w:rPr>
      </w:pPr>
    </w:p>
    <w:p>
      <w:pPr>
        <w:ind w:left="880" w:right="600" w:hanging="440"/>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333-216750) pertaining to the 2016 Equity Incentive Plan and 2016 Employee Stock Purchase Plan of Clearside Biomedical, Inc.,</w:t>
      </w:r>
    </w:p>
    <w:p>
      <w:pPr>
        <w:spacing w:after="0" w:line="196"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S-3 No. 333-219132) of Clearside Biomedical, Inc.,</w:t>
      </w:r>
    </w:p>
    <w:p>
      <w:pPr>
        <w:spacing w:after="0" w:line="238" w:lineRule="exact"/>
        <w:rPr>
          <w:rFonts w:ascii="Arial" w:cs="Arial" w:eastAsia="Arial" w:hAnsi="Arial"/>
          <w:sz w:val="18"/>
          <w:szCs w:val="18"/>
          <w:color w:val="auto"/>
        </w:rPr>
      </w:pPr>
    </w:p>
    <w:p>
      <w:pPr>
        <w:ind w:left="880" w:right="600" w:hanging="440"/>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333-224826) pertaining to the 2016 Equity Incentive Plan and 2016 Employee Stock Purchase Plan of Clearside Biomedical, Inc., and</w:t>
      </w:r>
    </w:p>
    <w:p>
      <w:pPr>
        <w:spacing w:after="0" w:line="196"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333-231383) pertaining to the 2016 Equity Incentive Plan of Clearside Biomedical, Inc.,</w:t>
      </w:r>
    </w:p>
    <w:p>
      <w:pPr>
        <w:spacing w:after="0" w:line="238"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333-238133) pertaining to the 2016 Equity Incentive Plan of Clearside Biomedical, Inc.</w:t>
      </w:r>
    </w:p>
    <w:p>
      <w:pPr>
        <w:spacing w:after="0" w:line="200" w:lineRule="exact"/>
        <w:rPr>
          <w:sz w:val="20"/>
          <w:szCs w:val="20"/>
          <w:color w:val="auto"/>
        </w:rPr>
      </w:pPr>
    </w:p>
    <w:p>
      <w:pPr>
        <w:spacing w:after="0" w:line="25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of our report dated March 15, 2021, with respect to the financial statements of Clearside Biomedical, Inc. included in this Annual Report (Form 10-K) of Clearside Biomedical, Inc. for the year ended December 31, 2020.</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Atlanta, Georgia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1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2020 of Clearside Biomedical, Inc. (the “registrant”);</w:t>
      </w:r>
    </w:p>
    <w:p>
      <w:pPr>
        <w:spacing w:after="0" w:line="12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George Lasezkay, Pharm.D., J.D.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2020 of Clearside Biomedical, Inc. (the “registrant”);</w:t>
      </w:r>
    </w:p>
    <w:p>
      <w:pPr>
        <w:spacing w:after="0" w:line="12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9" w:lineRule="exact"/>
        <w:rPr>
          <w:sz w:val="20"/>
          <w:szCs w:val="20"/>
          <w:color w:val="auto"/>
        </w:rPr>
      </w:pPr>
    </w:p>
    <w:p>
      <w:pPr>
        <w:ind w:left="500" w:right="360" w:hanging="492"/>
        <w:spacing w:after="0" w:line="308" w:lineRule="auto"/>
        <w:tabs>
          <w:tab w:leader="none" w:pos="50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for the year ended December 31, 2020,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00" w:right="420" w:hanging="492"/>
        <w:spacing w:after="0" w:line="277" w:lineRule="auto"/>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15th day of March, 2021.</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George Lasezkay, Pharm.D., J.D.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51" w:lineRule="exact"/>
        <w:rPr>
          <w:sz w:val="20"/>
          <w:szCs w:val="20"/>
          <w:color w:val="auto"/>
        </w:rPr>
      </w:pPr>
    </w:p>
    <w:p>
      <w:pPr>
        <w:jc w:val="both"/>
        <w:ind w:left="500" w:right="80" w:hanging="492"/>
        <w:spacing w:after="0" w:line="286"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40"/>
          </w:cols>
          <w:pgMar w:left="320" w:top="121"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CTION BY</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RITTEN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ONSENT</w:t>
      </w:r>
    </w:p>
    <w:p>
      <w:pPr>
        <w:jc w:val="center"/>
        <w:spacing w:after="0"/>
        <w:rPr>
          <w:sz w:val="20"/>
          <w:szCs w:val="20"/>
          <w:color w:val="auto"/>
        </w:rPr>
      </w:pPr>
      <w:r>
        <w:rPr>
          <w:rFonts w:ascii="Arial" w:cs="Arial" w:eastAsia="Arial" w:hAnsi="Arial"/>
          <w:sz w:val="13"/>
          <w:szCs w:val="13"/>
          <w:b w:val="1"/>
          <w:bCs w:val="1"/>
          <w:color w:val="auto"/>
        </w:rPr>
        <w:t xml:space="preserve">OF THE </w:t>
      </w:r>
      <w:r>
        <w:rPr>
          <w:rFonts w:ascii="Arial" w:cs="Arial" w:eastAsia="Arial" w:hAnsi="Arial"/>
          <w:sz w:val="19"/>
          <w:szCs w:val="19"/>
          <w:b w:val="1"/>
          <w:bCs w:val="1"/>
          <w:color w:val="auto"/>
        </w:rPr>
        <w:t>B</w:t>
      </w:r>
      <w:r>
        <w:rPr>
          <w:rFonts w:ascii="Arial" w:cs="Arial" w:eastAsia="Arial" w:hAnsi="Arial"/>
          <w:sz w:val="13"/>
          <w:szCs w:val="13"/>
          <w:b w:val="1"/>
          <w:bCs w:val="1"/>
          <w:color w:val="auto"/>
        </w:rPr>
        <w:t xml:space="preserve">OARD OF </w:t>
      </w:r>
      <w:r>
        <w:rPr>
          <w:rFonts w:ascii="Arial" w:cs="Arial" w:eastAsia="Arial" w:hAnsi="Arial"/>
          <w:sz w:val="19"/>
          <w:szCs w:val="19"/>
          <w:b w:val="1"/>
          <w:bCs w:val="1"/>
          <w:color w:val="auto"/>
        </w:rPr>
        <w:t>D</w:t>
      </w:r>
      <w:r>
        <w:rPr>
          <w:rFonts w:ascii="Arial" w:cs="Arial" w:eastAsia="Arial" w:hAnsi="Arial"/>
          <w:sz w:val="13"/>
          <w:szCs w:val="13"/>
          <w:b w:val="1"/>
          <w:bCs w:val="1"/>
          <w:color w:val="auto"/>
        </w:rPr>
        <w:t>IRECTORS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LEARSIDE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IOMEDICAL</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ECEMBER</w:t>
      </w:r>
      <w:r>
        <w:rPr>
          <w:rFonts w:ascii="Arial" w:cs="Arial" w:eastAsia="Arial" w:hAnsi="Arial"/>
          <w:sz w:val="20"/>
          <w:szCs w:val="20"/>
          <w:b w:val="1"/>
          <w:bCs w:val="1"/>
          <w:color w:val="auto"/>
        </w:rPr>
        <w:t xml:space="preserve"> 10, 2020</w:t>
      </w:r>
    </w:p>
    <w:p>
      <w:pPr>
        <w:spacing w:after="0" w:line="229"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The undersigned, being all of the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xml:space="preserve">”) of </w:t>
      </w:r>
      <w:r>
        <w:rPr>
          <w:rFonts w:ascii="Arial" w:cs="Arial" w:eastAsia="Arial" w:hAnsi="Arial"/>
          <w:sz w:val="19"/>
          <w:szCs w:val="19"/>
          <w:b w:val="1"/>
          <w:bCs w:val="1"/>
          <w:color w:val="auto"/>
        </w:rPr>
        <w:t>C</w:t>
      </w:r>
      <w:r>
        <w:rPr>
          <w:rFonts w:ascii="Arial" w:cs="Arial" w:eastAsia="Arial" w:hAnsi="Arial"/>
          <w:sz w:val="12"/>
          <w:szCs w:val="12"/>
          <w:b w:val="1"/>
          <w:bCs w:val="1"/>
          <w:color w:val="auto"/>
        </w:rPr>
        <w:t>LEARSIDE</w:t>
      </w:r>
      <w:r>
        <w:rPr>
          <w:rFonts w:ascii="Arial" w:cs="Arial" w:eastAsia="Arial" w:hAnsi="Arial"/>
          <w:sz w:val="19"/>
          <w:szCs w:val="19"/>
          <w:color w:val="auto"/>
        </w:rPr>
        <w:t xml:space="preserve"> </w:t>
      </w:r>
      <w:r>
        <w:rPr>
          <w:rFonts w:ascii="Arial" w:cs="Arial" w:eastAsia="Arial" w:hAnsi="Arial"/>
          <w:sz w:val="19"/>
          <w:szCs w:val="19"/>
          <w:b w:val="1"/>
          <w:bCs w:val="1"/>
          <w:color w:val="auto"/>
        </w:rPr>
        <w:t>B</w:t>
      </w:r>
      <w:r>
        <w:rPr>
          <w:rFonts w:ascii="Arial" w:cs="Arial" w:eastAsia="Arial" w:hAnsi="Arial"/>
          <w:sz w:val="12"/>
          <w:szCs w:val="12"/>
          <w:b w:val="1"/>
          <w:bCs w:val="1"/>
          <w:color w:val="auto"/>
        </w:rPr>
        <w:t>IOMEDICAL</w:t>
      </w:r>
      <w:r>
        <w:rPr>
          <w:rFonts w:ascii="Arial" w:cs="Arial" w:eastAsia="Arial" w:hAnsi="Arial"/>
          <w:sz w:val="19"/>
          <w:szCs w:val="19"/>
          <w:b w:val="1"/>
          <w:bCs w:val="1"/>
          <w:color w:val="auto"/>
        </w:rPr>
        <w:t>, I</w:t>
      </w:r>
      <w:r>
        <w:rPr>
          <w:rFonts w:ascii="Arial" w:cs="Arial" w:eastAsia="Arial" w:hAnsi="Arial"/>
          <w:sz w:val="12"/>
          <w:szCs w:val="12"/>
          <w:b w:val="1"/>
          <w:bCs w:val="1"/>
          <w:color w:val="auto"/>
        </w:rPr>
        <w:t>NC</w:t>
      </w:r>
      <w:r>
        <w:rPr>
          <w:rFonts w:ascii="Arial" w:cs="Arial" w:eastAsia="Arial" w:hAnsi="Arial"/>
          <w:sz w:val="19"/>
          <w:szCs w:val="19"/>
          <w:b w:val="1"/>
          <w:bCs w:val="1"/>
          <w:color w:val="auto"/>
        </w:rPr>
        <w:t>.</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 take the following actions by written consent without a meeting pursuant to Sections 141(f) and 204 of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to, among other things, ratify and correct certain defective corporate acts as described below, and hereby direct that this consent be filed with the minutes of the proceedings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ATIFICATION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SSUANCES</w:t>
      </w:r>
    </w:p>
    <w:p>
      <w:pPr>
        <w:spacing w:after="0" w:line="229" w:lineRule="exact"/>
        <w:rPr>
          <w:sz w:val="20"/>
          <w:szCs w:val="20"/>
          <w:color w:val="auto"/>
        </w:rPr>
      </w:pPr>
    </w:p>
    <w:p>
      <w:pPr>
        <w:jc w:val="both"/>
        <w:ind w:left="440" w:right="440" w:firstLine="797"/>
        <w:spacing w:after="0" w:line="248"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Section 204 of the DGCL (“</w:t>
      </w:r>
      <w:r>
        <w:rPr>
          <w:rFonts w:ascii="Arial" w:cs="Arial" w:eastAsia="Arial" w:hAnsi="Arial"/>
          <w:sz w:val="20"/>
          <w:szCs w:val="20"/>
          <w:b w:val="1"/>
          <w:bCs w:val="1"/>
          <w:i w:val="1"/>
          <w:iCs w:val="1"/>
          <w:color w:val="auto"/>
        </w:rPr>
        <w:t>Section 204</w:t>
      </w:r>
      <w:r>
        <w:rPr>
          <w:rFonts w:ascii="Arial" w:cs="Arial" w:eastAsia="Arial" w:hAnsi="Arial"/>
          <w:sz w:val="20"/>
          <w:szCs w:val="20"/>
          <w:color w:val="auto"/>
        </w:rPr>
        <w:t>”) provides that, if a “defective corporate act” and “putative stock”</w:t>
      </w:r>
      <w:r>
        <w:rPr>
          <w:rFonts w:ascii="Arial" w:cs="Arial" w:eastAsia="Arial" w:hAnsi="Arial"/>
          <w:sz w:val="20"/>
          <w:szCs w:val="20"/>
          <w:b w:val="1"/>
          <w:bCs w:val="1"/>
          <w:color w:val="auto"/>
        </w:rPr>
        <w:t xml:space="preserve"> </w:t>
      </w:r>
      <w:r>
        <w:rPr>
          <w:rFonts w:ascii="Arial" w:cs="Arial" w:eastAsia="Arial" w:hAnsi="Arial"/>
          <w:sz w:val="20"/>
          <w:szCs w:val="20"/>
          <w:color w:val="auto"/>
        </w:rPr>
        <w:t>(as such terms are defined therein) is ratified as provided in that section, it shall not be void or voidable solely as a result of a failure to authorize or effect an act or transaction in compliance with the provisions of the DGCL, the certificate of incorporation, or the bylaws of the corporation;</w:t>
      </w:r>
    </w:p>
    <w:p>
      <w:pPr>
        <w:spacing w:after="0" w:line="183" w:lineRule="exact"/>
        <w:rPr>
          <w:sz w:val="20"/>
          <w:szCs w:val="20"/>
          <w:color w:val="auto"/>
        </w:rPr>
      </w:pPr>
    </w:p>
    <w:p>
      <w:pPr>
        <w:jc w:val="both"/>
        <w:ind w:left="440" w:right="440" w:firstLine="797"/>
        <w:spacing w:after="0" w:line="24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between October 5, 2020 and October 9, 2020, Company purported to issue an aggregate of 126,510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Company’s common stock, par value $0.001 per share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xml:space="preserve">”), as detailed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attached hereto (each a “</w:t>
      </w:r>
      <w:r>
        <w:rPr>
          <w:rFonts w:ascii="Arial" w:cs="Arial" w:eastAsia="Arial" w:hAnsi="Arial"/>
          <w:sz w:val="20"/>
          <w:szCs w:val="20"/>
          <w:b w:val="1"/>
          <w:bCs w:val="1"/>
          <w:i w:val="1"/>
          <w:iCs w:val="1"/>
          <w:color w:val="auto"/>
        </w:rPr>
        <w:t>Stock Issuance</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Stock Issuances</w:t>
      </w:r>
      <w:r>
        <w:rPr>
          <w:rFonts w:ascii="Arial" w:cs="Arial" w:eastAsia="Arial" w:hAnsi="Arial"/>
          <w:sz w:val="20"/>
          <w:szCs w:val="20"/>
          <w:color w:val="auto"/>
        </w:rPr>
        <w:t>”) pursuant to the Company’s Registration Statement on Form S-3 (File No. 333-238128) in one or more “at-the-market” offerings with Cowen and Company, LLC acting as agent or principal (the “</w:t>
      </w:r>
      <w:r>
        <w:rPr>
          <w:rFonts w:ascii="Arial" w:cs="Arial" w:eastAsia="Arial" w:hAnsi="Arial"/>
          <w:sz w:val="20"/>
          <w:szCs w:val="20"/>
          <w:b w:val="1"/>
          <w:bCs w:val="1"/>
          <w:i w:val="1"/>
          <w:iCs w:val="1"/>
          <w:color w:val="auto"/>
        </w:rPr>
        <w:t>ATM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Program</w:t>
      </w:r>
      <w:r>
        <w:rPr>
          <w:rFonts w:ascii="Arial" w:cs="Arial" w:eastAsia="Arial" w:hAnsi="Arial"/>
          <w:sz w:val="20"/>
          <w:szCs w:val="20"/>
          <w:color w:val="auto"/>
        </w:rPr>
        <w:t>”);</w:t>
      </w:r>
    </w:p>
    <w:p>
      <w:pPr>
        <w:spacing w:after="0" w:line="185" w:lineRule="exact"/>
        <w:rPr>
          <w:sz w:val="20"/>
          <w:szCs w:val="20"/>
          <w:color w:val="auto"/>
        </w:rPr>
      </w:pPr>
    </w:p>
    <w:p>
      <w:pPr>
        <w:jc w:val="both"/>
        <w:ind w:left="440" w:right="440" w:firstLine="797"/>
        <w:spacing w:after="0" w:line="24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Board has determined that each of the Stock Issuances may have been a “defective corporate act”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Section 204) and the shares of Common Stock purported issued in the Stock Issuances (collectively, the “</w:t>
      </w:r>
      <w:r>
        <w:rPr>
          <w:rFonts w:ascii="Arial" w:cs="Arial" w:eastAsia="Arial" w:hAnsi="Arial"/>
          <w:sz w:val="20"/>
          <w:szCs w:val="20"/>
          <w:b w:val="1"/>
          <w:bCs w:val="1"/>
          <w:i w:val="1"/>
          <w:iCs w:val="1"/>
          <w:color w:val="auto"/>
        </w:rPr>
        <w:t>Putative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may be “putative stock” (as defined in Section 204) because the authority the Board had previously delegated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management to issue shares of Common Stock pursuant to the ATM Program had expired as of the close of business on September 30, 2020; and</w:t>
      </w:r>
    </w:p>
    <w:p>
      <w:pPr>
        <w:spacing w:after="0" w:line="185" w:lineRule="exact"/>
        <w:rPr>
          <w:sz w:val="20"/>
          <w:szCs w:val="20"/>
          <w:color w:val="auto"/>
        </w:rPr>
      </w:pPr>
    </w:p>
    <w:p>
      <w:pPr>
        <w:jc w:val="both"/>
        <w:ind w:left="440" w:right="440" w:firstLine="797"/>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Board desires to ratify the Stock Issuances and the Putative Stock pursuant to and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204.</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B</w:t>
      </w:r>
      <w:r>
        <w:rPr>
          <w:rFonts w:ascii="Arial" w:cs="Arial" w:eastAsia="Arial" w:hAnsi="Arial"/>
          <w:sz w:val="13"/>
          <w:szCs w:val="13"/>
          <w:b w:val="1"/>
          <w:bCs w:val="1"/>
          <w:color w:val="auto"/>
        </w:rPr>
        <w:t>E</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T</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ESOLVED</w:t>
      </w:r>
      <w:r>
        <w:rPr>
          <w:rFonts w:ascii="Arial" w:cs="Arial" w:eastAsia="Arial" w:hAnsi="Arial"/>
          <w:sz w:val="20"/>
          <w:szCs w:val="20"/>
          <w:color w:val="auto"/>
        </w:rPr>
        <w:t>, that the Stock Issuances are the defective corporate acts to be ratified hereby;</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ESOLVED</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URTHER</w:t>
      </w:r>
      <w:r>
        <w:rPr>
          <w:rFonts w:ascii="Arial" w:cs="Arial" w:eastAsia="Arial" w:hAnsi="Arial"/>
          <w:sz w:val="20"/>
          <w:szCs w:val="20"/>
          <w:color w:val="auto"/>
        </w:rPr>
        <w:t>, that the date of each Stock Issuance is as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16" w:lineRule="exact"/>
        <w:rPr>
          <w:sz w:val="20"/>
          <w:szCs w:val="20"/>
          <w:color w:val="auto"/>
        </w:rPr>
      </w:pPr>
    </w:p>
    <w:p>
      <w:pPr>
        <w:jc w:val="both"/>
        <w:ind w:left="440" w:right="440" w:firstLine="797"/>
        <w:spacing w:after="0" w:line="253" w:lineRule="auto"/>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ESOLVED</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URTHER</w:t>
      </w:r>
      <w:r>
        <w:rPr>
          <w:rFonts w:ascii="Arial" w:cs="Arial" w:eastAsia="Arial" w:hAnsi="Arial"/>
          <w:sz w:val="20"/>
          <w:szCs w:val="20"/>
          <w:color w:val="auto"/>
        </w:rPr>
        <w:t>, that the numbers of shares of Putative Stock purportedly issued, the dates such shares of Putative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Stock were purportedly issued, and the consideration received by the corporation for such Putative Shares are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all of which Putative Shares were shares of Common Stock;</w:t>
      </w:r>
    </w:p>
    <w:p>
      <w:pPr>
        <w:spacing w:after="0" w:line="177" w:lineRule="exact"/>
        <w:rPr>
          <w:sz w:val="20"/>
          <w:szCs w:val="20"/>
          <w:color w:val="auto"/>
        </w:rPr>
      </w:pPr>
    </w:p>
    <w:p>
      <w:pPr>
        <w:jc w:val="both"/>
        <w:ind w:left="440" w:right="440" w:firstLine="797"/>
        <w:spacing w:after="0" w:line="267" w:lineRule="auto"/>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ESOLVED</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URTHER</w:t>
      </w:r>
      <w:r>
        <w:rPr>
          <w:rFonts w:ascii="Arial" w:cs="Arial" w:eastAsia="Arial" w:hAnsi="Arial"/>
          <w:sz w:val="20"/>
          <w:szCs w:val="20"/>
          <w:color w:val="auto"/>
        </w:rPr>
        <w:t>, that the nature of the failure of authorization in respect of the Stock Issuances is the failure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or a duly authorized Committee thereof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440"/>
        <w:spacing w:after="0"/>
        <w:rPr>
          <w:sz w:val="20"/>
          <w:szCs w:val="20"/>
          <w:color w:val="auto"/>
        </w:rPr>
      </w:pPr>
      <w:r>
        <w:rPr>
          <w:rFonts w:ascii="Arial" w:cs="Arial" w:eastAsia="Arial" w:hAnsi="Arial"/>
          <w:sz w:val="20"/>
          <w:szCs w:val="20"/>
          <w:color w:val="auto"/>
        </w:rPr>
        <w:t>authorized the Stock Issuances in accordance with Sections 152 and 153 of the DGCL prior to thereto; and</w:t>
      </w:r>
    </w:p>
    <w:p>
      <w:pPr>
        <w:spacing w:after="0" w:line="210" w:lineRule="exact"/>
        <w:rPr>
          <w:sz w:val="20"/>
          <w:szCs w:val="20"/>
          <w:color w:val="auto"/>
        </w:rPr>
      </w:pPr>
    </w:p>
    <w:p>
      <w:pPr>
        <w:jc w:val="both"/>
        <w:ind w:left="440" w:firstLine="797"/>
        <w:spacing w:after="0" w:line="293" w:lineRule="auto"/>
        <w:rPr>
          <w:sz w:val="20"/>
          <w:szCs w:val="20"/>
          <w:color w:val="auto"/>
        </w:rPr>
      </w:pPr>
      <w:r>
        <w:rPr>
          <w:rFonts w:ascii="Arial" w:cs="Arial" w:eastAsia="Arial" w:hAnsi="Arial"/>
          <w:sz w:val="19"/>
          <w:szCs w:val="19"/>
          <w:b w:val="1"/>
          <w:bCs w:val="1"/>
          <w:color w:val="auto"/>
        </w:rPr>
        <w:t>R</w:t>
      </w:r>
      <w:r>
        <w:rPr>
          <w:rFonts w:ascii="Arial" w:cs="Arial" w:eastAsia="Arial" w:hAnsi="Arial"/>
          <w:sz w:val="12"/>
          <w:szCs w:val="12"/>
          <w:b w:val="1"/>
          <w:bCs w:val="1"/>
          <w:color w:val="auto"/>
        </w:rPr>
        <w:t>ESOLVED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9"/>
          <w:szCs w:val="19"/>
          <w:color w:val="auto"/>
        </w:rPr>
        <w:t>, that, pursuant to and in accordance with Section 204, the ratification of the Stock Issuances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issuance of the Putative Stock be, and hereby is, approved, adopted and confirmed in all respects.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CTIONS IN</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URTHERANCE OF</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ATIFICATION</w:t>
      </w:r>
    </w:p>
    <w:p>
      <w:pPr>
        <w:spacing w:after="0" w:line="229" w:lineRule="exact"/>
        <w:rPr>
          <w:sz w:val="20"/>
          <w:szCs w:val="20"/>
          <w:color w:val="auto"/>
        </w:rPr>
      </w:pPr>
    </w:p>
    <w:p>
      <w:pPr>
        <w:jc w:val="both"/>
        <w:ind w:left="440" w:firstLine="897"/>
        <w:spacing w:after="0" w:line="280"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any claim that any defective corporate act or putative stock referenced herein being ratified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204 is void or voidable due to the failure of authorization, or that the Delaware Court of Chancery should declare in its discretion that the ratification thereof in accordance with Section 204 not be effective or be effective only on certain conditions must be brought within the later of 120 days from the relevant validation effective time (which, in the case of the Stock Issuances, will be the date and time of the adoption of these resolutions) and the time at which the notice required by Section 204(g) is given.</w:t>
      </w:r>
    </w:p>
    <w:p>
      <w:pPr>
        <w:spacing w:after="0" w:line="156" w:lineRule="exact"/>
        <w:rPr>
          <w:sz w:val="20"/>
          <w:szCs w:val="20"/>
          <w:color w:val="auto"/>
        </w:rPr>
      </w:pPr>
    </w:p>
    <w:p>
      <w:pPr>
        <w:jc w:val="both"/>
        <w:ind w:left="440" w:firstLine="797"/>
        <w:spacing w:after="0" w:line="272" w:lineRule="auto"/>
        <w:rPr>
          <w:sz w:val="20"/>
          <w:szCs w:val="20"/>
          <w:color w:val="auto"/>
        </w:rPr>
      </w:pPr>
      <w:r>
        <w:rPr>
          <w:rFonts w:ascii="Arial" w:cs="Arial" w:eastAsia="Arial" w:hAnsi="Arial"/>
          <w:sz w:val="19"/>
          <w:szCs w:val="19"/>
          <w:b w:val="1"/>
          <w:bCs w:val="1"/>
          <w:color w:val="auto"/>
        </w:rPr>
        <w:t>R</w:t>
      </w:r>
      <w:r>
        <w:rPr>
          <w:rFonts w:ascii="Arial" w:cs="Arial" w:eastAsia="Arial" w:hAnsi="Arial"/>
          <w:sz w:val="12"/>
          <w:szCs w:val="12"/>
          <w:b w:val="1"/>
          <w:bCs w:val="1"/>
          <w:color w:val="auto"/>
        </w:rPr>
        <w:t>ESOLVED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9"/>
          <w:szCs w:val="19"/>
          <w:color w:val="auto"/>
        </w:rPr>
        <w:t>, that the officers of the Company be, and each of them hereby is, authorized, empowered and</w:t>
      </w:r>
      <w:r>
        <w:rPr>
          <w:rFonts w:ascii="Arial" w:cs="Arial" w:eastAsia="Arial" w:hAnsi="Arial"/>
          <w:sz w:val="19"/>
          <w:szCs w:val="19"/>
          <w:b w:val="1"/>
          <w:bCs w:val="1"/>
          <w:color w:val="auto"/>
        </w:rPr>
        <w:t xml:space="preserve"> </w:t>
      </w:r>
      <w:r>
        <w:rPr>
          <w:rFonts w:ascii="Arial" w:cs="Arial" w:eastAsia="Arial" w:hAnsi="Arial"/>
          <w:sz w:val="19"/>
          <w:szCs w:val="19"/>
          <w:color w:val="auto"/>
        </w:rPr>
        <w:t>directed, for and on behalf of the Company, to deliver a notice of the ratification of the Stock Issuances and Putative Stock set forth herein in the form and containing the information required by Section 204 of the General Corporation Law.</w:t>
      </w:r>
    </w:p>
    <w:p>
      <w:pPr>
        <w:spacing w:after="0" w:line="162" w:lineRule="exact"/>
        <w:rPr>
          <w:sz w:val="20"/>
          <w:szCs w:val="20"/>
          <w:color w:val="auto"/>
        </w:rPr>
      </w:pPr>
    </w:p>
    <w:p>
      <w:pPr>
        <w:jc w:val="both"/>
        <w:ind w:left="440" w:firstLine="797"/>
        <w:spacing w:after="0" w:line="258" w:lineRule="auto"/>
        <w:rPr>
          <w:sz w:val="20"/>
          <w:szCs w:val="20"/>
          <w:color w:val="auto"/>
        </w:rPr>
      </w:pPr>
      <w:r>
        <w:rPr>
          <w:rFonts w:ascii="Arial" w:cs="Arial" w:eastAsia="Arial" w:hAnsi="Arial"/>
          <w:sz w:val="19"/>
          <w:szCs w:val="19"/>
          <w:b w:val="1"/>
          <w:bCs w:val="1"/>
          <w:color w:val="auto"/>
        </w:rPr>
        <w:t>R</w:t>
      </w:r>
      <w:r>
        <w:rPr>
          <w:rFonts w:ascii="Arial" w:cs="Arial" w:eastAsia="Arial" w:hAnsi="Arial"/>
          <w:sz w:val="12"/>
          <w:szCs w:val="12"/>
          <w:b w:val="1"/>
          <w:bCs w:val="1"/>
          <w:color w:val="auto"/>
        </w:rPr>
        <w:t>ESOLVED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9"/>
          <w:szCs w:val="19"/>
          <w:color w:val="auto"/>
        </w:rPr>
        <w:t>, that the officers of the Company be, and each of them hereby is, authorized, empowered and</w:t>
      </w:r>
      <w:r>
        <w:rPr>
          <w:rFonts w:ascii="Arial" w:cs="Arial" w:eastAsia="Arial" w:hAnsi="Arial"/>
          <w:sz w:val="19"/>
          <w:szCs w:val="19"/>
          <w:b w:val="1"/>
          <w:bCs w:val="1"/>
          <w:color w:val="auto"/>
        </w:rPr>
        <w:t xml:space="preserve"> </w:t>
      </w:r>
      <w:r>
        <w:rPr>
          <w:rFonts w:ascii="Arial" w:cs="Arial" w:eastAsia="Arial" w:hAnsi="Arial"/>
          <w:sz w:val="19"/>
          <w:szCs w:val="19"/>
          <w:color w:val="auto"/>
        </w:rPr>
        <w:t>directed, for and on behalf of the Company, to take any and all actions, to negotiate for and enter into agreements and amendments to agreements, to perform all such acts and things, to execute, file, deliver or record in the name and on behalf of the Company, all such certificates, instruments, agreements or other documents, and to make all such payments as they, in their judgment, or in the judgment of any one or more of them, may deem necessary, advisable or appropriate in order to carry out the purpose and intent of, or consummate the transactions contemplated by the foregoing resolutions and/or all of the transactions contemplated therein or thereby, the authorization therefor to be conclusively evidenced by the taking of such action or the execution and delivery of such certificates, instruments, agreements or documents.</w:t>
      </w:r>
    </w:p>
    <w:p>
      <w:pPr>
        <w:spacing w:after="0" w:line="179" w:lineRule="exact"/>
        <w:rPr>
          <w:sz w:val="20"/>
          <w:szCs w:val="20"/>
          <w:color w:val="auto"/>
        </w:rPr>
      </w:pPr>
    </w:p>
    <w:p>
      <w:pPr>
        <w:jc w:val="both"/>
        <w:ind w:left="440" w:firstLine="797"/>
        <w:spacing w:after="0" w:line="250" w:lineRule="auto"/>
        <w:rPr>
          <w:sz w:val="20"/>
          <w:szCs w:val="20"/>
          <w:color w:val="auto"/>
        </w:rPr>
      </w:pPr>
      <w:r>
        <w:rPr>
          <w:rFonts w:ascii="Arial" w:cs="Arial" w:eastAsia="Arial" w:hAnsi="Arial"/>
          <w:sz w:val="20"/>
          <w:szCs w:val="20"/>
          <w:color w:val="auto"/>
        </w:rPr>
        <w:t>This Unanimous Written Consent may be executed in one or more counterparts. An electronic transmission expressing the consent of a director to the approval and adoption of the resolutions set forth herein shall be deemed the same as the delivery of an original counterpart.</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PACE</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NTENTIONALLY</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EFT</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320" w:top="339" w:right="77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The undersigned have executed this Action by Written Consent of the Board of Directors on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20"/>
        <w:spacing w:after="0"/>
        <w:rPr>
          <w:sz w:val="20"/>
          <w:szCs w:val="20"/>
          <w:color w:val="auto"/>
        </w:rPr>
      </w:pPr>
      <w:r>
        <w:rPr>
          <w:rFonts w:ascii="Arial" w:cs="Arial" w:eastAsia="Arial" w:hAnsi="Arial"/>
          <w:sz w:val="20"/>
          <w:szCs w:val="20"/>
          <w:u w:val="single" w:color="auto"/>
          <w:color w:val="auto"/>
        </w:rPr>
        <w:t>/s/ George Lasezkay</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EORGE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ASEZKAY</w:t>
      </w:r>
    </w:p>
    <w:p>
      <w:pPr>
        <w:spacing w:after="0" w:line="200" w:lineRule="exact"/>
        <w:rPr>
          <w:sz w:val="20"/>
          <w:szCs w:val="20"/>
          <w:color w:val="auto"/>
        </w:rPr>
      </w:pPr>
    </w:p>
    <w:p>
      <w:pPr>
        <w:spacing w:after="0" w:line="218"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23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rPr>
              <w:t>/s/</w:t>
            </w:r>
          </w:p>
        </w:tc>
        <w:tc>
          <w:tcPr>
            <w:tcW w:w="2200" w:type="dxa"/>
            <w:vAlign w:val="bottom"/>
            <w:tcBorders>
              <w:bottom w:val="single" w:sz="8" w:color="auto"/>
            </w:tcBorders>
          </w:tcPr>
          <w:p>
            <w:pPr>
              <w:jc w:val="center"/>
              <w:ind w:right="801"/>
              <w:spacing w:after="0"/>
              <w:rPr>
                <w:sz w:val="20"/>
                <w:szCs w:val="20"/>
                <w:color w:val="auto"/>
              </w:rPr>
            </w:pPr>
            <w:r>
              <w:rPr>
                <w:rFonts w:ascii="Arial" w:cs="Arial" w:eastAsia="Arial" w:hAnsi="Arial"/>
                <w:sz w:val="20"/>
                <w:szCs w:val="20"/>
                <w:color w:val="auto"/>
                <w:w w:val="93"/>
              </w:rPr>
              <w:t>Christy</w:t>
            </w:r>
          </w:p>
        </w:tc>
        <w:tc>
          <w:tcPr>
            <w:tcW w:w="1460" w:type="dxa"/>
            <w:vAlign w:val="bottom"/>
            <w:tcBorders>
              <w:bottom w:val="single" w:sz="8" w:color="auto"/>
            </w:tcBorders>
            <w:gridSpan w:val="2"/>
          </w:tcPr>
          <w:p>
            <w:pPr>
              <w:ind w:left="1280"/>
              <w:spacing w:after="0"/>
              <w:rPr>
                <w:sz w:val="20"/>
                <w:szCs w:val="20"/>
                <w:color w:val="auto"/>
              </w:rPr>
            </w:pPr>
            <w:r>
              <w:rPr>
                <w:rFonts w:ascii="Arial" w:cs="Arial" w:eastAsia="Arial" w:hAnsi="Arial"/>
                <w:sz w:val="20"/>
                <w:szCs w:val="20"/>
                <w:color w:val="auto"/>
                <w:w w:val="95"/>
              </w:rPr>
              <w:t>L.</w:t>
            </w:r>
          </w:p>
        </w:tc>
      </w:tr>
      <w:tr>
        <w:trPr>
          <w:trHeight w:val="210"/>
        </w:trPr>
        <w:tc>
          <w:tcPr>
            <w:tcW w:w="58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w w:val="86"/>
              </w:rPr>
              <w:t>Shaffer</w:t>
            </w:r>
          </w:p>
        </w:tc>
        <w:tc>
          <w:tcPr>
            <w:tcW w:w="1800" w:type="dxa"/>
            <w:vAlign w:val="bottom"/>
            <w:gridSpan w:val="5"/>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2380" w:type="dxa"/>
            <w:vAlign w:val="bottom"/>
            <w:gridSpan w:val="7"/>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HRISTY</w:t>
            </w:r>
            <w:r>
              <w:rPr>
                <w:rFonts w:ascii="Arial" w:cs="Arial" w:eastAsia="Arial" w:hAnsi="Arial"/>
                <w:sz w:val="20"/>
                <w:szCs w:val="20"/>
                <w:b w:val="1"/>
                <w:bCs w:val="1"/>
                <w:color w:val="auto"/>
              </w:rPr>
              <w:t xml:space="preserve"> L. S</w:t>
            </w:r>
            <w:r>
              <w:rPr>
                <w:rFonts w:ascii="Arial" w:cs="Arial" w:eastAsia="Arial" w:hAnsi="Arial"/>
                <w:sz w:val="13"/>
                <w:szCs w:val="13"/>
                <w:b w:val="1"/>
                <w:bCs w:val="1"/>
                <w:color w:val="auto"/>
              </w:rPr>
              <w:t>HAFFER</w:t>
            </w: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44"/>
        </w:trPr>
        <w:tc>
          <w:tcPr>
            <w:tcW w:w="2380" w:type="dxa"/>
            <w:vAlign w:val="bottom"/>
            <w:gridSpan w:val="7"/>
          </w:tcPr>
          <w:p>
            <w:pPr>
              <w:spacing w:after="0"/>
              <w:rPr>
                <w:sz w:val="20"/>
                <w:szCs w:val="20"/>
                <w:color w:val="auto"/>
              </w:rPr>
            </w:pPr>
            <w:r>
              <w:rPr>
                <w:rFonts w:ascii="Arial" w:cs="Arial" w:eastAsia="Arial" w:hAnsi="Arial"/>
                <w:sz w:val="20"/>
                <w:szCs w:val="20"/>
                <w:color w:val="auto"/>
              </w:rPr>
              <w:t>/s/</w:t>
            </w:r>
          </w:p>
        </w:tc>
        <w:tc>
          <w:tcPr>
            <w:tcW w:w="2200" w:type="dxa"/>
            <w:vAlign w:val="bottom"/>
          </w:tcPr>
          <w:p>
            <w:pPr>
              <w:jc w:val="center"/>
              <w:ind w:right="841"/>
              <w:spacing w:after="0"/>
              <w:rPr>
                <w:sz w:val="20"/>
                <w:szCs w:val="20"/>
                <w:color w:val="auto"/>
              </w:rPr>
            </w:pPr>
            <w:r>
              <w:rPr>
                <w:rFonts w:ascii="Arial" w:cs="Arial" w:eastAsia="Arial" w:hAnsi="Arial"/>
                <w:sz w:val="20"/>
                <w:szCs w:val="20"/>
                <w:color w:val="auto"/>
                <w:w w:val="94"/>
              </w:rPr>
              <w:t>Clay</w:t>
            </w:r>
          </w:p>
        </w:tc>
        <w:tc>
          <w:tcPr>
            <w:tcW w:w="1460" w:type="dxa"/>
            <w:vAlign w:val="bottom"/>
            <w:gridSpan w:val="2"/>
          </w:tcPr>
          <w:p>
            <w:pPr>
              <w:ind w:left="1260"/>
              <w:spacing w:after="0"/>
              <w:rPr>
                <w:sz w:val="20"/>
                <w:szCs w:val="20"/>
                <w:color w:val="auto"/>
              </w:rPr>
            </w:pPr>
            <w:r>
              <w:rPr>
                <w:rFonts w:ascii="Arial" w:cs="Arial" w:eastAsia="Arial" w:hAnsi="Arial"/>
                <w:sz w:val="20"/>
                <w:szCs w:val="20"/>
                <w:color w:val="auto"/>
                <w:w w:val="94"/>
              </w:rPr>
              <w:t>B.</w:t>
            </w:r>
          </w:p>
        </w:tc>
      </w:tr>
      <w:tr>
        <w:trPr>
          <w:trHeight w:val="210"/>
        </w:trPr>
        <w:tc>
          <w:tcPr>
            <w:tcW w:w="48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7"/>
              </w:rPr>
              <w:t>Thorp</w:t>
            </w:r>
          </w:p>
        </w:tc>
        <w:tc>
          <w:tcPr>
            <w:tcW w:w="1900" w:type="dxa"/>
            <w:vAlign w:val="bottom"/>
            <w:tcBorders>
              <w:top w:val="single" w:sz="8" w:color="auto"/>
            </w:tcBorders>
            <w:gridSpan w:val="6"/>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2380" w:type="dxa"/>
            <w:vAlign w:val="bottom"/>
            <w:gridSpan w:val="7"/>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LAY</w:t>
            </w:r>
            <w:r>
              <w:rPr>
                <w:rFonts w:ascii="Arial" w:cs="Arial" w:eastAsia="Arial" w:hAnsi="Arial"/>
                <w:sz w:val="20"/>
                <w:szCs w:val="20"/>
                <w:b w:val="1"/>
                <w:bCs w:val="1"/>
                <w:color w:val="auto"/>
              </w:rPr>
              <w:t xml:space="preserve"> B. T</w:t>
            </w:r>
            <w:r>
              <w:rPr>
                <w:rFonts w:ascii="Arial" w:cs="Arial" w:eastAsia="Arial" w:hAnsi="Arial"/>
                <w:sz w:val="13"/>
                <w:szCs w:val="13"/>
                <w:b w:val="1"/>
                <w:bCs w:val="1"/>
                <w:color w:val="auto"/>
              </w:rPr>
              <w:t>HORP</w:t>
            </w: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44"/>
        </w:trPr>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2"/>
              </w:rPr>
              <w:t>/s/ William D. Humphries</w:t>
            </w: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380" w:type="dxa"/>
            <w:vAlign w:val="bottom"/>
            <w:gridSpan w:val="7"/>
          </w:tcPr>
          <w:p>
            <w:pPr>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ILLIAM</w:t>
            </w:r>
            <w:r>
              <w:rPr>
                <w:rFonts w:ascii="Arial" w:cs="Arial" w:eastAsia="Arial" w:hAnsi="Arial"/>
                <w:sz w:val="20"/>
                <w:szCs w:val="20"/>
                <w:b w:val="1"/>
                <w:bCs w:val="1"/>
                <w:color w:val="auto"/>
              </w:rPr>
              <w:t xml:space="preserve"> D. H</w:t>
            </w:r>
            <w:r>
              <w:rPr>
                <w:rFonts w:ascii="Arial" w:cs="Arial" w:eastAsia="Arial" w:hAnsi="Arial"/>
                <w:sz w:val="13"/>
                <w:szCs w:val="13"/>
                <w:b w:val="1"/>
                <w:bCs w:val="1"/>
                <w:color w:val="auto"/>
              </w:rPr>
              <w:t>UMPHRIES</w:t>
            </w: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44"/>
        </w:trPr>
        <w:tc>
          <w:tcPr>
            <w:tcW w:w="2380" w:type="dxa"/>
            <w:vAlign w:val="bottom"/>
            <w:gridSpan w:val="7"/>
          </w:tcPr>
          <w:p>
            <w:pPr>
              <w:spacing w:after="0"/>
              <w:rPr>
                <w:sz w:val="20"/>
                <w:szCs w:val="20"/>
                <w:color w:val="auto"/>
              </w:rPr>
            </w:pPr>
            <w:r>
              <w:rPr>
                <w:rFonts w:ascii="Arial" w:cs="Arial" w:eastAsia="Arial" w:hAnsi="Arial"/>
                <w:sz w:val="20"/>
                <w:szCs w:val="20"/>
                <w:color w:val="auto"/>
              </w:rPr>
              <w:t>/s/ Richard Croarkin</w:t>
            </w: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ICHARD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ROARKIN</w:t>
            </w:r>
          </w:p>
        </w:tc>
        <w:tc>
          <w:tcPr>
            <w:tcW w:w="780" w:type="dxa"/>
            <w:vAlign w:val="bottom"/>
            <w:gridSpan w:val="3"/>
          </w:tcPr>
          <w:p>
            <w:pPr>
              <w:spacing w:after="0"/>
              <w:rPr>
                <w:sz w:val="22"/>
                <w:szCs w:val="22"/>
                <w:color w:val="auto"/>
              </w:rPr>
            </w:pP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44"/>
        </w:trPr>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9"/>
              </w:rPr>
              <w:t>/s/ Jeffrey L. Edwards</w:t>
            </w:r>
          </w:p>
        </w:tc>
        <w:tc>
          <w:tcPr>
            <w:tcW w:w="64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380" w:type="dxa"/>
            <w:vAlign w:val="bottom"/>
            <w:gridSpan w:val="7"/>
          </w:tcPr>
          <w:p>
            <w:pPr>
              <w:spacing w:after="0"/>
              <w:rPr>
                <w:sz w:val="20"/>
                <w:szCs w:val="20"/>
                <w:color w:val="auto"/>
              </w:rPr>
            </w:pPr>
            <w:r>
              <w:rPr>
                <w:rFonts w:ascii="Arial" w:cs="Arial" w:eastAsia="Arial" w:hAnsi="Arial"/>
                <w:sz w:val="20"/>
                <w:szCs w:val="20"/>
                <w:b w:val="1"/>
                <w:bCs w:val="1"/>
                <w:color w:val="auto"/>
              </w:rPr>
              <w:t>J</w:t>
            </w:r>
            <w:r>
              <w:rPr>
                <w:rFonts w:ascii="Arial" w:cs="Arial" w:eastAsia="Arial" w:hAnsi="Arial"/>
                <w:sz w:val="13"/>
                <w:szCs w:val="13"/>
                <w:b w:val="1"/>
                <w:bCs w:val="1"/>
                <w:color w:val="auto"/>
              </w:rPr>
              <w:t>EFFERY</w:t>
            </w:r>
            <w:r>
              <w:rPr>
                <w:rFonts w:ascii="Arial" w:cs="Arial" w:eastAsia="Arial" w:hAnsi="Arial"/>
                <w:sz w:val="20"/>
                <w:szCs w:val="20"/>
                <w:b w:val="1"/>
                <w:bCs w:val="1"/>
                <w:color w:val="auto"/>
              </w:rPr>
              <w:t xml:space="preserve"> L. E</w:t>
            </w:r>
            <w:r>
              <w:rPr>
                <w:rFonts w:ascii="Arial" w:cs="Arial" w:eastAsia="Arial" w:hAnsi="Arial"/>
                <w:sz w:val="13"/>
                <w:szCs w:val="13"/>
                <w:b w:val="1"/>
                <w:bCs w:val="1"/>
                <w:color w:val="auto"/>
              </w:rPr>
              <w:t>DWARDS</w:t>
            </w: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30"/>
        </w:trPr>
        <w:tc>
          <w:tcPr>
            <w:tcW w:w="2380" w:type="dxa"/>
            <w:vAlign w:val="bottom"/>
            <w:gridSpan w:val="7"/>
          </w:tcPr>
          <w:p>
            <w:pPr>
              <w:spacing w:after="0"/>
              <w:rPr>
                <w:sz w:val="20"/>
                <w:szCs w:val="20"/>
                <w:color w:val="auto"/>
              </w:rPr>
            </w:pPr>
            <w:r>
              <w:rPr>
                <w:rFonts w:ascii="Arial" w:cs="Arial" w:eastAsia="Arial" w:hAnsi="Arial"/>
                <w:sz w:val="20"/>
                <w:szCs w:val="20"/>
                <w:color w:val="auto"/>
              </w:rPr>
              <w:t>/s/ Nancy J. Hutson</w:t>
            </w: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540" w:type="dxa"/>
            <w:vAlign w:val="bottom"/>
            <w:tcBorders>
              <w:top w:val="single" w:sz="8" w:color="auto"/>
            </w:tcBorders>
            <w:gridSpan w:val="3"/>
          </w:tcPr>
          <w:p>
            <w:pP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ANCY</w:t>
            </w:r>
            <w:r>
              <w:rPr>
                <w:rFonts w:ascii="Arial" w:cs="Arial" w:eastAsia="Arial" w:hAnsi="Arial"/>
                <w:sz w:val="20"/>
                <w:szCs w:val="20"/>
                <w:b w:val="1"/>
                <w:bCs w:val="1"/>
                <w:color w:val="auto"/>
              </w:rPr>
              <w:t xml:space="preserve"> J. H</w:t>
            </w:r>
            <w:r>
              <w:rPr>
                <w:rFonts w:ascii="Arial" w:cs="Arial" w:eastAsia="Arial" w:hAnsi="Arial"/>
                <w:sz w:val="13"/>
                <w:szCs w:val="13"/>
                <w:b w:val="1"/>
                <w:bCs w:val="1"/>
                <w:color w:val="auto"/>
              </w:rPr>
              <w:t>UTSON</w:t>
            </w:r>
          </w:p>
        </w:tc>
        <w:tc>
          <w:tcPr>
            <w:tcW w:w="840" w:type="dxa"/>
            <w:vAlign w:val="bottom"/>
            <w:gridSpan w:val="4"/>
          </w:tcPr>
          <w:p>
            <w:pPr>
              <w:spacing w:after="0"/>
              <w:rPr>
                <w:sz w:val="22"/>
                <w:szCs w:val="22"/>
                <w:color w:val="auto"/>
              </w:rPr>
            </w:pPr>
          </w:p>
        </w:tc>
        <w:tc>
          <w:tcPr>
            <w:tcW w:w="2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CTION BY</w:t>
      </w:r>
      <w:r>
        <w:rPr>
          <w:rFonts w:ascii="Arial" w:cs="Arial" w:eastAsia="Arial" w:hAnsi="Arial"/>
          <w:sz w:val="22"/>
          <w:szCs w:val="22"/>
          <w:color w:val="auto"/>
        </w:rPr>
        <w:t xml:space="preserve"> W</w:t>
      </w:r>
      <w:r>
        <w:rPr>
          <w:rFonts w:ascii="Arial" w:cs="Arial" w:eastAsia="Arial" w:hAnsi="Arial"/>
          <w:sz w:val="14"/>
          <w:szCs w:val="14"/>
          <w:color w:val="auto"/>
        </w:rPr>
        <w:t>RITTEN</w:t>
      </w:r>
      <w:r>
        <w:rPr>
          <w:rFonts w:ascii="Arial" w:cs="Arial" w:eastAsia="Arial" w:hAnsi="Arial"/>
          <w:sz w:val="22"/>
          <w:szCs w:val="22"/>
          <w:color w:val="auto"/>
        </w:rPr>
        <w:t xml:space="preserve"> C</w:t>
      </w:r>
      <w:r>
        <w:rPr>
          <w:rFonts w:ascii="Arial" w:cs="Arial" w:eastAsia="Arial" w:hAnsi="Arial"/>
          <w:sz w:val="14"/>
          <w:szCs w:val="14"/>
          <w:color w:val="auto"/>
        </w:rPr>
        <w:t>ONSENT OF THE</w:t>
      </w:r>
      <w:r>
        <w:rPr>
          <w:rFonts w:ascii="Arial" w:cs="Arial" w:eastAsia="Arial" w:hAnsi="Arial"/>
          <w:sz w:val="22"/>
          <w:szCs w:val="22"/>
          <w:color w:val="auto"/>
        </w:rPr>
        <w:t xml:space="preserve"> B</w:t>
      </w:r>
      <w:r>
        <w:rPr>
          <w:rFonts w:ascii="Arial" w:cs="Arial" w:eastAsia="Arial" w:hAnsi="Arial"/>
          <w:sz w:val="14"/>
          <w:szCs w:val="14"/>
          <w:color w:val="auto"/>
        </w:rPr>
        <w:t>OARD OF</w:t>
      </w:r>
      <w:r>
        <w:rPr>
          <w:rFonts w:ascii="Arial" w:cs="Arial" w:eastAsia="Arial" w:hAnsi="Arial"/>
          <w:sz w:val="22"/>
          <w:szCs w:val="22"/>
          <w:color w:val="auto"/>
        </w:rPr>
        <w:t xml:space="preserve"> D</w:t>
      </w:r>
      <w:r>
        <w:rPr>
          <w:rFonts w:ascii="Arial" w:cs="Arial" w:eastAsia="Arial" w:hAnsi="Arial"/>
          <w:sz w:val="14"/>
          <w:szCs w:val="14"/>
          <w:color w:val="auto"/>
        </w:rPr>
        <w:t>IRECTORS OF</w:t>
      </w:r>
      <w:r>
        <w:rPr>
          <w:rFonts w:ascii="Arial" w:cs="Arial" w:eastAsia="Arial" w:hAnsi="Arial"/>
          <w:sz w:val="22"/>
          <w:szCs w:val="22"/>
          <w:color w:val="auto"/>
        </w:rPr>
        <w:t xml:space="preserve"> C</w:t>
      </w:r>
      <w:r>
        <w:rPr>
          <w:rFonts w:ascii="Arial" w:cs="Arial" w:eastAsia="Arial" w:hAnsi="Arial"/>
          <w:sz w:val="14"/>
          <w:szCs w:val="14"/>
          <w:color w:val="auto"/>
        </w:rPr>
        <w:t>LEARSIDE</w:t>
      </w:r>
      <w:r>
        <w:rPr>
          <w:rFonts w:ascii="Arial" w:cs="Arial" w:eastAsia="Arial" w:hAnsi="Arial"/>
          <w:sz w:val="22"/>
          <w:szCs w:val="22"/>
          <w:color w:val="auto"/>
        </w:rPr>
        <w:t xml:space="preserve"> B</w:t>
      </w:r>
      <w:r>
        <w:rPr>
          <w:rFonts w:ascii="Arial" w:cs="Arial" w:eastAsia="Arial" w:hAnsi="Arial"/>
          <w:sz w:val="14"/>
          <w:szCs w:val="14"/>
          <w:color w:val="auto"/>
        </w:rPr>
        <w:t>IOMEDICAL</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298450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55"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SSUANCES</w:t>
      </w:r>
    </w:p>
    <w:p>
      <w:pPr>
        <w:spacing w:after="0" w:line="232" w:lineRule="exact"/>
        <w:rPr>
          <w:sz w:val="20"/>
          <w:szCs w:val="20"/>
          <w:color w:val="auto"/>
        </w:rPr>
      </w:pPr>
    </w:p>
    <w:tbl>
      <w:tblPr>
        <w:tblLayout w:type="fixed"/>
        <w:tblInd w:w="1390" w:type="dxa"/>
        <w:tblCellMar>
          <w:top w:w="0" w:type="dxa"/>
          <w:left w:w="0" w:type="dxa"/>
          <w:bottom w:w="0" w:type="dxa"/>
          <w:right w:w="0" w:type="dxa"/>
        </w:tblCellMar>
      </w:tblPr>
      <w:tr>
        <w:trPr>
          <w:trHeight w:val="243"/>
        </w:trPr>
        <w:tc>
          <w:tcPr>
            <w:tcW w:w="17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9"/>
              </w:rPr>
              <w:t>Number of Shares</w:t>
            </w:r>
          </w:p>
        </w:tc>
        <w:tc>
          <w:tcPr>
            <w:tcW w:w="24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i w:val="1"/>
                <w:iCs w:val="1"/>
                <w:color w:val="auto"/>
              </w:rPr>
              <w:t>Date of Issuance</w:t>
            </w:r>
          </w:p>
        </w:tc>
        <w:tc>
          <w:tcPr>
            <w:tcW w:w="2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i w:val="1"/>
                <w:iCs w:val="1"/>
                <w:color w:val="auto"/>
              </w:rPr>
              <w:t>Price Per Share</w:t>
            </w:r>
          </w:p>
        </w:tc>
      </w:tr>
      <w:tr>
        <w:trPr>
          <w:trHeight w:val="223"/>
        </w:trPr>
        <w:tc>
          <w:tcPr>
            <w:tcW w:w="176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17,237</w:t>
            </w:r>
          </w:p>
        </w:tc>
        <w:tc>
          <w:tcPr>
            <w:tcW w:w="24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October 5, 2020</w:t>
            </w:r>
          </w:p>
        </w:tc>
        <w:tc>
          <w:tcPr>
            <w:tcW w:w="2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$1.6000</w:t>
            </w:r>
          </w:p>
        </w:tc>
      </w:tr>
      <w:tr>
        <w:trPr>
          <w:trHeight w:val="223"/>
        </w:trPr>
        <w:tc>
          <w:tcPr>
            <w:tcW w:w="176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39,561</w:t>
            </w:r>
          </w:p>
        </w:tc>
        <w:tc>
          <w:tcPr>
            <w:tcW w:w="24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October 8, 2020</w:t>
            </w:r>
          </w:p>
        </w:tc>
        <w:tc>
          <w:tcPr>
            <w:tcW w:w="2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$1.5500</w:t>
            </w:r>
          </w:p>
        </w:tc>
      </w:tr>
      <w:tr>
        <w:trPr>
          <w:trHeight w:val="223"/>
        </w:trPr>
        <w:tc>
          <w:tcPr>
            <w:tcW w:w="176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69,712</w:t>
            </w:r>
          </w:p>
        </w:tc>
        <w:tc>
          <w:tcPr>
            <w:tcW w:w="24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October 9, 2020</w:t>
            </w:r>
          </w:p>
        </w:tc>
        <w:tc>
          <w:tcPr>
            <w:tcW w:w="2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$1.5958</w:t>
            </w:r>
          </w:p>
        </w:tc>
      </w:tr>
    </w:tbl>
    <w:p>
      <w:pPr>
        <w:spacing w:after="0" w:line="1" w:lineRule="exact"/>
        <w:rPr>
          <w:sz w:val="20"/>
          <w:szCs w:val="20"/>
          <w:color w:val="auto"/>
        </w:rPr>
      </w:pPr>
    </w:p>
    <w:sectPr>
      <w:pgSz w:w="11900" w:h="16838" w:orient="portrait"/>
      <w:cols w:equalWidth="0" w:num="1">
        <w:col w:w="9019"/>
      </w:cols>
      <w:pgMar w:left="1440" w:top="5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lvl w:ilvl="1">
      <w:lvlJc w:val="left"/>
      <w:lvlText w:val="•"/>
      <w:numFmt w:val="bullet"/>
      <w:start w:val="1"/>
    </w:lvl>
  </w:abstractNum>
  <w:abstractNum w:abstractNumId="21">
    <w:nsid w:val="5577F8E1"/>
    <w:multiLevelType w:val="hybridMultilevel"/>
    <w:lvl w:ilvl="0">
      <w:lvlJc w:val="left"/>
      <w:lvlText w:val="•"/>
      <w:numFmt w:val="bullet"/>
      <w:start w:val="1"/>
    </w:lvl>
    <w:lvl w:ilvl="1">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lvl w:ilvl="1">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lvl w:ilvl="1">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18" Type="http://schemas.openxmlformats.org/officeDocument/2006/relationships/hyperlink" Target="http://www.sec.gov/Archives/edgar/data/1539029/000119312516615374/d208521dex31.htm" TargetMode="External"/><Relationship Id="rId119" Type="http://schemas.openxmlformats.org/officeDocument/2006/relationships/hyperlink" Target="http://www.sec.gov/Archives/edgar/data/1539029/000119312516615374/d208521dex32.htm" TargetMode="External"/><Relationship Id="rId120" Type="http://schemas.openxmlformats.org/officeDocument/2006/relationships/hyperlink" Target="http://www.sec.gov/Archives/edgar/data/1539029/000119312516510413/d742552dex41.htm" TargetMode="External"/><Relationship Id="rId121" Type="http://schemas.openxmlformats.org/officeDocument/2006/relationships/hyperlink" Target="http://www.sec.gov/Archives/edgar/data/1539029/000119312516424684/d742552dex42.htm" TargetMode="External"/><Relationship Id="rId122" Type="http://schemas.openxmlformats.org/officeDocument/2006/relationships/hyperlink" Target="http://www.sec.gov/Archives/edgar/data/1539029/000119312516730463/d280787dex41.htm" TargetMode="External"/><Relationship Id="rId123" Type="http://schemas.openxmlformats.org/officeDocument/2006/relationships/hyperlink" Target="http://www.sec.gov/Archives/edgar/data/1539029/000156459020010810/clsd-ex44_474.htm" TargetMode="External"/><Relationship Id="rId124" Type="http://schemas.openxmlformats.org/officeDocument/2006/relationships/hyperlink" Target="http://www.sec.gov/Archives/edgar/data/1539029/000156459019044288/clsd-ex102_6.htm" TargetMode="External"/><Relationship Id="rId125" Type="http://schemas.openxmlformats.org/officeDocument/2006/relationships/hyperlink" Target="http://www.sec.gov/Archives/edgar/data/1539029/000119312516424684/d742552dex101.htm" TargetMode="External"/><Relationship Id="rId126" Type="http://schemas.openxmlformats.org/officeDocument/2006/relationships/hyperlink" Target="http://www.sec.gov/Archives/edgar/data/1539029/000119312516424684/d742552dex103.htm" TargetMode="External"/><Relationship Id="rId127" Type="http://schemas.openxmlformats.org/officeDocument/2006/relationships/hyperlink" Target="http://www.sec.gov/Archives/edgar/data/1539029/000119312516424684/d742552dex104.htm" TargetMode="External"/><Relationship Id="rId128" Type="http://schemas.openxmlformats.org/officeDocument/2006/relationships/hyperlink" Target="http://www.sec.gov/Archives/edgar/data/1539029/000119312516424684/d742552dex105.htm" TargetMode="External"/><Relationship Id="rId129" Type="http://schemas.openxmlformats.org/officeDocument/2006/relationships/hyperlink" Target="http://www.sec.gov/Archives/edgar/data/1539029/000119312516621364/d196989dex47.htm" TargetMode="External"/><Relationship Id="rId130" Type="http://schemas.openxmlformats.org/officeDocument/2006/relationships/hyperlink" Target="http://www.sec.gov/Archives/edgar/data/1539029/000119312516510413/d742552dex107.htm" TargetMode="External"/><Relationship Id="rId131" Type="http://schemas.openxmlformats.org/officeDocument/2006/relationships/hyperlink" Target="http://www.sec.gov/Archives/edgar/data/1539029/000119312516510413/d742552dex108.htm" TargetMode="External"/><Relationship Id="rId134" Type="http://schemas.openxmlformats.org/officeDocument/2006/relationships/hyperlink" Target="http://www.sec.gov/Archives/edgar/data/1539029/000119312516424684/d742552dex109.htm" TargetMode="External"/><Relationship Id="rId135" Type="http://schemas.openxmlformats.org/officeDocument/2006/relationships/hyperlink" Target="http://www.sec.gov/Archives/edgar/data/1539029/000119312516510413/d742552dex1012.htm" TargetMode="External"/><Relationship Id="rId136" Type="http://schemas.openxmlformats.org/officeDocument/2006/relationships/hyperlink" Target="http://www.sec.gov/Archives/edgar/data/1539029/000119312516776461/d299560dex101.htm" TargetMode="External"/><Relationship Id="rId137" Type="http://schemas.openxmlformats.org/officeDocument/2006/relationships/hyperlink" Target="http://www.sec.gov/Archives/edgar/data/1539029/000156459017004643/clsd-ex1021_665.htm" TargetMode="External"/><Relationship Id="rId138" Type="http://schemas.openxmlformats.org/officeDocument/2006/relationships/hyperlink" Target="http://www.sec.gov/Archives/edgar/data/1539029/000119312517220267/d417455dex101.htm" TargetMode="External"/><Relationship Id="rId139" Type="http://schemas.openxmlformats.org/officeDocument/2006/relationships/hyperlink" Target="http://www.sec.gov/Archives/edgar/data/1539029/000156459017023267/clsd-ex102_69.htm" TargetMode="External"/><Relationship Id="rId140" Type="http://schemas.openxmlformats.org/officeDocument/2006/relationships/hyperlink" Target="http://www.sec.gov/Archives/edgar/data/1539029/000156459017023267/clsd-ex104_281.htm" TargetMode="External"/><Relationship Id="rId141" Type="http://schemas.openxmlformats.org/officeDocument/2006/relationships/hyperlink" Target="http://www.sec.gov/Archives/edgar/data/1539029/000156459018020519/clsd-ex101_147.htm" TargetMode="External"/><Relationship Id="rId142" Type="http://schemas.openxmlformats.org/officeDocument/2006/relationships/hyperlink" Target="http://www.sec.gov/Archives/edgar/data/1539029/000156459018020519/clsd-ex102_146.htm" TargetMode="External"/><Relationship Id="rId143" Type="http://schemas.openxmlformats.org/officeDocument/2006/relationships/hyperlink" Target="http://www.sec.gov/Archives/edgar/data/1539029/000156459019030795/clsd-ex101_131.htm" TargetMode="External"/><Relationship Id="rId144" Type="http://schemas.openxmlformats.org/officeDocument/2006/relationships/hyperlink" Target="http://www.sec.gov/Archives/edgar/data/1539029/000156459020010810/clsd-ex1026_501.htm" TargetMode="External"/><Relationship Id="rId145" Type="http://schemas.openxmlformats.org/officeDocument/2006/relationships/hyperlink" Target="http://www.sec.gov/Archives/edgar/data/1539029/000156459020038893/clsd-ex101_237.htm" TargetMode="External"/><Relationship Id="rId146" Type="http://schemas.openxmlformats.org/officeDocument/2006/relationships/hyperlink" Target="http://www.sec.gov/Archives/edgar/data/1539029/000156459019011832/clsd-ex101_6.htm" TargetMode="External"/><Relationship Id="rId147" Type="http://schemas.openxmlformats.org/officeDocument/2006/relationships/hyperlink" Target="http://www.sec.gov/Archives/edgar/data/1539029/000156459019030795/clsd-ex103_296.htm" TargetMode="External"/><Relationship Id="rId148" Type="http://schemas.openxmlformats.org/officeDocument/2006/relationships/hyperlink" Target="http://www.sec.gov/Archives/edgar/data/1539029/000156459020010810/clsd-ex1030_500.htm" TargetMode="External"/><Relationship Id="rId149" Type="http://schemas.openxmlformats.org/officeDocument/2006/relationships/hyperlink" Target="http://www.sec.gov/Archives/edgar/data/1539029/000156459020023620/clsd-ex102_178.htm" TargetMode="External"/><Relationship Id="rId150" Type="http://schemas.openxmlformats.org/officeDocument/2006/relationships/hyperlink" Target="http://www.sec.gov/Archives/edgar/data/1539029/000156459020038893/clsd-ex102_2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2021-03-15T08:15:34Z</dcterms:created>
  <dcterms:modified xsi:type="dcterms:W3CDTF">2021-03-15T08:15:34Z</dcterms:modified>
</cp:coreProperties>
</file>