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70485</wp:posOffset>
            </wp:positionV>
            <wp:extent cx="1433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80010</wp:posOffset>
            </wp:positionV>
            <wp:extent cx="1433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9" w:lineRule="exact"/>
        <w:rPr>
          <w:sz w:val="24"/>
          <w:szCs w:val="24"/>
          <w:color w:val="auto"/>
        </w:rPr>
      </w:pPr>
    </w:p>
    <w:p>
      <w:pPr>
        <w:ind w:left="3940" w:right="2000" w:hanging="3935"/>
        <w:spacing w:after="0" w:line="310" w:lineRule="auto"/>
        <w:tabs>
          <w:tab w:leader="none" w:pos="3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2" w:lineRule="exact"/>
        <w:rPr>
          <w:sz w:val="24"/>
          <w:szCs w:val="24"/>
          <w:color w:val="auto"/>
        </w:rPr>
      </w:pPr>
    </w:p>
    <w:p>
      <w:pPr>
        <w:ind w:left="4240" w:right="1980" w:hanging="4235"/>
        <w:spacing w:after="0" w:line="346" w:lineRule="auto"/>
        <w:tabs>
          <w:tab w:leader="none" w:pos="35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635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Clearside Biomedical, Inc.</w:t>
      </w:r>
    </w:p>
    <w:p>
      <w:pPr>
        <w:sectPr>
          <w:pgSz w:w="11900" w:h="16838" w:orient="portrait"/>
          <w:cols w:equalWidth="0" w:num="1">
            <w:col w:w="11240"/>
          </w:cols>
          <w:pgMar w:left="320" w:top="1165" w:right="339" w:bottom="1440" w:gutter="0" w:footer="0" w:header="0"/>
        </w:sectPr>
      </w:pPr>
    </w:p>
    <w:p>
      <w:pPr>
        <w:spacing w:after="0" w:line="16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73025</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45-2437375</w:t>
      </w:r>
    </w:p>
    <w:p>
      <w:pPr>
        <w:spacing w:after="0" w:line="3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 w:lineRule="exact"/>
        <w:rPr>
          <w:sz w:val="24"/>
          <w:szCs w:val="24"/>
          <w:color w:val="auto"/>
        </w:rPr>
      </w:pPr>
    </w:p>
    <w:p>
      <w:pPr>
        <w:sectPr>
          <w:pgSz w:w="11900" w:h="16838" w:orient="portrait"/>
          <w:cols w:equalWidth="0" w:num="2">
            <w:col w:w="7640" w:space="240"/>
            <w:col w:w="3360"/>
          </w:cols>
          <w:pgMar w:left="320" w:top="1165" w:right="339" w:bottom="1440" w:gutter="0" w:footer="0" w:header="0"/>
          <w:type w:val="continuous"/>
        </w:sectPr>
      </w:pPr>
    </w:p>
    <w:tbl>
      <w:tblPr>
        <w:tblLayout w:type="fixed"/>
        <w:tblInd w:w="1480" w:type="dxa"/>
        <w:tblCellMar>
          <w:top w:w="0" w:type="dxa"/>
          <w:left w:w="0" w:type="dxa"/>
          <w:bottom w:w="0" w:type="dxa"/>
          <w:right w:w="0" w:type="dxa"/>
        </w:tblCellMar>
      </w:tblPr>
      <w:tr>
        <w:trPr>
          <w:trHeight w:val="206"/>
        </w:trPr>
        <w:tc>
          <w:tcPr>
            <w:tcW w:w="3140" w:type="dxa"/>
            <w:vAlign w:val="bottom"/>
          </w:tcPr>
          <w:p>
            <w:pPr>
              <w:jc w:val="center"/>
              <w:ind w:right="378"/>
              <w:spacing w:after="0" w:line="206" w:lineRule="exact"/>
              <w:rPr>
                <w:sz w:val="20"/>
                <w:szCs w:val="20"/>
                <w:color w:val="auto"/>
              </w:rPr>
            </w:pPr>
            <w:r>
              <w:rPr>
                <w:rFonts w:ascii="Times New Roman" w:cs="Times New Roman" w:eastAsia="Times New Roman" w:hAnsi="Times New Roman"/>
                <w:sz w:val="18"/>
                <w:szCs w:val="18"/>
                <w:b w:val="1"/>
                <w:bCs w:val="1"/>
                <w:color w:val="auto"/>
                <w:w w:val="97"/>
              </w:rPr>
              <w:t>900 North Point Parkway, Suite 200</w:t>
            </w:r>
          </w:p>
        </w:tc>
        <w:tc>
          <w:tcPr>
            <w:tcW w:w="4140" w:type="dxa"/>
            <w:vAlign w:val="bottom"/>
          </w:tcPr>
          <w:p>
            <w:pPr>
              <w:spacing w:after="0"/>
              <w:rPr>
                <w:sz w:val="17"/>
                <w:szCs w:val="17"/>
                <w:color w:val="auto"/>
              </w:rPr>
            </w:pPr>
          </w:p>
        </w:tc>
      </w:tr>
      <w:tr>
        <w:trPr>
          <w:trHeight w:val="230"/>
        </w:trPr>
        <w:tc>
          <w:tcPr>
            <w:tcW w:w="314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w w:val="96"/>
              </w:rPr>
              <w:t>Alpharetta, GA</w:t>
            </w:r>
          </w:p>
        </w:tc>
        <w:tc>
          <w:tcPr>
            <w:tcW w:w="41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30005</w:t>
            </w:r>
          </w:p>
        </w:tc>
      </w:tr>
      <w:tr>
        <w:trPr>
          <w:trHeight w:val="187"/>
        </w:trPr>
        <w:tc>
          <w:tcPr>
            <w:tcW w:w="31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40" w:type="dxa"/>
            <w:vAlign w:val="bottom"/>
          </w:tcPr>
          <w:p>
            <w:pPr>
              <w:jc w:val="center"/>
              <w:ind w:left="339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3"/>
        </w:trPr>
        <w:tc>
          <w:tcPr>
            <w:tcW w:w="3140" w:type="dxa"/>
            <w:vAlign w:val="bottom"/>
          </w:tcPr>
          <w:p>
            <w:pPr>
              <w:spacing w:after="0"/>
              <w:rPr>
                <w:sz w:val="23"/>
                <w:szCs w:val="23"/>
                <w:color w:val="auto"/>
              </w:rPr>
            </w:pPr>
          </w:p>
        </w:tc>
        <w:tc>
          <w:tcPr>
            <w:tcW w:w="4140" w:type="dxa"/>
            <w:vAlign w:val="bottom"/>
          </w:tcPr>
          <w:p>
            <w:pPr>
              <w:jc w:val="right"/>
              <w:ind w:right="2498"/>
              <w:spacing w:after="0"/>
              <w:rPr>
                <w:sz w:val="20"/>
                <w:szCs w:val="20"/>
                <w:color w:val="auto"/>
              </w:rPr>
            </w:pPr>
            <w:r>
              <w:rPr>
                <w:rFonts w:ascii="Times New Roman" w:cs="Times New Roman" w:eastAsia="Times New Roman" w:hAnsi="Times New Roman"/>
                <w:sz w:val="18"/>
                <w:szCs w:val="18"/>
                <w:b w:val="1"/>
                <w:bCs w:val="1"/>
                <w:color w:val="auto"/>
              </w:rPr>
              <w:t>(678) 270-3631</w:t>
            </w: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81280</wp:posOffset>
            </wp:positionV>
            <wp:extent cx="1433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5" w:lineRule="exact"/>
        <w:rPr>
          <w:sz w:val="24"/>
          <w:szCs w:val="24"/>
          <w:color w:val="auto"/>
        </w:rPr>
      </w:pPr>
    </w:p>
    <w:p>
      <w:pPr>
        <w:ind w:left="1480"/>
        <w:spacing w:after="0"/>
        <w:tabs>
          <w:tab w:leader="none" w:pos="4680" w:val="left"/>
          <w:tab w:leader="none" w:pos="736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6"/>
          <w:szCs w:val="16"/>
          <w:color w:val="auto"/>
        </w:rPr>
        <w:t>Name of each exchange on which registered</w:t>
      </w:r>
    </w:p>
    <w:p>
      <w:pPr>
        <w:spacing w:after="0" w:line="29" w:lineRule="exact"/>
        <w:rPr>
          <w:sz w:val="24"/>
          <w:szCs w:val="24"/>
          <w:color w:val="auto"/>
        </w:rPr>
      </w:pPr>
    </w:p>
    <w:p>
      <w:pPr>
        <w:ind w:left="600"/>
        <w:spacing w:after="0"/>
        <w:tabs>
          <w:tab w:leader="none" w:pos="5120" w:val="left"/>
          <w:tab w:leader="none" w:pos="780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CLSD</w:t>
      </w:r>
      <w:r>
        <w:rPr>
          <w:sz w:val="20"/>
          <w:szCs w:val="20"/>
          <w:color w:val="auto"/>
        </w:rPr>
        <w:tab/>
      </w:r>
      <w:r>
        <w:rPr>
          <w:rFonts w:ascii="Times New Roman" w:cs="Times New Roman" w:eastAsia="Times New Roman" w:hAnsi="Times New Roman"/>
          <w:sz w:val="16"/>
          <w:szCs w:val="16"/>
          <w:color w:val="auto"/>
        </w:rPr>
        <w:t>The Nasdaq Stock Market LLC</w:t>
      </w:r>
    </w:p>
    <w:p>
      <w:pPr>
        <w:spacing w:after="0" w:line="82" w:lineRule="exact"/>
        <w:rPr>
          <w:sz w:val="24"/>
          <w:szCs w:val="24"/>
          <w:color w:val="auto"/>
        </w:rPr>
      </w:pPr>
    </w:p>
    <w:p>
      <w:pPr>
        <w:ind w:right="80" w:firstLine="509"/>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160" w:firstLine="509"/>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9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4"/>
        </w:trPr>
        <w:tc>
          <w:tcPr>
            <w:tcW w:w="2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6" w:lineRule="exact"/>
        <w:rPr>
          <w:sz w:val="24"/>
          <w:szCs w:val="24"/>
          <w:color w:val="auto"/>
        </w:rPr>
      </w:pPr>
    </w:p>
    <w:p>
      <w:pPr>
        <w:ind w:right="300" w:firstLine="509"/>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460"/>
        <w:spacing w:after="0" w:line="26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9, 2024, the registrant had 74,745,572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771525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60" w:type="dxa"/>
            <w:vAlign w:val="bottom"/>
            <w:gridSpan w:val="1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5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0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80" w:type="dxa"/>
            <w:vAlign w:val="bottom"/>
            <w:gridSpan w:val="18"/>
          </w:tcPr>
          <w:p>
            <w:pPr>
              <w:spacing w:after="0" w:line="197" w:lineRule="exact"/>
              <w:rPr>
                <w:sz w:val="20"/>
                <w:szCs w:val="20"/>
                <w:color w:val="auto"/>
              </w:rPr>
            </w:pPr>
            <w:r>
              <w:rPr>
                <w:rFonts w:ascii="Times New Roman" w:cs="Times New Roman" w:eastAsia="Times New Roman" w:hAnsi="Times New Roman"/>
                <w:sz w:val="18"/>
                <w:szCs w:val="18"/>
                <w:color w:val="0000FF"/>
              </w:rPr>
              <w:t>Consolidated Balance Sheets as of June 30, 2024 and December 31, 2023</w:t>
            </w: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7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 and Comprehensive Loss for the three and six months ended June 30, 2024 and 2023</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Equity for the three and six months ended June 30,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20" w:type="dxa"/>
            <w:vAlign w:val="bottom"/>
            <w:tcBorders>
              <w:top w:val="single" w:sz="8" w:color="0000FF"/>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six months ended June 30, 2024 and 2023</w:t>
            </w:r>
          </w:p>
        </w:tc>
        <w:tc>
          <w:tcPr>
            <w:tcW w:w="1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Notes to the Consolidated Financial Statements</w:t>
            </w:r>
          </w:p>
        </w:tc>
        <w:tc>
          <w:tcPr>
            <w:tcW w:w="20" w:type="dxa"/>
            <w:vAlign w:val="bottom"/>
            <w:tcBorders>
              <w:bottom w:val="single" w:sz="8" w:color="0000EE"/>
            </w:tcBorders>
          </w:tcPr>
          <w:p>
            <w:pPr>
              <w:spacing w:after="0"/>
              <w:rPr>
                <w:sz w:val="18"/>
                <w:szCs w:val="18"/>
                <w:color w:val="auto"/>
              </w:rPr>
            </w:pPr>
          </w:p>
        </w:tc>
        <w:tc>
          <w:tcPr>
            <w:tcW w:w="624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33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Quantitative and Qualitative Disclosures About Market Risk</w:t>
            </w:r>
          </w:p>
        </w:tc>
        <w:tc>
          <w:tcPr>
            <w:tcW w:w="534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8"/>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6"/>
              </w:rPr>
              <w:t>PART II - OTHER INFORMATION</w:t>
            </w:r>
          </w:p>
        </w:tc>
        <w:tc>
          <w:tcPr>
            <w:tcW w:w="500" w:type="dxa"/>
            <w:vAlign w:val="bottom"/>
          </w:tcPr>
          <w:p>
            <w:pPr>
              <w:spacing w:after="0"/>
              <w:rPr>
                <w:sz w:val="23"/>
                <w:szCs w:val="23"/>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280" w:type="dxa"/>
            <w:vAlign w:val="bottom"/>
            <w:gridSpan w:val="1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870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2940" w:type="dxa"/>
            <w:vAlign w:val="bottom"/>
            <w:tcBorders>
              <w:top w:val="single" w:sz="8" w:color="0000FF"/>
            </w:tcBorders>
            <w:gridSpan w:val="5"/>
          </w:tcPr>
          <w:p>
            <w:pPr>
              <w:spacing w:after="0"/>
              <w:rPr>
                <w:sz w:val="18"/>
                <w:szCs w:val="18"/>
                <w:color w:val="auto"/>
              </w:rPr>
            </w:pPr>
          </w:p>
        </w:tc>
        <w:tc>
          <w:tcPr>
            <w:tcW w:w="536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614"/>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00" w:type="dxa"/>
            <w:vAlign w:val="bottom"/>
          </w:tcPr>
          <w:p>
            <w:pPr>
              <w:spacing w:after="0"/>
              <w:rPr>
                <w:sz w:val="19"/>
                <w:szCs w:val="19"/>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7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(includes $40 and $331 to a related party as of</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2"/>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FF0FC"/>
          </w:tcPr>
          <w:p>
            <w:pPr>
              <w:spacing w:after="0"/>
              <w:rPr>
                <w:sz w:val="21"/>
                <w:szCs w:val="21"/>
                <w:color w:val="auto"/>
              </w:rPr>
            </w:pPr>
          </w:p>
        </w:tc>
      </w:tr>
      <w:tr>
        <w:trPr>
          <w:trHeight w:val="205"/>
        </w:trPr>
        <w:tc>
          <w:tcPr>
            <w:tcW w:w="77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Accrued liabilities (includes $416 and $215 to a related party as of</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sales of future royalties,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Borders>
              <w:top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62,219</w:t>
            </w: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100" w:type="dxa"/>
            <w:vAlign w:val="bottom"/>
            <w:tcBorders>
              <w:top w:val="single" w:sz="8" w:color="CFF0FC"/>
            </w:tcBorders>
          </w:tcPr>
          <w:p>
            <w:pPr>
              <w:spacing w:after="0"/>
              <w:rPr>
                <w:sz w:val="19"/>
                <w:szCs w:val="19"/>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and no</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2"/>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shares issued at June 30, 2024 and December 31, 2023</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7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Common stock, $0.001 par value; 200,000,000 shares authorized at</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30, 2024 and December 31, 2023; 74,731,139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62,850,841 shares issued and outstanding at June 30, 2024</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311,922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304,948</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(340,280 )</w:t>
            </w: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(320,923 )</w:t>
            </w: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9"/>
        </w:trPr>
        <w:tc>
          <w:tcPr>
            <w:tcW w:w="7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(28,285 )</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(15,912 )</w:t>
            </w:r>
          </w:p>
        </w:tc>
      </w:tr>
      <w:tr>
        <w:trPr>
          <w:trHeight w:val="269"/>
        </w:trPr>
        <w:tc>
          <w:tcPr>
            <w:tcW w:w="772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30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33,934</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-4801235</wp:posOffset>
            </wp:positionV>
            <wp:extent cx="74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-4801235</wp:posOffset>
            </wp:positionV>
            <wp:extent cx="66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-4192905</wp:posOffset>
            </wp:positionV>
            <wp:extent cx="7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-4192905</wp:posOffset>
            </wp:positionV>
            <wp:extent cx="666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-2083435</wp:posOffset>
            </wp:positionV>
            <wp:extent cx="74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-2083435</wp:posOffset>
            </wp:positionV>
            <wp:extent cx="66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-340995</wp:posOffset>
            </wp:positionV>
            <wp:extent cx="74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-340995</wp:posOffset>
            </wp:positionV>
            <wp:extent cx="66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License and other revenue (includes $81 and $156 from</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 related party for the three and six months ended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June 30, 2024, respectively)</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Research and development (includes $243 and $503 to a</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for the three and six months ended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30, 2024, respectively)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(7,590 )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(7,270 )</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(15,799 )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(14,875 )</w:t>
            </w: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240" w:type="dxa"/>
            <w:vAlign w:val="bottom"/>
          </w:tcPr>
          <w:p>
            <w:pPr>
              <w:spacing w:after="0"/>
              <w:rPr>
                <w:sz w:val="17"/>
                <w:szCs w:val="17"/>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(2,340 )</w:t>
            </w:r>
          </w:p>
        </w:tc>
        <w:tc>
          <w:tcPr>
            <w:tcW w:w="220" w:type="dxa"/>
            <w:vAlign w:val="bottom"/>
          </w:tcPr>
          <w:p>
            <w:pPr>
              <w:spacing w:after="0"/>
              <w:rPr>
                <w:sz w:val="17"/>
                <w:szCs w:val="17"/>
                <w:color w:val="auto"/>
              </w:rPr>
            </w:pPr>
          </w:p>
        </w:tc>
        <w:tc>
          <w:tcPr>
            <w:tcW w:w="13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(2,294 )</w:t>
            </w:r>
          </w:p>
        </w:tc>
        <w:tc>
          <w:tcPr>
            <w:tcW w:w="22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(4,743 )</w:t>
            </w:r>
          </w:p>
        </w:tc>
        <w:tc>
          <w:tcPr>
            <w:tcW w:w="22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(4,461 )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(7,594 )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(9,106 )</w:t>
            </w: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(19,357 )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(18,386 )</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(0.15 )</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74,731,139</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61,654,520</w:t>
            </w:r>
          </w:p>
        </w:tc>
        <w:tc>
          <w:tcPr>
            <w:tcW w:w="3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72,292,183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61,413,343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(7,594 )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(9,106 )</w:t>
            </w: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(19,357 )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(18,386 )</w:t>
            </w: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2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(7,595 )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(9,106 )</w:t>
            </w: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(19,358 )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(18,386 )</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-2058670</wp:posOffset>
            </wp:positionV>
            <wp:extent cx="74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-2058670</wp:posOffset>
            </wp:positionV>
            <wp:extent cx="666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-2058670</wp:posOffset>
            </wp:positionV>
            <wp:extent cx="66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-2058670</wp:posOffset>
            </wp:positionV>
            <wp:extent cx="66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-1008380</wp:posOffset>
            </wp:positionV>
            <wp:extent cx="74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-991235</wp:posOffset>
            </wp:positionV>
            <wp:extent cx="74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-1008380</wp:posOffset>
            </wp:positionV>
            <wp:extent cx="66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-991235</wp:posOffset>
            </wp:positionV>
            <wp:extent cx="666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-1008380</wp:posOffset>
            </wp:positionV>
            <wp:extent cx="666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-991235</wp:posOffset>
            </wp:positionV>
            <wp:extent cx="666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-1008380</wp:posOffset>
            </wp:positionV>
            <wp:extent cx="666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-991235</wp:posOffset>
            </wp:positionV>
            <wp:extent cx="666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-657860</wp:posOffset>
            </wp:positionV>
            <wp:extent cx="749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-641350</wp:posOffset>
            </wp:positionV>
            <wp:extent cx="749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-657860</wp:posOffset>
            </wp:positionV>
            <wp:extent cx="666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-641350</wp:posOffset>
            </wp:positionV>
            <wp:extent cx="66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-657860</wp:posOffset>
            </wp:positionV>
            <wp:extent cx="666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-641350</wp:posOffset>
            </wp:positionV>
            <wp:extent cx="66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-657860</wp:posOffset>
            </wp:positionV>
            <wp:extent cx="66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-641350</wp:posOffset>
            </wp:positionV>
            <wp:extent cx="66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-24130</wp:posOffset>
            </wp:positionV>
            <wp:extent cx="749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49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-24130</wp:posOffset>
            </wp:positionV>
            <wp:extent cx="666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-7620</wp:posOffset>
            </wp:positionV>
            <wp:extent cx="666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-24130</wp:posOffset>
            </wp:positionV>
            <wp:extent cx="666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-7620</wp:posOffset>
            </wp:positionV>
            <wp:extent cx="66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7"/>
                <w:szCs w:val="17"/>
                <w:color w:val="auto"/>
              </w:rPr>
            </w:pPr>
          </w:p>
        </w:tc>
        <w:tc>
          <w:tcPr>
            <w:tcW w:w="1060" w:type="dxa"/>
            <w:vAlign w:val="bottom"/>
            <w:gridSpan w:val="2"/>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3"/>
                <w:szCs w:val="13"/>
                <w:color w:val="auto"/>
              </w:rPr>
            </w:pPr>
          </w:p>
        </w:tc>
        <w:tc>
          <w:tcPr>
            <w:tcW w:w="1060" w:type="dxa"/>
            <w:vAlign w:val="bottom"/>
            <w:gridSpan w:val="2"/>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13"/>
                <w:szCs w:val="13"/>
                <w:color w:val="auto"/>
              </w:rPr>
            </w:pPr>
          </w:p>
        </w:tc>
        <w:tc>
          <w:tcPr>
            <w:tcW w:w="980" w:type="dxa"/>
            <w:vAlign w:val="bottom"/>
          </w:tcPr>
          <w:p>
            <w:pPr>
              <w:jc w:val="right"/>
              <w:ind w:right="24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Paid-In-Capital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3"/>
                <w:szCs w:val="13"/>
                <w:color w:val="auto"/>
              </w:rPr>
            </w:pPr>
          </w:p>
        </w:tc>
        <w:tc>
          <w:tcPr>
            <w:tcW w:w="1060" w:type="dxa"/>
            <w:vAlign w:val="bottom"/>
            <w:gridSpan w:val="2"/>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rPr>
              <w:t>(Deficit) Equity</w:t>
            </w:r>
          </w:p>
        </w:tc>
        <w:tc>
          <w:tcPr>
            <w:tcW w:w="0" w:type="dxa"/>
            <w:vAlign w:val="bottom"/>
          </w:tcPr>
          <w:p>
            <w:pPr>
              <w:spacing w:after="0"/>
              <w:rPr>
                <w:sz w:val="1"/>
                <w:szCs w:val="1"/>
                <w:color w:val="auto"/>
              </w:rPr>
            </w:pPr>
          </w:p>
        </w:tc>
      </w:tr>
      <w:tr>
        <w:trPr>
          <w:trHeight w:val="177"/>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62,850,841</w:t>
            </w:r>
          </w:p>
        </w:tc>
        <w:tc>
          <w:tcPr>
            <w:tcW w:w="260" w:type="dxa"/>
            <w:vAlign w:val="bottom"/>
          </w:tcPr>
          <w:p>
            <w:pPr>
              <w:spacing w:after="0"/>
              <w:rPr>
                <w:sz w:val="15"/>
                <w:szCs w:val="15"/>
                <w:color w:val="auto"/>
              </w:rPr>
            </w:pPr>
          </w:p>
        </w:tc>
        <w:tc>
          <w:tcPr>
            <w:tcW w:w="24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304,948</w:t>
            </w:r>
          </w:p>
        </w:tc>
        <w:tc>
          <w:tcPr>
            <w:tcW w:w="2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(320,923</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(15,912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3"/>
        </w:trPr>
        <w:tc>
          <w:tcPr>
            <w:tcW w:w="4000" w:type="dxa"/>
            <w:vAlign w:val="bottom"/>
            <w:shd w:val="clear" w:color="auto" w:fill="CFF0FC"/>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registered direct</w:t>
            </w: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offering</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11,111,111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agreement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339,912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Vesting and settlement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397,594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3"/>
        </w:trPr>
        <w:tc>
          <w:tcPr>
            <w:tcW w:w="4000" w:type="dxa"/>
            <w:vAlign w:val="bottom"/>
            <w:shd w:val="clear" w:color="auto" w:fill="CFF0FC"/>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purchase plan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21,681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(11,763 )</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(11,763 )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74,731,139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310,802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(332,686 )</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(21,810 )</w:t>
            </w: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(7,594 )</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(7,594 )</w:t>
            </w:r>
          </w:p>
        </w:tc>
        <w:tc>
          <w:tcPr>
            <w:tcW w:w="0" w:type="dxa"/>
            <w:vAlign w:val="bottom"/>
          </w:tcPr>
          <w:p>
            <w:pPr>
              <w:spacing w:after="0"/>
              <w:rPr>
                <w:sz w:val="1"/>
                <w:szCs w:val="1"/>
                <w:color w:val="auto"/>
              </w:rPr>
            </w:pPr>
          </w:p>
        </w:tc>
      </w:tr>
      <w:tr>
        <w:trPr>
          <w:trHeight w:val="18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74,731,139</w:t>
            </w:r>
          </w:p>
        </w:tc>
        <w:tc>
          <w:tcPr>
            <w:tcW w:w="26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311,922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(340,280 )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(28,285 )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-624840</wp:posOffset>
            </wp:positionV>
            <wp:extent cx="74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-624840</wp:posOffset>
            </wp:positionV>
            <wp:extent cx="74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-624840</wp:posOffset>
            </wp:positionV>
            <wp:extent cx="74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-624840</wp:posOffset>
            </wp:positionV>
            <wp:extent cx="66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-624840</wp:posOffset>
            </wp:positionV>
            <wp:extent cx="66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-624840</wp:posOffset>
            </wp:positionV>
            <wp:extent cx="666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-149225</wp:posOffset>
            </wp:positionV>
            <wp:extent cx="749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-149225</wp:posOffset>
            </wp:positionV>
            <wp:extent cx="74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-149225</wp:posOffset>
            </wp:positionV>
            <wp:extent cx="74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-149225</wp:posOffset>
            </wp:positionV>
            <wp:extent cx="66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-149225</wp:posOffset>
            </wp:positionV>
            <wp:extent cx="666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-149225</wp:posOffset>
            </wp:positionV>
            <wp:extent cx="666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1"/>
        </w:trPr>
        <w:tc>
          <w:tcPr>
            <w:tcW w:w="4540" w:type="dxa"/>
            <w:vAlign w:val="bottom"/>
          </w:tcPr>
          <w:p>
            <w:pPr>
              <w:spacing w:after="0"/>
              <w:rPr>
                <w:sz w:val="13"/>
                <w:szCs w:val="13"/>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Paid-In-Capital</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rPr>
              <w:t>(Deficit) 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60,639,827</w:t>
            </w:r>
          </w:p>
        </w:tc>
        <w:tc>
          <w:tcPr>
            <w:tcW w:w="52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298,984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(288,438 )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agreement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214,128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Vesting and settlement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471,390</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38,954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(9,280 )</w:t>
            </w: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(9,280 )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61,364,299</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300,357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(297,718 )</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agreement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328,147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24,999</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(9,106 )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(9,106 )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61,717,445</w:t>
            </w:r>
          </w:p>
        </w:tc>
        <w:tc>
          <w:tcPr>
            <w:tcW w:w="260" w:type="dxa"/>
            <w:vAlign w:val="bottom"/>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301,789</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(306,824 )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(4,973 )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-149225</wp:posOffset>
            </wp:positionV>
            <wp:extent cx="7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-149225</wp:posOffset>
            </wp:positionV>
            <wp:extent cx="749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-149225</wp:posOffset>
            </wp:positionV>
            <wp:extent cx="749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-149225</wp:posOffset>
            </wp:positionV>
            <wp:extent cx="666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-149225</wp:posOffset>
            </wp:positionV>
            <wp:extent cx="666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(19,357 )</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(18,386 )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5"/>
        </w:trPr>
        <w:tc>
          <w:tcPr>
            <w:tcW w:w="77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Non-cash interest expense on liability related to the sales of</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future royalties, net of issuance costs accretion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(1,206 )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 allocated to warrant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and accretion of available-for-sale investments, net</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32"/>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(497 )</w:t>
            </w:r>
          </w:p>
        </w:tc>
        <w:tc>
          <w:tcPr>
            <w:tcW w:w="3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9"/>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 (includes $254 to a related party</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2"/>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(1,091 )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(785 )</w:t>
            </w:r>
          </w:p>
        </w:tc>
      </w:tr>
      <w:tr>
        <w:trPr>
          <w:trHeight w:val="232"/>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(13,531 )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(12,555 )</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(1,212 )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(11,014 )</w:t>
            </w:r>
          </w:p>
        </w:tc>
        <w:tc>
          <w:tcPr>
            <w:tcW w:w="3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(11,494 )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(1,212 )</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warrants under</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registered direct offering, net of issuance costs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to royalty purchase and sale agreement</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(10,682 )</w:t>
            </w: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(13,413 )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Pr>
          <w:p>
            <w:pPr>
              <w:spacing w:after="0"/>
              <w:rPr>
                <w:sz w:val="20"/>
                <w:szCs w:val="20"/>
                <w:color w:val="auto"/>
              </w:rPr>
            </w:pPr>
          </w:p>
        </w:tc>
      </w:tr>
      <w:tr>
        <w:trPr>
          <w:trHeight w:val="26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98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-949960</wp:posOffset>
            </wp:positionV>
            <wp:extent cx="749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-949960</wp:posOffset>
            </wp:positionV>
            <wp:extent cx="66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-324485</wp:posOffset>
            </wp:positionV>
            <wp:extent cx="749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-307975</wp:posOffset>
            </wp:positionV>
            <wp:extent cx="749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-324485</wp:posOffset>
            </wp:positionV>
            <wp:extent cx="66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-307975</wp:posOffset>
            </wp:positionV>
            <wp:extent cx="666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0" w:lineRule="exact"/>
        <w:rPr>
          <w:sz w:val="20"/>
          <w:szCs w:val="20"/>
          <w:color w:val="auto"/>
        </w:rPr>
      </w:pPr>
    </w:p>
    <w:p>
      <w:pPr>
        <w:ind w:right="80" w:firstLine="509"/>
        <w:spacing w:after="0" w:line="233" w:lineRule="auto"/>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 eye through the suprachoroidal space (SCS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Incorporated in the State of Delaware on May 26, 2011, the Company has its corporate headquarters in Alpharetta, Georgia.</w:t>
      </w:r>
    </w:p>
    <w:p>
      <w:pPr>
        <w:spacing w:after="0" w:line="90"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cash equivalents and short-term investments of $29.4 million as of June 30, 2024.</w:t>
      </w:r>
    </w:p>
    <w:p>
      <w:pPr>
        <w:spacing w:after="0" w:line="108" w:lineRule="exact"/>
        <w:rPr>
          <w:sz w:val="20"/>
          <w:szCs w:val="20"/>
          <w:color w:val="auto"/>
        </w:rPr>
      </w:pPr>
    </w:p>
    <w:p>
      <w:pPr>
        <w:ind w:right="600" w:firstLine="509"/>
        <w:spacing w:after="0" w:line="267"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warrants, the issuance of long-term debt, and license agreements.</w:t>
      </w:r>
    </w:p>
    <w:p>
      <w:pPr>
        <w:spacing w:after="0" w:line="65"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of its common stock; and (ii) warrants to purchase up to 11,111,111 shares of common stock (the “Warrants”). The combined purchase price of each share and accompanying Warrant was $1.35. The exercise price for the Warrants is $1.62 per share. The Warrants will be exercisable from August 9, 2024 and will expire on August 9, 2029. The net proceeds to the Company from the Registered Direct Offering were $13.9 million.</w:t>
      </w:r>
    </w:p>
    <w:p>
      <w:pPr>
        <w:spacing w:after="0" w:line="82" w:lineRule="exact"/>
        <w:rPr>
          <w:sz w:val="20"/>
          <w:szCs w:val="20"/>
          <w:color w:val="auto"/>
        </w:rPr>
      </w:pPr>
    </w:p>
    <w:p>
      <w:pPr>
        <w:ind w:right="60" w:firstLine="509"/>
        <w:spacing w:after="0" w:line="279" w:lineRule="auto"/>
        <w:rPr>
          <w:sz w:val="20"/>
          <w:szCs w:val="20"/>
          <w:color w:val="auto"/>
        </w:rPr>
      </w:pPr>
      <w:r>
        <w:rPr>
          <w:rFonts w:ascii="Times New Roman" w:cs="Times New Roman" w:eastAsia="Times New Roman" w:hAnsi="Times New Roman"/>
          <w:sz w:val="16"/>
          <w:szCs w:val="16"/>
          <w:color w:val="auto"/>
        </w:rPr>
        <w:t>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prior to January 1, 2025, the payment to Licensor of any such Sublicensee Percentage is due to Licensor by March 31, 2025. The parties also agreed to a revised annual license maintenance fee due each year (the “Maintenance Fee”) starting in 2023 through 2028, as follows: $250,000 for 2023 through 2025, $350,000 for 2026, $400,000 for 2027 and $500,000 for 2028. The Company paid the Maintenance Fee for 2023 in February 2024. The remaining annual Maintenance Fee payments are due on October 1st of each year.</w:t>
      </w:r>
    </w:p>
    <w:p>
      <w:pPr>
        <w:spacing w:after="0" w:line="269"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color w:val="auto"/>
        </w:rPr>
        <w:t>On December 22, 2023, Clearside Biomedical, Inc., through its wholly owned subsidiary Clearside Royalty LLC ("Royalty Sub"), entered into a letter agreement (the “Letter Agreement”) with HCR (as defined below) and HCR Clearside SPV, LLC (as assignee of HCR Collateral Management, LLC) (“Agent”) amending that certain Purchase and Sale Agreement, dated as of August 8, 2022, by and among Royalty Sub, HCR and Agent ("Purchase and Sale Agreement"). Pursuant to the terms of the Letter Agreement, Royalty Sub and Agent mutually agreed that Royalty Sub waived any and all rights to the $12.5 million milestone payment which was deposited in an escrow account (“First Milestone Payment") in connection with the closing of the transactions contemplated by the Purchase and Sale Agreement and agreed to the release of the First Milestone Payment to Agent.</w:t>
      </w:r>
    </w:p>
    <w:p>
      <w:pPr>
        <w:spacing w:after="0" w:line="8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On November 1, 2023, the Company, entered into a license agreement (the “BioCryst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 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7" w:name="page8"/>
    <w:bookmarkEnd w:id="7"/>
    <w:p>
      <w:pPr>
        <w:ind w:right="220"/>
        <w:spacing w:after="0" w:line="267" w:lineRule="auto"/>
        <w:rPr>
          <w:sz w:val="20"/>
          <w:szCs w:val="20"/>
          <w:color w:val="auto"/>
        </w:rPr>
      </w:pPr>
      <w:r>
        <w:rPr>
          <w:rFonts w:ascii="Times New Roman" w:cs="Times New Roman" w:eastAsia="Times New Roman" w:hAnsi="Times New Roman"/>
          <w:sz w:val="18"/>
          <w:szCs w:val="18"/>
          <w:color w:val="auto"/>
        </w:rPr>
        <w:t>sales, with the highest royalty rate applied to sales over $1.5 billion, subject to reductions in specified circumstances. The Company’s rights to these royalties and milestone payments have been sold pursuant to the terms and conditions of the Purchase and Sale Agreement as described in Note 5.</w:t>
      </w:r>
    </w:p>
    <w:p>
      <w:pPr>
        <w:spacing w:after="0" w:line="65" w:lineRule="exact"/>
        <w:rPr>
          <w:sz w:val="20"/>
          <w:szCs w:val="20"/>
          <w:color w:val="auto"/>
        </w:rPr>
      </w:pPr>
    </w:p>
    <w:p>
      <w:pPr>
        <w:jc w:val="both"/>
        <w:ind w:right="16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terminated its at-the-market sales agreement with Cowen and Company, LLC (the "ATM Agreement"). The Company sold 515,959 shares of its common stock for net proceeds of $0.7 million under its ATM Agreement with Cowen and Company, LLC during the six months ended June 30, 2023, prior to the termination of the ATM Agreement.</w:t>
      </w:r>
    </w:p>
    <w:p>
      <w:pPr>
        <w:spacing w:after="0" w:line="82"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six months ended June 30, 2024, the Company sold 339,912 shares of its common stock for net proceeds of $0.5 million under the Sales Agreement. During the six months ended June 30, 2023, the Company sold 26,316 shares of its common stock for net proceeds of $32,000 pursuant to the Sales Agreement.</w:t>
      </w:r>
    </w:p>
    <w:p>
      <w:pPr>
        <w:spacing w:after="0" w:line="8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82"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82"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within one year after the date the financial statements are issued. Based on its current plans and forecasted expenses, the Company expects that its cash, cash equivalents and short-term investments as of the filing date, August 12, 2024 will enable the Company to fund its planned operating expenses and capital expenditure requirements into the third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82" w:lineRule="exact"/>
        <w:rPr>
          <w:sz w:val="20"/>
          <w:szCs w:val="20"/>
          <w:color w:val="auto"/>
        </w:rPr>
      </w:pPr>
    </w:p>
    <w:p>
      <w:pPr>
        <w:ind w:right="260" w:firstLine="509"/>
        <w:spacing w:after="0" w:line="251" w:lineRule="auto"/>
        <w:rPr>
          <w:sz w:val="20"/>
          <w:szCs w:val="20"/>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described in Note 5. All intercompany balances and transactions have been eliminated.</w:t>
      </w:r>
    </w:p>
    <w:p>
      <w:pPr>
        <w:spacing w:after="0" w:line="7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U.S. generally accepted accounting principles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and six months ended June 30, 2024 are not indicative of results to be expected for the full year ending December 31, 2024, any other interim periods or any future year or period. These unaudited financial statements should be read in conjunction with the audited consolidated financial statements and related footnotes, which are included in the Company’s Annual Report on Form 10-K for the year ended December 31, 2023, filed with the SEC on March 12,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ind w:right="60"/>
        <w:spacing w:after="0" w:line="251" w:lineRule="auto"/>
        <w:rPr>
          <w:sz w:val="20"/>
          <w:szCs w:val="20"/>
          <w:color w:val="auto"/>
        </w:rPr>
      </w:pPr>
      <w:r>
        <w:rPr>
          <w:rFonts w:ascii="Times New Roman" w:cs="Times New Roman" w:eastAsia="Times New Roman" w:hAnsi="Times New Roman"/>
          <w:sz w:val="18"/>
          <w:szCs w:val="18"/>
          <w:color w:val="auto"/>
        </w:rPr>
        <w:t>subject to such estimates and assumptions include the estimate of the total amount of future royalty revenue and milestone payments to be generated over the life of the Purchase and Sale Agreement, the fair value of common stock warrants,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84" w:lineRule="exact"/>
        <w:rPr>
          <w:sz w:val="20"/>
          <w:szCs w:val="20"/>
          <w:color w:val="auto"/>
        </w:rPr>
      </w:pPr>
    </w:p>
    <w:p>
      <w:pPr>
        <w:ind w:right="60" w:firstLine="578"/>
        <w:spacing w:after="0" w:line="249"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08" w:lineRule="exact"/>
        <w:rPr>
          <w:sz w:val="20"/>
          <w:szCs w:val="20"/>
          <w:color w:val="auto"/>
        </w:rPr>
      </w:pPr>
    </w:p>
    <w:p>
      <w:pPr>
        <w:ind w:left="1020" w:hanging="505"/>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travel and share-based compensation expense for research and development personnel;</w:t>
      </w:r>
    </w:p>
    <w:p>
      <w:pPr>
        <w:spacing w:after="0" w:line="131" w:lineRule="exact"/>
        <w:rPr>
          <w:rFonts w:ascii="Times New Roman" w:cs="Times New Roman" w:eastAsia="Times New Roman" w:hAnsi="Times New Roman"/>
          <w:sz w:val="16"/>
          <w:szCs w:val="16"/>
          <w:color w:val="auto"/>
        </w:rPr>
      </w:pPr>
    </w:p>
    <w:p>
      <w:pPr>
        <w:ind w:left="1020" w:right="380" w:hanging="505"/>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64"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08" w:lineRule="exact"/>
        <w:rPr>
          <w:rFonts w:ascii="Times New Roman" w:cs="Times New Roman" w:eastAsia="Times New Roman" w:hAnsi="Times New Roman"/>
          <w:sz w:val="18"/>
          <w:szCs w:val="18"/>
          <w:color w:val="auto"/>
        </w:rPr>
      </w:pPr>
    </w:p>
    <w:p>
      <w:pPr>
        <w:ind w:left="1020" w:right="220" w:hanging="505"/>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64"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108"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consolidated financial statements as prepaid expenses or accrued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2" w:lineRule="exact"/>
        <w:rPr>
          <w:sz w:val="20"/>
          <w:szCs w:val="20"/>
          <w:color w:val="auto"/>
        </w:rPr>
      </w:pPr>
    </w:p>
    <w:p>
      <w:pPr>
        <w:jc w:val="both"/>
        <w:ind w:right="180" w:firstLine="562"/>
        <w:spacing w:after="0" w:line="251"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440" w:firstLine="509"/>
        <w:spacing w:after="0" w:line="253"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consolidated statements of operations and comprehensive loss based upon the recipient's underlying role within the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2" w:lineRule="exact"/>
        <w:rPr>
          <w:sz w:val="20"/>
          <w:szCs w:val="20"/>
          <w:color w:val="auto"/>
        </w:rPr>
      </w:pPr>
    </w:p>
    <w:p>
      <w:pPr>
        <w:ind w:firstLine="509"/>
        <w:spacing w:after="0" w:line="293" w:lineRule="auto"/>
        <w:rPr>
          <w:sz w:val="20"/>
          <w:szCs w:val="20"/>
          <w:color w:val="auto"/>
        </w:rPr>
      </w:pPr>
      <w:r>
        <w:rPr>
          <w:rFonts w:ascii="Times New Roman" w:cs="Times New Roman" w:eastAsia="Times New Roman" w:hAnsi="Times New Roman"/>
          <w:sz w:val="16"/>
          <w:szCs w:val="16"/>
          <w:color w:val="auto"/>
        </w:rPr>
        <w:t>Short-term investments are investments with original maturities of between 90 and 365 days when purchased and are comprised of treasury bills. The Company classifies its short-term investments as available-for-sale securities. Short-term investments are recorded at fair value and unrealized gains and losses are recorded within accumulated other comprehensive income (loss). Accretion on the discount associated with these investments is recorded in interest income. In addition, the Company evaluates the short-term investments with unrealized losses to determine whether such losses are other than temporary.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12"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11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6"/>
          <w:szCs w:val="16"/>
          <w:color w:val="auto"/>
        </w:rPr>
        <w:t xml:space="preserve">In connection with the Purchase and Sale Agreement, the Company recognizes a liability related to the sales of future royalties under ASC 470-10,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and ASC 835-30, </w:t>
      </w:r>
      <w:r>
        <w:rPr>
          <w:rFonts w:ascii="Times New Roman" w:cs="Times New Roman" w:eastAsia="Times New Roman" w:hAnsi="Times New Roman"/>
          <w:sz w:val="16"/>
          <w:szCs w:val="16"/>
          <w:i w:val="1"/>
          <w:iCs w:val="1"/>
          <w:color w:val="auto"/>
        </w:rPr>
        <w:t>Interest - Imputation of Interest</w:t>
      </w:r>
      <w:r>
        <w:rPr>
          <w:rFonts w:ascii="Times New Roman" w:cs="Times New Roman" w:eastAsia="Times New Roman" w:hAnsi="Times New Roman"/>
          <w:sz w:val="16"/>
          <w:szCs w:val="16"/>
          <w:color w:val="auto"/>
        </w:rPr>
        <w:t>.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spacing w:after="0" w:line="75"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holding cost, the risk-free interest rate for the term of the warrant and the likelihood of achieving certain future milestone events and the related impact to the price of the Company's common stock. The warrant liabilities are revalued at each reporting period and changes in fair value are recognized in other income (expense) in the consolidated statements of operations and comprehensive loss.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0"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looks to enhance the transparency and decision usefulness of income tax disclosures primarily related to the rate reconciliation and income taxes paid information. The main provisions to the rate reconciliation disclosure require public entities to disclose, on an annual basis, specific categories in the rate reconciliation and provide additional information for reconciling items that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0" w:name="page11"/>
    <w:bookmarkEnd w:id="10"/>
    <w:p>
      <w:pPr>
        <w:ind w:right="20"/>
        <w:spacing w:after="0" w:line="293" w:lineRule="auto"/>
        <w:rPr>
          <w:sz w:val="20"/>
          <w:szCs w:val="20"/>
          <w:color w:val="auto"/>
        </w:rPr>
      </w:pPr>
      <w:r>
        <w:rPr>
          <w:rFonts w:ascii="Times New Roman" w:cs="Times New Roman" w:eastAsia="Times New Roman" w:hAnsi="Times New Roman"/>
          <w:sz w:val="16"/>
          <w:szCs w:val="16"/>
          <w:color w:val="auto"/>
        </w:rPr>
        <w:t>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adoption is permitted. The Company is currently evaluating the impact of this ASU.</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4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7"/>
        </w:trPr>
        <w:tc>
          <w:tcPr>
            <w:tcW w:w="634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tcPr>
          <w:p>
            <w:pPr>
              <w:spacing w:after="0"/>
              <w:rPr>
                <w:sz w:val="19"/>
                <w:szCs w:val="19"/>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80" w:type="dxa"/>
            <w:vAlign w:val="bottom"/>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Leasehold improvements</w:t>
            </w:r>
          </w:p>
        </w:tc>
        <w:tc>
          <w:tcPr>
            <w:tcW w:w="13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Lesser of</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useful life or</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4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(992 )</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c>
          <w:tcPr>
            <w:tcW w:w="0" w:type="dxa"/>
            <w:vAlign w:val="bottom"/>
          </w:tcPr>
          <w:p>
            <w:pPr>
              <w:spacing w:after="0"/>
              <w:rPr>
                <w:sz w:val="1"/>
                <w:szCs w:val="1"/>
                <w:color w:val="auto"/>
              </w:rPr>
            </w:pPr>
          </w:p>
        </w:tc>
      </w:tr>
      <w:tr>
        <w:trPr>
          <w:trHeight w:val="227"/>
        </w:trPr>
        <w:tc>
          <w:tcPr>
            <w:tcW w:w="63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6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3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60" w:type="dxa"/>
            <w:vAlign w:val="bottom"/>
            <w:gridSpan w:val="3"/>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costs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3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600" w:type="dxa"/>
            <w:vAlign w:val="bottom"/>
            <w:tcBorders>
              <w:bottom w:val="single" w:sz="8" w:color="CFF0FC"/>
            </w:tcBorders>
            <w:gridSpan w:val="2"/>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-2242185</wp:posOffset>
            </wp:positionV>
            <wp:extent cx="666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-2242185</wp:posOffset>
            </wp:positionV>
            <wp:extent cx="66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-1933575</wp:posOffset>
            </wp:positionV>
            <wp:extent cx="66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-1933575</wp:posOffset>
            </wp:positionV>
            <wp:extent cx="66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-24130</wp:posOffset>
            </wp:positionV>
            <wp:extent cx="749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-7620</wp:posOffset>
            </wp:positionV>
            <wp:extent cx="749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Purchase and Sale Agreement</w:t>
      </w:r>
    </w:p>
    <w:p>
      <w:pPr>
        <w:spacing w:after="0" w:line="110" w:lineRule="exact"/>
        <w:rPr>
          <w:sz w:val="20"/>
          <w:szCs w:val="20"/>
          <w:color w:val="auto"/>
        </w:rPr>
      </w:pPr>
    </w:p>
    <w:p>
      <w:pPr>
        <w:ind w:right="80" w:firstLine="509"/>
        <w:spacing w:after="0" w:line="279" w:lineRule="auto"/>
        <w:rPr>
          <w:sz w:val="20"/>
          <w:szCs w:val="20"/>
          <w:color w:val="auto"/>
        </w:rPr>
      </w:pPr>
      <w:r>
        <w:rPr>
          <w:rFonts w:ascii="Times New Roman" w:cs="Times New Roman" w:eastAsia="Times New Roman" w:hAnsi="Times New Roman"/>
          <w:sz w:val="16"/>
          <w:szCs w:val="16"/>
          <w:color w:val="auto"/>
        </w:rPr>
        <w:t>On August 8, 2022 (the “Closing Date”), the Company, through its wholly owned subsidiary Clearside Royalty LLC, a Delaware limited liability company ("Royalty Sub"), entered into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(collectively, "Post-Closing License Agreements"),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 On November 1, 2023, the Company entered into the BioCryst License Agreement. The Company’s rights to milestone payments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right="60"/>
        <w:spacing w:after="0" w:line="267" w:lineRule="auto"/>
        <w:rPr>
          <w:sz w:val="20"/>
          <w:szCs w:val="20"/>
          <w:color w:val="auto"/>
        </w:rPr>
      </w:pPr>
      <w:r>
        <w:rPr>
          <w:rFonts w:ascii="Times New Roman" w:cs="Times New Roman" w:eastAsia="Times New Roman" w:hAnsi="Times New Roman"/>
          <w:sz w:val="18"/>
          <w:szCs w:val="18"/>
          <w:color w:val="auto"/>
        </w:rPr>
        <w:t>royalties under the BioCryst License Agreement were sold to HCR pursuant to the terms of the Purchase and Sale Agreement providing for the sale of Royalties from Post-Closing License Agreements to HCR.</w:t>
      </w:r>
    </w:p>
    <w:p>
      <w:pPr>
        <w:spacing w:after="0" w:line="65"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which was released to HCR pursuant to the Letter Agreement described below. The terms of the Purchase and Sale Agreement also provide for an additional $20 million milestone payment to Royalty Sub upon attainment of a second pre-specified sales milestone related to 2024 XIPERE sales (the "Second Milestone Event").</w:t>
      </w:r>
    </w:p>
    <w:p>
      <w:pPr>
        <w:spacing w:after="0" w:line="82"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Purchase and Sale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91" w:lineRule="exact"/>
        <w:rPr>
          <w:sz w:val="20"/>
          <w:szCs w:val="20"/>
          <w:color w:val="auto"/>
        </w:rPr>
      </w:pPr>
    </w:p>
    <w:p>
      <w:pPr>
        <w:ind w:right="160" w:firstLine="509"/>
        <w:spacing w:after="0" w:line="251" w:lineRule="auto"/>
        <w:rPr>
          <w:sz w:val="20"/>
          <w:szCs w:val="20"/>
          <w:color w:val="auto"/>
        </w:rPr>
      </w:pPr>
      <w:r>
        <w:rPr>
          <w:rFonts w:ascii="Times New Roman" w:cs="Times New Roman" w:eastAsia="Times New Roman" w:hAnsi="Times New Roman"/>
          <w:sz w:val="18"/>
          <w:szCs w:val="18"/>
          <w:color w:val="auto"/>
        </w:rPr>
        <w:t>On December 22, 2023, the Company, through its wholly owned subsidiary Royalty Sub, entered into the Letter Agreement with the Agent amending the Purchase and Sale Agreement.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spacing w:after="0" w:line="79"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for the six months ended June 30, 2024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and Sale Agreement balance at December 31, 2023</w:t>
            </w:r>
          </w:p>
        </w:tc>
        <w:tc>
          <w:tcPr>
            <w:tcW w:w="760" w:type="dxa"/>
            <w:vAlign w:val="bottom"/>
            <w:shd w:val="clear" w:color="auto" w:fill="CFF0FC"/>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60" w:type="dxa"/>
            <w:vAlign w:val="bottom"/>
            <w:tcBorders>
              <w:bottom w:val="single" w:sz="8" w:color="auto"/>
            </w:tcBorders>
            <w:shd w:val="clear" w:color="auto" w:fill="CFF0FC"/>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4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149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-315595</wp:posOffset>
            </wp:positionV>
            <wp:extent cx="666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-299085</wp:posOffset>
            </wp:positionV>
            <wp:extent cx="666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10" w:lineRule="exact"/>
        <w:rPr>
          <w:sz w:val="20"/>
          <w:szCs w:val="20"/>
          <w:color w:val="auto"/>
        </w:rPr>
      </w:pPr>
    </w:p>
    <w:p>
      <w:pPr>
        <w:ind w:right="420" w:firstLine="509"/>
        <w:spacing w:after="0" w:line="331" w:lineRule="auto"/>
        <w:rPr>
          <w:sz w:val="20"/>
          <w:szCs w:val="20"/>
          <w:color w:val="auto"/>
        </w:rPr>
      </w:pPr>
      <w:r>
        <w:rPr>
          <w:rFonts w:ascii="Times New Roman" w:cs="Times New Roman" w:eastAsia="Times New Roman" w:hAnsi="Times New Roman"/>
          <w:sz w:val="16"/>
          <w:szCs w:val="16"/>
          <w:color w:val="auto"/>
        </w:rPr>
        <w:t>The Company’s amended and restated certificate of incorporation authorizes the Company to issue 200,000,000 shares of $0.001 par value common stock. As of June 30, 2024 and December 31, 2023, there were 74,731,139 and 62,850,841 shares of common stock outstanding,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Warrants</w:t>
      </w:r>
    </w:p>
    <w:p>
      <w:pPr>
        <w:spacing w:after="0" w:line="110" w:lineRule="exact"/>
        <w:rPr>
          <w:sz w:val="20"/>
          <w:szCs w:val="20"/>
          <w:color w:val="auto"/>
        </w:rPr>
      </w:pPr>
    </w:p>
    <w:p>
      <w:pPr>
        <w:ind w:right="220" w:firstLine="509"/>
        <w:spacing w:after="0" w:line="251" w:lineRule="auto"/>
        <w:rPr>
          <w:sz w:val="20"/>
          <w:szCs w:val="20"/>
          <w:color w:val="auto"/>
        </w:rPr>
      </w:pPr>
      <w:r>
        <w:rPr>
          <w:rFonts w:ascii="Times New Roman" w:cs="Times New Roman" w:eastAsia="Times New Roman" w:hAnsi="Times New Roman"/>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at the time of issuance and as of June 30, 2024, had a weighted average remaining life of 2.25 years.</w:t>
      </w:r>
    </w:p>
    <w:p>
      <w:pPr>
        <w:spacing w:after="0" w:line="79"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(i) an aggregate of 11,111,111 shares of its common stock; and (ii) Warrants to purchase up to 11,111,111 shares of common stock. The combined purchase price of each share and accompanying Warrant was $1.35. The exercise price for the Warrants is $1.62 per share. The Warrants will be exercisable beginning August 9, 2024 and will expire on August 9, 2029. The Company recorded the initial fair value of the Warrants of $10.3</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448310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066" w:right="279" w:bottom="1440" w:gutter="0" w:footer="0" w:header="0"/>
        </w:sectPr>
      </w:pPr>
    </w:p>
    <w:bookmarkStart w:id="12" w:name="page13"/>
    <w:bookmarkEnd w:id="12"/>
    <w:p>
      <w:pPr>
        <w:jc w:val="both"/>
        <w:ind w:right="160" w:firstLine="44"/>
        <w:spacing w:after="0" w:line="293" w:lineRule="auto"/>
        <w:rPr>
          <w:sz w:val="20"/>
          <w:szCs w:val="20"/>
          <w:color w:val="auto"/>
        </w:rPr>
      </w:pPr>
      <w:r>
        <w:rPr>
          <w:rFonts w:ascii="Times New Roman" w:cs="Times New Roman" w:eastAsia="Times New Roman" w:hAnsi="Times New Roman"/>
          <w:sz w:val="16"/>
          <w:szCs w:val="16"/>
          <w:color w:val="auto"/>
        </w:rPr>
        <w:t>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in the fair value of the Warrants during the period are recorded in other income (expense) in the consolidated statements of operations. The issuance costs allocated to common stock were recorded as a reduction to additional paid in capital.</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warrant liabilities during the six months ended June 30, 2024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issuance February 9, 2024</w:t>
            </w:r>
          </w:p>
        </w:tc>
        <w:tc>
          <w:tcPr>
            <w:tcW w:w="1600" w:type="dxa"/>
            <w:vAlign w:val="bottom"/>
            <w:gridSpan w:val="2"/>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FF0FC"/>
          </w:tcPr>
          <w:p>
            <w:pPr>
              <w:spacing w:after="0"/>
              <w:rPr>
                <w:sz w:val="20"/>
                <w:szCs w:val="20"/>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(1,206 )</w:t>
            </w:r>
          </w:p>
        </w:tc>
      </w:tr>
      <w:tr>
        <w:trPr>
          <w:trHeight w:val="270"/>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June 30, 2024</w:t>
            </w:r>
          </w:p>
        </w:tc>
        <w:tc>
          <w:tcPr>
            <w:tcW w:w="9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top w:val="single" w:sz="8" w:color="auto"/>
              <w:bottom w:val="single" w:sz="8" w:color="auto"/>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94"/>
        </w:trPr>
        <w:tc>
          <w:tcPr>
            <w:tcW w:w="8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key inputs for the valuation of the Warrants at June 30, 2024:</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8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2"/>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7072630</wp:posOffset>
            </wp:positionH>
            <wp:positionV relativeFrom="paragraph">
              <wp:posOffset>-1186180</wp:posOffset>
            </wp:positionV>
            <wp:extent cx="666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-1169670</wp:posOffset>
            </wp:positionV>
            <wp:extent cx="66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7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Share-based compensation expense for options granted under the 2016 Plan is reflected in the consolidated statements of operations and comprehensive loss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20" w:type="dxa"/>
            <w:vAlign w:val="bottom"/>
            <w:gridSpan w:val="4"/>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7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52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20"/>
                <w:szCs w:val="20"/>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0"/>
                <w:szCs w:val="20"/>
                <w:color w:val="auto"/>
              </w:rPr>
            </w:pPr>
          </w:p>
        </w:tc>
      </w:tr>
      <w:tr>
        <w:trPr>
          <w:trHeight w:val="26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-24130</wp:posOffset>
            </wp:positionV>
            <wp:extent cx="749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4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-24130</wp:posOffset>
            </wp:positionV>
            <wp:extent cx="666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-7620</wp:posOffset>
            </wp:positionV>
            <wp:extent cx="666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-24130</wp:posOffset>
            </wp:positionV>
            <wp:extent cx="666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-7620</wp:posOffset>
            </wp:positionV>
            <wp:extent cx="666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stock options granted under the 2011 Plan and the 2016 Plan during the six months ended June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0"/>
        </w:trPr>
        <w:tc>
          <w:tcPr>
            <w:tcW w:w="4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36"/>
        </w:trPr>
        <w:tc>
          <w:tcPr>
            <w:tcW w:w="4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43"/>
        </w:trPr>
        <w:tc>
          <w:tcPr>
            <w:tcW w:w="4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00" w:type="dxa"/>
            <w:vAlign w:val="bottom"/>
          </w:tcPr>
          <w:p>
            <w:pPr>
              <w:spacing w:after="0"/>
              <w:rPr>
                <w:sz w:val="21"/>
                <w:szCs w:val="2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5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9,865,770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0"/>
                <w:szCs w:val="20"/>
                <w:color w:val="auto"/>
              </w:rPr>
            </w:pPr>
          </w:p>
        </w:tc>
      </w:tr>
      <w:tr>
        <w:trPr>
          <w:trHeight w:val="232"/>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3,034,375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r>
      <w:tr>
        <w:trPr>
          <w:trHeight w:val="241"/>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53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(10,000 )</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0"/>
                <w:szCs w:val="20"/>
                <w:color w:val="auto"/>
              </w:rPr>
            </w:pPr>
          </w:p>
        </w:tc>
      </w:tr>
      <w:tr>
        <w:trPr>
          <w:trHeight w:val="236"/>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34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(122,815 )</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70"/>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2024</w:t>
            </w:r>
          </w:p>
        </w:tc>
        <w:tc>
          <w:tcPr>
            <w:tcW w:w="340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12,767,330</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6"/>
        </w:trPr>
        <w:tc>
          <w:tcPr>
            <w:tcW w:w="4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5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5,494,746</w:t>
            </w:r>
          </w:p>
        </w:tc>
        <w:tc>
          <w:tcPr>
            <w:tcW w:w="2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24"/>
                <w:szCs w:val="24"/>
                <w:color w:val="auto"/>
              </w:rPr>
            </w:pPr>
          </w:p>
        </w:tc>
      </w:tr>
      <w:tr>
        <w:trPr>
          <w:trHeight w:val="216"/>
        </w:trPr>
        <w:tc>
          <w:tcPr>
            <w:tcW w:w="4280" w:type="dxa"/>
            <w:vAlign w:val="bottom"/>
            <w:tcBorders>
              <w:top w:val="single" w:sz="8" w:color="CFF0FC"/>
            </w:tcBorders>
          </w:tcPr>
          <w:p>
            <w:pPr>
              <w:spacing w:after="0"/>
              <w:rPr>
                <w:sz w:val="18"/>
                <w:szCs w:val="18"/>
                <w:color w:val="auto"/>
              </w:rPr>
            </w:pPr>
          </w:p>
        </w:tc>
        <w:tc>
          <w:tcPr>
            <w:tcW w:w="3400" w:type="dxa"/>
            <w:vAlign w:val="bottom"/>
            <w:tcBorders>
              <w:top w:val="single" w:sz="8" w:color="CFF0FC"/>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7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2024</w:t>
            </w:r>
          </w:p>
        </w:tc>
        <w:tc>
          <w:tcPr>
            <w:tcW w:w="5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6,691,528</w:t>
            </w:r>
          </w:p>
        </w:tc>
        <w:tc>
          <w:tcPr>
            <w:tcW w:w="2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4"/>
                <w:szCs w:val="24"/>
                <w:color w:val="auto"/>
              </w:rPr>
            </w:pPr>
          </w:p>
        </w:tc>
      </w:tr>
      <w:tr>
        <w:trPr>
          <w:trHeight w:val="399"/>
        </w:trPr>
        <w:tc>
          <w:tcPr>
            <w:tcW w:w="428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1872"/>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29"/>
        </w:trPr>
        <w:tc>
          <w:tcPr>
            <w:tcW w:w="4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-1416685</wp:posOffset>
            </wp:positionV>
            <wp:extent cx="749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-1400175</wp:posOffset>
            </wp:positionV>
            <wp:extent cx="749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-1091565</wp:posOffset>
            </wp:positionV>
            <wp:extent cx="749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-1075055</wp:posOffset>
            </wp:positionV>
            <wp:extent cx="749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-766445</wp:posOffset>
            </wp:positionV>
            <wp:extent cx="749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-749935</wp:posOffset>
            </wp:positionV>
            <wp:extent cx="749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p>
      <w:pPr>
        <w:ind w:right="240" w:firstLine="509"/>
        <w:spacing w:after="0" w:line="267" w:lineRule="auto"/>
        <w:rPr>
          <w:sz w:val="20"/>
          <w:szCs w:val="20"/>
          <w:color w:val="auto"/>
        </w:rPr>
      </w:pPr>
      <w:r>
        <w:rPr>
          <w:rFonts w:ascii="Times New Roman" w:cs="Times New Roman" w:eastAsia="Times New Roman" w:hAnsi="Times New Roman"/>
          <w:sz w:val="18"/>
          <w:szCs w:val="18"/>
          <w:color w:val="auto"/>
        </w:rPr>
        <w:t>As of June 30, 2024, the Company had $5.7 million of unrecognized compensation expense related to unvested stock options, which is expected to be recognized over a weighted average period of 2.6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0"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consolidated statements of operations and comprehensive loss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20" w:type="dxa"/>
            <w:vAlign w:val="bottom"/>
            <w:gridSpan w:val="4"/>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7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2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0"/>
                <w:szCs w:val="20"/>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r>
      <w:tr>
        <w:trPr>
          <w:trHeight w:val="26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-24130</wp:posOffset>
            </wp:positionV>
            <wp:extent cx="749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49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-24130</wp:posOffset>
            </wp:positionV>
            <wp:extent cx="666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-7620</wp:posOffset>
            </wp:positionV>
            <wp:extent cx="666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-24130</wp:posOffset>
            </wp:positionV>
            <wp:extent cx="666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-7620</wp:posOffset>
            </wp:positionV>
            <wp:extent cx="666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six months ended June 30,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6"/>
        </w:trPr>
        <w:tc>
          <w:tcPr>
            <w:tcW w:w="7680" w:type="dxa"/>
            <w:vAlign w:val="bottom"/>
          </w:tcPr>
          <w:p>
            <w:pPr>
              <w:spacing w:after="0"/>
              <w:rPr>
                <w:sz w:val="20"/>
                <w:szCs w:val="20"/>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Grant Date</w:t>
            </w:r>
          </w:p>
        </w:tc>
      </w:tr>
      <w:tr>
        <w:trPr>
          <w:trHeight w:val="243"/>
        </w:trPr>
        <w:tc>
          <w:tcPr>
            <w:tcW w:w="7680" w:type="dxa"/>
            <w:vAlign w:val="bottom"/>
          </w:tcPr>
          <w:p>
            <w:pPr>
              <w:spacing w:after="0"/>
              <w:rPr>
                <w:sz w:val="21"/>
                <w:szCs w:val="21"/>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834,899</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(397,594 )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r>
      <w:tr>
        <w:trPr>
          <w:trHeight w:val="27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8255"/>
                    </a:xfrm>
                    <a:prstGeom prst="rect">
                      <a:avLst/>
                    </a:prstGeom>
                    <a:noFill/>
                  </pic:spPr>
                </pic:pic>
              </a:graphicData>
            </a:graphic>
          </wp:anchor>
        </w:drawing>
      </w:r>
    </w:p>
    <w:p>
      <w:pPr>
        <w:spacing w:after="0" w:line="80" w:lineRule="exact"/>
        <w:rPr>
          <w:sz w:val="20"/>
          <w:szCs w:val="20"/>
          <w:color w:val="auto"/>
        </w:rPr>
      </w:pPr>
    </w:p>
    <w:p>
      <w:pPr>
        <w:ind w:right="340" w:firstLine="569"/>
        <w:spacing w:after="0" w:line="267" w:lineRule="auto"/>
        <w:rPr>
          <w:sz w:val="20"/>
          <w:szCs w:val="20"/>
          <w:color w:val="auto"/>
        </w:rPr>
      </w:pPr>
      <w:r>
        <w:rPr>
          <w:rFonts w:ascii="Times New Roman" w:cs="Times New Roman" w:eastAsia="Times New Roman" w:hAnsi="Times New Roman"/>
          <w:sz w:val="18"/>
          <w:szCs w:val="18"/>
          <w:color w:val="auto"/>
        </w:rPr>
        <w:t>As of June 30, 2024, the Company had $0.8 million of unrecognized compensation expense related to the RSUs which is expected to be recognized over a weighted average period of 1.1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75"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consolidated statements of operations and comprehensive loss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300" w:type="dxa"/>
            <w:vAlign w:val="bottom"/>
            <w:gridSpan w:val="4"/>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7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6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-24130</wp:posOffset>
            </wp:positionV>
            <wp:extent cx="749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4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-24130</wp:posOffset>
            </wp:positionV>
            <wp:extent cx="666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-7620</wp:posOffset>
            </wp:positionV>
            <wp:extent cx="666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-24130</wp:posOffset>
            </wp:positionV>
            <wp:extent cx="666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-7620</wp:posOffset>
            </wp:positionV>
            <wp:extent cx="666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the Company issued 21,681 shares of common stock purchased under the 2016 ESPP.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112" w:lineRule="exact"/>
        <w:rPr>
          <w:sz w:val="20"/>
          <w:szCs w:val="20"/>
          <w:color w:val="auto"/>
        </w:rPr>
      </w:pPr>
    </w:p>
    <w:p>
      <w:pPr>
        <w:ind w:right="140" w:firstLine="509"/>
        <w:spacing w:after="0" w:line="293" w:lineRule="auto"/>
        <w:rPr>
          <w:sz w:val="20"/>
          <w:szCs w:val="20"/>
          <w:color w:val="auto"/>
        </w:rPr>
      </w:pPr>
      <w:r>
        <w:rPr>
          <w:rFonts w:ascii="Times New Roman" w:cs="Times New Roman" w:eastAsia="Times New Roman" w:hAnsi="Times New Roman"/>
          <w:sz w:val="16"/>
          <w:szCs w:val="16"/>
          <w:color w:val="auto"/>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spacing w:after="0" w:line="47" w:lineRule="exact"/>
        <w:rPr>
          <w:sz w:val="20"/>
          <w:szCs w:val="20"/>
          <w:color w:val="auto"/>
        </w:rPr>
      </w:pPr>
    </w:p>
    <w:p>
      <w:pPr>
        <w:ind w:right="500" w:firstLine="562"/>
        <w:spacing w:after="0" w:line="253"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ind w:right="480"/>
        <w:spacing w:after="0" w:line="267" w:lineRule="auto"/>
        <w:rPr>
          <w:sz w:val="20"/>
          <w:szCs w:val="20"/>
          <w:color w:val="auto"/>
        </w:rPr>
      </w:pPr>
      <w:r>
        <w:rPr>
          <w:rFonts w:ascii="Times New Roman" w:cs="Times New Roman" w:eastAsia="Times New Roman" w:hAnsi="Times New Roman"/>
          <w:sz w:val="18"/>
          <w:szCs w:val="18"/>
          <w:color w:val="auto"/>
        </w:rPr>
        <w:t>included in the calculation of the right-of-use asset and the lease liabilities as the Company has not yet determined if the Alpharetta, Georgia lease will be renewed.</w:t>
      </w:r>
    </w:p>
    <w:p>
      <w:pPr>
        <w:spacing w:after="0" w:line="65"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Georgia Tech License Agreement</w:t>
      </w:r>
    </w:p>
    <w:p>
      <w:pPr>
        <w:spacing w:after="0" w:line="112"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color w:val="auto"/>
        </w:rPr>
        <w:t>As described in Note 1, the Company entered into a fourth amendment to the Georgia Tech License Agreement pursuant to which the parties agreed to revised Maintenance Fee payments in exchange for a reduction to the contractual Sublicense Percentage owed by the Company on certain fees and other payments it may receive from future sublicensing activities. The Company paid the Maintenance Fee for 2023 in February 2024. The remaining annual Maintenance Fee payments are due on October 1st of each year from 2024 through 2028, as show in the table below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0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9"/>
                <w:szCs w:val="19"/>
                <w:color w:val="auto"/>
              </w:rPr>
            </w:pPr>
          </w:p>
        </w:tc>
      </w:tr>
      <w:tr>
        <w:trPr>
          <w:trHeight w:val="215"/>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r>
      <w:tr>
        <w:trPr>
          <w:trHeight w:val="232"/>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FF0FC"/>
          </w:tcPr>
          <w:p>
            <w:pPr>
              <w:spacing w:after="0"/>
              <w:rPr>
                <w:sz w:val="20"/>
                <w:szCs w:val="20"/>
                <w:color w:val="auto"/>
              </w:rPr>
            </w:pPr>
          </w:p>
        </w:tc>
      </w:tr>
      <w:tr>
        <w:trPr>
          <w:trHeight w:val="215"/>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r>
      <w:tr>
        <w:trPr>
          <w:trHeight w:val="22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12"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Other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Bausch + Lomb</w:t>
      </w:r>
    </w:p>
    <w:p>
      <w:pPr>
        <w:spacing w:after="0" w:line="110"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p>
    <w:p>
      <w:pPr>
        <w:spacing w:after="0" w:line="82"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1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4" w:lineRule="exact"/>
        <w:rPr>
          <w:sz w:val="20"/>
          <w:szCs w:val="20"/>
          <w:color w:val="auto"/>
        </w:rPr>
      </w:pPr>
    </w:p>
    <w:p>
      <w:pPr>
        <w:ind w:right="40" w:firstLine="509"/>
        <w:spacing w:after="0" w:line="278" w:lineRule="auto"/>
        <w:rPr>
          <w:sz w:val="20"/>
          <w:szCs w:val="20"/>
          <w:color w:val="auto"/>
        </w:rPr>
      </w:pPr>
      <w:r>
        <w:rPr>
          <w:rFonts w:ascii="Times New Roman" w:cs="Times New Roman" w:eastAsia="Times New Roman" w:hAnsi="Times New Roman"/>
          <w:sz w:val="16"/>
          <w:szCs w:val="16"/>
          <w:color w:val="auto"/>
        </w:rPr>
        <w:t>Pursuant to the Arctic License Agreement, Arctic Vision has paid the Company an aggregate of $9.0 million in upfront and milestone payments.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ind w:right="240"/>
        <w:spacing w:after="0" w:line="331" w:lineRule="auto"/>
        <w:rPr>
          <w:sz w:val="20"/>
          <w:szCs w:val="20"/>
          <w:color w:val="auto"/>
        </w:rPr>
      </w:pPr>
      <w:r>
        <w:rPr>
          <w:rFonts w:ascii="Times New Roman" w:cs="Times New Roman" w:eastAsia="Times New Roman" w:hAnsi="Times New Roman"/>
          <w:sz w:val="16"/>
          <w:szCs w:val="16"/>
          <w:color w:val="auto"/>
        </w:rPr>
        <w:t>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spacing w:after="0" w:line="18"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BioCryst Pharmaceuticals, Inc.</w:t>
      </w:r>
    </w:p>
    <w:p>
      <w:pPr>
        <w:spacing w:after="0" w:line="11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DME.</w:t>
      </w:r>
    </w:p>
    <w:p>
      <w:pPr>
        <w:spacing w:after="0" w:line="75"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 amended the BioCryst License Agreement on May 20, 2024. The Company's rights to these royalties and milestone payments have been sold pursuant to the terms and conditions of the Purchase and Sale Agreement described in Note 5.</w:t>
      </w:r>
    </w:p>
    <w:p>
      <w:pPr>
        <w:spacing w:after="0" w:line="8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BioCryst will be responsible for all development, regulatory and commercialization activities for avoralstat. The Company is responsible for supplying SCS Microinjectors to meet BioCryst’s reasonable needs.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Available-for-Sale Investments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short-term investments by type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80" w:type="dxa"/>
            <w:vAlign w:val="bottom"/>
          </w:tcPr>
          <w:p>
            <w:pPr>
              <w:spacing w:after="0"/>
              <w:rPr>
                <w:sz w:val="19"/>
                <w:szCs w:val="19"/>
                <w:color w:val="auto"/>
              </w:rPr>
            </w:pPr>
          </w:p>
        </w:tc>
        <w:tc>
          <w:tcPr>
            <w:tcW w:w="112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34"/>
        </w:trPr>
        <w:tc>
          <w:tcPr>
            <w:tcW w:w="6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20"/>
                <w:szCs w:val="20"/>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(1 )</w:t>
            </w: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shd w:val="clear" w:color="auto" w:fill="CFF0FC"/>
          </w:tcPr>
          <w:p>
            <w:pPr>
              <w:spacing w:after="0"/>
              <w:rPr>
                <w:sz w:val="20"/>
                <w:szCs w:val="20"/>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280" w:type="dxa"/>
            <w:vAlign w:val="bottom"/>
          </w:tcPr>
          <w:p>
            <w:pPr>
              <w:spacing w:after="0"/>
              <w:rPr>
                <w:sz w:val="19"/>
                <w:szCs w:val="19"/>
                <w:color w:val="auto"/>
              </w:rPr>
            </w:pPr>
          </w:p>
        </w:tc>
        <w:tc>
          <w:tcPr>
            <w:tcW w:w="112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(1 )</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-182880</wp:posOffset>
            </wp:positionV>
            <wp:extent cx="749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6089015</wp:posOffset>
            </wp:positionH>
            <wp:positionV relativeFrom="paragraph">
              <wp:posOffset>-182880</wp:posOffset>
            </wp:positionV>
            <wp:extent cx="74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10"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8"/>
          <w:szCs w:val="18"/>
          <w:color w:val="auto"/>
        </w:rPr>
        <w:t>The Company’s material financial instruments at June 30, 2024 and December 31, 2023 consisted primarily of cash and cash equivalents and short-term investments. The fair values of cash and cash equivalents, short-term investments, other current assets and accounts payable approximate their respective carrying values due to the short term nature of these instruments and are classified as Level 1 in the fair value hierarchy. The fair value of the warrant liabilities (see Note 7) require significant unobservable inputs and is classified as Level 3 in the fair value hierarchy.</w:t>
      </w:r>
    </w:p>
    <w:p>
      <w:pPr>
        <w:spacing w:after="0" w:line="79" w:lineRule="exact"/>
        <w:rPr>
          <w:sz w:val="20"/>
          <w:szCs w:val="20"/>
          <w:color w:val="auto"/>
        </w:rPr>
      </w:pPr>
    </w:p>
    <w:p>
      <w:pPr>
        <w:ind w:left="5540" w:right="1320" w:hanging="5021"/>
        <w:spacing w:after="0" w:line="267" w:lineRule="auto"/>
        <w:rPr>
          <w:sz w:val="20"/>
          <w:szCs w:val="20"/>
          <w:color w:val="auto"/>
        </w:rPr>
      </w:pPr>
      <w:r>
        <w:rPr>
          <w:rFonts w:ascii="Times New Roman" w:cs="Times New Roman" w:eastAsia="Times New Roman" w:hAnsi="Times New Roman"/>
          <w:sz w:val="18"/>
          <w:szCs w:val="18"/>
          <w:color w:val="auto"/>
        </w:rPr>
        <w:t>There were no transfers between Levels 1, 2 and 3 during the six months ended June 30, 2024 and the year ended December 31, 2023.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ind w:right="440" w:firstLine="509"/>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assets and liabilities that are measured at fair value and the classification by level of input within the fair value hierarchy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100" w:type="dxa"/>
            <w:vAlign w:val="bottom"/>
          </w:tcPr>
          <w:p>
            <w:pPr>
              <w:spacing w:after="0"/>
              <w:rPr>
                <w:sz w:val="16"/>
                <w:szCs w:val="16"/>
                <w:color w:val="auto"/>
              </w:rPr>
            </w:pPr>
          </w:p>
        </w:tc>
      </w:tr>
      <w:tr>
        <w:trPr>
          <w:trHeight w:val="219"/>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Value</w:t>
            </w:r>
          </w:p>
        </w:tc>
      </w:tr>
      <w:tr>
        <w:trPr>
          <w:trHeight w:val="23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00" w:type="dxa"/>
            <w:vAlign w:val="bottom"/>
          </w:tcPr>
          <w:p>
            <w:pPr>
              <w:spacing w:after="0"/>
              <w:rPr>
                <w:sz w:val="20"/>
                <w:szCs w:val="20"/>
                <w:color w:val="auto"/>
              </w:rPr>
            </w:pPr>
          </w:p>
        </w:tc>
      </w:tr>
      <w:tr>
        <w:trPr>
          <w:trHeight w:val="236"/>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4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5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0"/>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100" w:type="dxa"/>
            <w:vAlign w:val="bottom"/>
          </w:tcPr>
          <w:p>
            <w:pPr>
              <w:spacing w:after="0"/>
              <w:rPr>
                <w:sz w:val="16"/>
                <w:szCs w:val="16"/>
                <w:color w:val="auto"/>
              </w:rPr>
            </w:pPr>
          </w:p>
        </w:tc>
      </w:tr>
      <w:tr>
        <w:trPr>
          <w:trHeight w:val="219"/>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Value</w:t>
            </w:r>
          </w:p>
        </w:tc>
      </w:tr>
      <w:tr>
        <w:trPr>
          <w:trHeight w:val="23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42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Pr>
          <w:p>
            <w:pPr>
              <w:spacing w:after="0"/>
              <w:rPr>
                <w:sz w:val="20"/>
                <w:szCs w:val="20"/>
                <w:color w:val="auto"/>
              </w:rPr>
            </w:pPr>
          </w:p>
        </w:tc>
      </w:tr>
      <w:tr>
        <w:trPr>
          <w:trHeight w:val="269"/>
        </w:trPr>
        <w:tc>
          <w:tcPr>
            <w:tcW w:w="5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4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-1991995</wp:posOffset>
            </wp:positionV>
            <wp:extent cx="749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-1991995</wp:posOffset>
            </wp:positionV>
            <wp:extent cx="749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-1991995</wp:posOffset>
            </wp:positionV>
            <wp:extent cx="666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-1991995</wp:posOffset>
            </wp:positionV>
            <wp:extent cx="666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-1358265</wp:posOffset>
            </wp:positionV>
            <wp:extent cx="749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-1358265</wp:posOffset>
            </wp:positionV>
            <wp:extent cx="749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-1358265</wp:posOffset>
            </wp:positionV>
            <wp:extent cx="666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-1358265</wp:posOffset>
            </wp:positionV>
            <wp:extent cx="666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-24130</wp:posOffset>
            </wp:positionV>
            <wp:extent cx="749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-7620</wp:posOffset>
            </wp:positionV>
            <wp:extent cx="749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-24130</wp:posOffset>
            </wp:positionV>
            <wp:extent cx="749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-7620</wp:posOffset>
            </wp:positionV>
            <wp:extent cx="749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-24130</wp:posOffset>
            </wp:positionV>
            <wp:extent cx="666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-7620</wp:posOffset>
            </wp:positionV>
            <wp:extent cx="666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10"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8"/>
          <w:szCs w:val="18"/>
          <w:color w:val="auto"/>
        </w:rPr>
        <w:t>A member of the Company's Board of Directors is the chief executive officer of a company that is a vendor of the Company. As of June 30, 2024, the Company has recorded $40,000 in accounts payable and $0.4 million in accrued expense with this vendor in the consolidated balance sheets. For the three and six months ended June 30, 2024, the Company has recorded $0.2 million and $0.5 million, respectively, of expense related to this vendor in the consolidated statements of operations and comprehensive loss.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chair of the board of directors of BioCryst also serves on the Company’s Board of Directors. For the three and six months ended June 30, 2024, the Company has recorded $81,000 and $0.2 million, respectively, in license and other revenue in the consolidated statements of operations and comprehensive loss related to the BioCryst License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10" w:lineRule="exact"/>
        <w:rPr>
          <w:sz w:val="20"/>
          <w:szCs w:val="20"/>
          <w:color w:val="auto"/>
        </w:rPr>
      </w:pPr>
    </w:p>
    <w:p>
      <w:pPr>
        <w:ind w:right="340" w:firstLine="509"/>
        <w:spacing w:after="0" w:line="247"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20" w:type="dxa"/>
            <w:vAlign w:val="bottom"/>
            <w:gridSpan w:val="3"/>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20" w:type="dxa"/>
            <w:vAlign w:val="bottom"/>
            <w:tcBorders>
              <w:bottom w:val="single" w:sz="8" w:color="auto"/>
            </w:tcBorders>
            <w:gridSpan w:val="3"/>
          </w:tcPr>
          <w:p>
            <w:pPr>
              <w:jc w:val="center"/>
              <w:ind w:left="941"/>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12,767,330</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7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11,140,907</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20" w:type="dxa"/>
            <w:vAlign w:val="bottom"/>
          </w:tcPr>
          <w:p>
            <w:pPr>
              <w:spacing w:after="0"/>
              <w:rPr>
                <w:sz w:val="19"/>
                <w:szCs w:val="19"/>
                <w:color w:val="auto"/>
              </w:rPr>
            </w:pP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24,345,542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60" w:type="dxa"/>
            <w:vAlign w:val="bottom"/>
            <w:vMerge w:val="restart"/>
          </w:tcPr>
          <w:p>
            <w:pPr>
              <w:jc w:val="right"/>
              <w:ind w:right="1872"/>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39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-932815</wp:posOffset>
            </wp:positionV>
            <wp:extent cx="749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-932815</wp:posOffset>
            </wp:positionV>
            <wp:extent cx="666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91" w:lineRule="exact"/>
        <w:rPr>
          <w:sz w:val="20"/>
          <w:szCs w:val="20"/>
          <w:color w:val="auto"/>
        </w:rPr>
      </w:pPr>
    </w:p>
    <w:p>
      <w:pPr>
        <w:ind w:right="60" w:firstLine="509"/>
        <w:spacing w:after="0" w:line="302" w:lineRule="auto"/>
        <w:rPr>
          <w:sz w:val="20"/>
          <w:szCs w:val="20"/>
          <w:color w:val="auto"/>
        </w:rPr>
      </w:pPr>
      <w:r>
        <w:rPr>
          <w:rFonts w:ascii="Times New Roman" w:cs="Times New Roman" w:eastAsia="Times New Roman" w:hAnsi="Times New Roman"/>
          <w:sz w:val="16"/>
          <w:szCs w:val="16"/>
          <w:color w:val="auto"/>
        </w:rPr>
        <w:t>The following discussion and analysis of our financial condition and results of operations should be read in conjunction with our unaudited consolidated financial statements and related notes that appear in Item 1 of this Quarterly Report on Form 10-Q and with our audited consolidated financial statements and related notes for the year ended December 31, 2023 appearing in our Annual Report on Form 10-K filed with the SEC on March 12,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novel SCS injection platform, utilizing our proprietary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9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80010</wp:posOffset>
            </wp:positionV>
            <wp:extent cx="6002020" cy="3042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0202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Pipeline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CLS-AX (axitinib injectable suspension)</w:t>
      </w:r>
    </w:p>
    <w:p>
      <w:pPr>
        <w:spacing w:after="0" w:line="110"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TKI axitinib for suprachoroidal injection delivered via our SCS Microinjector. We are developing CLS-AX for administration to the SCS as a long-acting therapy for neovascular age-related macular degeneration (wet AMD), a retinal degenerative disease that causes a progressive loss of central vision.</w:t>
      </w:r>
    </w:p>
    <w:p>
      <w:pPr>
        <w:spacing w:after="0" w:line="75" w:lineRule="exact"/>
        <w:rPr>
          <w:sz w:val="20"/>
          <w:szCs w:val="20"/>
          <w:color w:val="auto"/>
        </w:rPr>
      </w:pPr>
    </w:p>
    <w:p>
      <w:pPr>
        <w:jc w:val="both"/>
        <w:ind w:right="440" w:firstLine="509"/>
        <w:spacing w:after="0" w:line="255" w:lineRule="auto"/>
        <w:rPr>
          <w:sz w:val="20"/>
          <w:szCs w:val="20"/>
          <w:color w:val="auto"/>
        </w:rPr>
      </w:pPr>
      <w:r>
        <w:rPr>
          <w:rFonts w:ascii="Times New Roman" w:cs="Times New Roman" w:eastAsia="Times New Roman" w:hAnsi="Times New Roman"/>
          <w:sz w:val="18"/>
          <w:szCs w:val="18"/>
          <w:color w:val="auto"/>
        </w:rPr>
        <w:t>In February 2023, we announced the final, positive results from the OASIS Phase 1/2a clinical trial in wet AMD. CLS-AX was well-tolerated and demonstrated a favorable safety profile across all cohorts. The full extension data for Cohorts 3 and 4 showed promising durability and signs of biological effect.</w:t>
      </w:r>
    </w:p>
    <w:p>
      <w:pPr>
        <w:spacing w:after="0" w:line="7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Based on the results from the OASIS trial, we are conducting a randomized, controlled, double-masked, Phase 2b clinical trial of CLS-AX for the treatment of wet AMD, which we refer to as ODYSSEY. ODYSSEY will compare CLS-AX suprachoroidal injection and aflibercept intravitreal injection over 36 weeks and is expected to have 60 total participants with a 2:1 randomization. The primary outcome measure is a mean change in best-corrected visual acuity from baseline to week 36. The secondary outcome measures are changes in visual function and ocular anatomy, the need for supplemental treatment and treatment burden as measured by total injections over the trial duration. We began enrolling participants in May 2023 and randomized our first participants in July 2023. On October 31, 2023, we completed the recruitment of participants. The final participant was randomized to the CLS-AX treatment or the aflibercept comparator arm in December 2023. We expect to report topline data late in the third quarter of 2024.</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11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We have an experienced team of scientists and researchers evaluating small molecules that may be utilized as potential treatment options for back of the eye diseases utilizing our SCS Microinjector for delivery in the suprachoroidal space.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Collaborations Pipeline</w:t>
      </w:r>
    </w:p>
    <w:p>
      <w:pPr>
        <w:spacing w:after="0" w:line="110" w:lineRule="exact"/>
        <w:rPr>
          <w:sz w:val="20"/>
          <w:szCs w:val="20"/>
          <w:color w:val="auto"/>
        </w:rPr>
      </w:pPr>
    </w:p>
    <w:p>
      <w:pPr>
        <w:jc w:val="both"/>
        <w:ind w:right="60" w:firstLine="509"/>
        <w:spacing w:after="0" w:line="248" w:lineRule="auto"/>
        <w:rPr>
          <w:sz w:val="20"/>
          <w:szCs w:val="20"/>
          <w:color w:val="auto"/>
        </w:rPr>
      </w:pPr>
      <w:r>
        <w:rPr>
          <w:rFonts w:ascii="Times New Roman" w:cs="Times New Roman" w:eastAsia="Times New Roman" w:hAnsi="Times New Roman"/>
          <w:sz w:val="18"/>
          <w:szCs w:val="18"/>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Health, Arctic Vision, REGENXBIO, Inc., Aura Biosciences and BioCryst Pharmaceuticals,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Commercial Product</w:t>
      </w:r>
    </w:p>
    <w:p>
      <w:pPr>
        <w:spacing w:after="0" w:line="117" w:lineRule="exact"/>
        <w:rPr>
          <w:sz w:val="20"/>
          <w:szCs w:val="20"/>
          <w:color w:val="auto"/>
        </w:rPr>
      </w:pPr>
    </w:p>
    <w:p>
      <w:pPr>
        <w:jc w:val="both"/>
        <w:ind w:right="380" w:firstLine="509"/>
        <w:spacing w:after="0" w:line="245" w:lineRule="auto"/>
        <w:rPr>
          <w:sz w:val="20"/>
          <w:szCs w:val="20"/>
          <w:color w:val="auto"/>
        </w:rPr>
      </w:pPr>
      <w:r>
        <w:rPr>
          <w:rFonts w:ascii="Times New Roman" w:cs="Times New Roman" w:eastAsia="Times New Roman" w:hAnsi="Times New Roman"/>
          <w:sz w:val="17"/>
          <w:szCs w:val="17"/>
          <w:color w:val="auto"/>
        </w:rPr>
        <w:t>XIPERE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Asia, not including Japan.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ISO and EC Certifications</w:t>
      </w:r>
    </w:p>
    <w:p>
      <w:pPr>
        <w:spacing w:after="0" w:line="110" w:lineRule="exact"/>
        <w:rPr>
          <w:sz w:val="20"/>
          <w:szCs w:val="20"/>
          <w:color w:val="auto"/>
        </w:rPr>
      </w:pPr>
    </w:p>
    <w:p>
      <w:pPr>
        <w:ind w:right="460" w:firstLine="509"/>
        <w:spacing w:after="0" w:line="255" w:lineRule="auto"/>
        <w:rPr>
          <w:sz w:val="20"/>
          <w:szCs w:val="20"/>
          <w:color w:val="auto"/>
        </w:rPr>
      </w:pPr>
      <w:r>
        <w:rPr>
          <w:rFonts w:ascii="Times New Roman" w:cs="Times New Roman" w:eastAsia="Times New Roman" w:hAnsi="Times New Roman"/>
          <w:sz w:val="18"/>
          <w:szCs w:val="18"/>
          <w:color w:val="auto"/>
        </w:rPr>
        <w:t>We have received the International Organization for Standardization (ISO) Certification EN ISO 13485:2016 for “The design, development, and manufacture of sterile piston syringes, needles, and associated accessories for the area of ophthalmology.” The certificate is available on our website. The information contained on our website is not incorporated by reference into this Quarterly Report on Form 10-Q.</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received European Community (EC) Certification for the SCS Microinjector from our Notified Body, Intertek Medical Notified Body, AB. The Certificate of Conformance with the Medical Device Regulation 2017/745, Annex IV was issued July 21, 2023, with the Intended Purpose of the SCS Microinjector as "delivery of triamcinolone acetonide injectable suspension, 40 mg/mL to the suprachoroidal space of the eye".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Outlook</w:t>
      </w:r>
    </w:p>
    <w:p>
      <w:pPr>
        <w:spacing w:after="0" w:line="110" w:lineRule="exact"/>
        <w:rPr>
          <w:sz w:val="20"/>
          <w:szCs w:val="20"/>
          <w:color w:val="auto"/>
        </w:rPr>
      </w:pPr>
    </w:p>
    <w:p>
      <w:pPr>
        <w:ind w:right="80" w:firstLine="550"/>
        <w:spacing w:after="0" w:line="282" w:lineRule="auto"/>
        <w:rPr>
          <w:sz w:val="20"/>
          <w:szCs w:val="20"/>
          <w:color w:val="auto"/>
        </w:rPr>
      </w:pPr>
      <w:r>
        <w:rPr>
          <w:rFonts w:ascii="Times New Roman" w:cs="Times New Roman" w:eastAsia="Times New Roman" w:hAnsi="Times New Roman"/>
          <w:sz w:val="16"/>
          <w:szCs w:val="16"/>
          <w:color w:val="auto"/>
        </w:rPr>
        <w:t>We have incurred net losses since our inception. In recent years, our operations have consisted primarily of conducting preclinical studies and clinical trials, raising capital and undertaking other research and development initiatives. To date, we primarily generated revenue through upfront payments and milestone payments related to license agreements and from collaboration agreements, and we have primarily financed our operations through public offerings and private placements of our equity securities, issuance of warrants, issuances of convertible promissory notes and loan agreements. As of June 30, 2024, we had an accumulated deficit of $340.3 million. We recorded net losses of $7.6 million and $9.1 million for the three months ended June 30, 2024 and 2023, respectively, and $19.4 million and $18.4 million for the six months ended June 30, 2024 and 2023,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5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the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2024 as a result of our Phase 2b clinical trial of CLS-AX and activities related to preparation for a Phase 3 clinical trial of CLS-AX, as well as continuing our pipeline development. We also will continue our efforts to discover, research and develop additional product candidates and obtain regulatory approvals in additional regions for XIPERE for the treatment of macular edema associated with uveitis.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10"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the Annual Report on Form 10-K filed with the SEC on March 12,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11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related to the sales of our SCS Microinjector kits to our licensees for approved products.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2" w:lineRule="exact"/>
        <w:rPr>
          <w:sz w:val="20"/>
          <w:szCs w:val="20"/>
          <w:color w:val="auto"/>
        </w:rPr>
      </w:pPr>
    </w:p>
    <w:p>
      <w:pPr>
        <w:ind w:right="680"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65" w:lineRule="exact"/>
        <w:rPr>
          <w:sz w:val="20"/>
          <w:szCs w:val="20"/>
          <w:color w:val="auto"/>
        </w:rPr>
      </w:pPr>
    </w:p>
    <w:p>
      <w:pPr>
        <w:ind w:left="1020" w:hanging="505"/>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travel and share-based compensation expense for research and development personnel;</w:t>
      </w:r>
    </w:p>
    <w:p>
      <w:pPr>
        <w:spacing w:after="0" w:line="131" w:lineRule="exact"/>
        <w:rPr>
          <w:rFonts w:ascii="Times New Roman" w:cs="Times New Roman" w:eastAsia="Times New Roman" w:hAnsi="Times New Roman"/>
          <w:sz w:val="16"/>
          <w:szCs w:val="16"/>
          <w:color w:val="auto"/>
        </w:rPr>
      </w:pPr>
    </w:p>
    <w:p>
      <w:pPr>
        <w:ind w:left="1020" w:right="680" w:hanging="505"/>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4"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clinical trials;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08" w:lineRule="exact"/>
        <w:rPr>
          <w:rFonts w:ascii="Times New Roman" w:cs="Times New Roman" w:eastAsia="Times New Roman" w:hAnsi="Times New Roman"/>
          <w:sz w:val="18"/>
          <w:szCs w:val="18"/>
          <w:color w:val="auto"/>
        </w:rPr>
      </w:pPr>
    </w:p>
    <w:p>
      <w:pPr>
        <w:ind w:left="1020" w:right="220" w:hanging="505"/>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64"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13" w:lineRule="exact"/>
        <w:rPr>
          <w:sz w:val="20"/>
          <w:szCs w:val="20"/>
          <w:color w:val="auto"/>
        </w:rPr>
      </w:pPr>
    </w:p>
    <w:p>
      <w:pPr>
        <w:ind w:right="80" w:firstLine="509"/>
        <w:spacing w:after="0" w:line="285" w:lineRule="auto"/>
        <w:rPr>
          <w:sz w:val="20"/>
          <w:szCs w:val="20"/>
          <w:color w:val="auto"/>
        </w:rPr>
      </w:pPr>
      <w:r>
        <w:rPr>
          <w:rFonts w:ascii="Times New Roman" w:cs="Times New Roman" w:eastAsia="Times New Roman" w:hAnsi="Times New Roman"/>
          <w:sz w:val="16"/>
          <w:szCs w:val="16"/>
          <w:color w:val="auto"/>
        </w:rPr>
        <w:t>We expense research and development costs to operations as incurred. These costs include preclinical activities, such as manufacturing and stability and toxicology studies, that are supportive of the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54" w:lineRule="exact"/>
        <w:rPr>
          <w:sz w:val="20"/>
          <w:szCs w:val="20"/>
          <w:color w:val="auto"/>
        </w:rPr>
      </w:pPr>
    </w:p>
    <w:p>
      <w:pPr>
        <w:ind w:right="780" w:firstLine="509"/>
        <w:spacing w:after="0" w:line="267" w:lineRule="auto"/>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and six months ended June 30, 2024 and 2023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140" w:type="dxa"/>
            <w:vAlign w:val="bottom"/>
            <w:gridSpan w:val="4"/>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7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XIPERE (uveitis program)</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0"/>
                <w:szCs w:val="20"/>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CLS-AX (wet AMD program)</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1,763</w:t>
            </w: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1,977</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20"/>
                <w:szCs w:val="20"/>
                <w:color w:val="auto"/>
              </w:rPr>
            </w:pPr>
          </w:p>
        </w:tc>
      </w:tr>
      <w:tr>
        <w:trPr>
          <w:trHeight w:val="234"/>
        </w:trPr>
        <w:tc>
          <w:tcPr>
            <w:tcW w:w="5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1,786</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2,025</w:t>
            </w: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FF0FC"/>
          </w:tcPr>
          <w:p>
            <w:pPr>
              <w:spacing w:after="0"/>
              <w:rPr>
                <w:sz w:val="20"/>
                <w:szCs w:val="20"/>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2,817</w:t>
            </w: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2,923</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20"/>
                <w:szCs w:val="20"/>
                <w:color w:val="auto"/>
              </w:rPr>
            </w:pPr>
          </w:p>
        </w:tc>
      </w:tr>
      <w:tr>
        <w:trPr>
          <w:trHeight w:val="26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40" w:type="dxa"/>
            <w:vAlign w:val="bottom"/>
            <w:tcBorders>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4,603</w:t>
            </w:r>
          </w:p>
        </w:tc>
        <w:tc>
          <w:tcPr>
            <w:tcW w:w="26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4,948</w:t>
            </w:r>
          </w:p>
        </w:tc>
        <w:tc>
          <w:tcPr>
            <w:tcW w:w="3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-24130</wp:posOffset>
            </wp:positionV>
            <wp:extent cx="749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49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-24130</wp:posOffset>
            </wp:positionV>
            <wp:extent cx="666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-7620</wp:posOffset>
            </wp:positionV>
            <wp:extent cx="666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-24130</wp:posOffset>
            </wp:positionV>
            <wp:extent cx="666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-7620</wp:posOffset>
            </wp:positionV>
            <wp:extent cx="666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67" w:lineRule="exact"/>
        <w:rPr>
          <w:sz w:val="20"/>
          <w:szCs w:val="20"/>
          <w:color w:val="auto"/>
        </w:rPr>
      </w:pPr>
    </w:p>
    <w:p>
      <w:pPr>
        <w:jc w:val="both"/>
        <w:ind w:right="140" w:firstLine="509"/>
        <w:spacing w:after="0" w:line="249"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82"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6"/>
          <w:szCs w:val="16"/>
          <w:color w:val="auto"/>
        </w:rPr>
        <w:t>The duration, costs and timing of clinical trials and development of our product candidates will depend on a variety of factors that may include, among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90" w:lineRule="exact"/>
        <w:rPr>
          <w:sz w:val="20"/>
          <w:szCs w:val="20"/>
          <w:color w:val="auto"/>
        </w:rPr>
      </w:pPr>
    </w:p>
    <w:p>
      <w:pPr>
        <w:ind w:left="1020" w:right="540" w:hanging="506"/>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64"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10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12" w:lineRule="exact"/>
        <w:rPr>
          <w:sz w:val="20"/>
          <w:szCs w:val="20"/>
          <w:color w:val="auto"/>
        </w:rPr>
      </w:pPr>
    </w:p>
    <w:p>
      <w:pPr>
        <w:ind w:right="260" w:firstLine="50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Interest income consists of the accrued interest and interest income earned on our cash and cash equivalents. Interest income is not considered significant to our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Other income, net consists of expenses allocated to the warrants issued in connection with our registered direct offering in February 2024 and the change in fair value during the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12"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10" w:lineRule="exact"/>
        <w:rPr>
          <w:sz w:val="20"/>
          <w:szCs w:val="20"/>
          <w:color w:val="auto"/>
        </w:rPr>
      </w:pPr>
    </w:p>
    <w:p>
      <w:pPr>
        <w:ind w:right="40" w:firstLine="509"/>
        <w:spacing w:after="0" w:line="276"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consolidated financial statements, which have been prepared in accordance with U.S. generally accepted accounting principles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ind w:right="100" w:firstLine="509"/>
        <w:spacing w:after="0" w:line="24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consolidated financial condition and results of operations, as well as the specific manner in which we apply those principles. During the six months ended June 30, 2024, there were no significant changes to our critical accounting policies disclosed in our audited consolidated financial statements for the year ended December 31, 2023, which are included in our Annual Report on Form 10-K, as filed with the SEC on March 12, 2024, other than the warrant liabilities discussed in Note 2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2024 and 2023</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June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3200" w:type="dxa"/>
            <w:vAlign w:val="bottom"/>
            <w:gridSpan w:val="6"/>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214"/>
        </w:trPr>
        <w:tc>
          <w:tcPr>
            <w:tcW w:w="6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(928 )</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4"/>
              </w:rPr>
              <w:t>(7,590 )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(7,270 )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860" w:type="dxa"/>
            <w:vAlign w:val="bottom"/>
          </w:tcPr>
          <w:p>
            <w:pPr>
              <w:spacing w:after="0"/>
              <w:rPr>
                <w:sz w:val="17"/>
                <w:szCs w:val="17"/>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4"/>
              </w:rPr>
              <w:t>(2,340 )</w:t>
            </w:r>
          </w:p>
        </w:tc>
        <w:tc>
          <w:tcPr>
            <w:tcW w:w="140" w:type="dxa"/>
            <w:vAlign w:val="bottom"/>
          </w:tcPr>
          <w:p>
            <w:pPr>
              <w:spacing w:after="0"/>
              <w:rPr>
                <w:sz w:val="17"/>
                <w:szCs w:val="17"/>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(2,294 )</w:t>
            </w:r>
          </w:p>
        </w:tc>
        <w:tc>
          <w:tcPr>
            <w:tcW w:w="26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8"/>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8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4"/>
              </w:rPr>
              <w:t>(7,594 )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(9,106 )</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-1075055</wp:posOffset>
            </wp:positionV>
            <wp:extent cx="74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-1075055</wp:posOffset>
            </wp:positionV>
            <wp:extent cx="666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-1075055</wp:posOffset>
            </wp:positionV>
            <wp:extent cx="666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-24130</wp:posOffset>
            </wp:positionV>
            <wp:extent cx="749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-7620</wp:posOffset>
            </wp:positionV>
            <wp:extent cx="749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-24130</wp:posOffset>
            </wp:positionV>
            <wp:extent cx="666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-7620</wp:posOffset>
            </wp:positionV>
            <wp:extent cx="666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65" w:lineRule="exact"/>
        <w:rPr>
          <w:sz w:val="20"/>
          <w:szCs w:val="20"/>
          <w:color w:val="auto"/>
        </w:rPr>
      </w:pPr>
    </w:p>
    <w:p>
      <w:pPr>
        <w:ind w:right="60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three months ended June 30, 2024 and 2023, we recognized $90,000 and $1.0 million, respectively,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agreements, which includes revenue for services and the sales of our SCS Microinjector kits to our licensees.</w:t>
      </w:r>
    </w:p>
    <w:p>
      <w:pPr>
        <w:spacing w:after="0" w:line="59" w:lineRule="exact"/>
        <w:rPr>
          <w:sz w:val="20"/>
          <w:szCs w:val="20"/>
          <w:color w:val="auto"/>
        </w:rPr>
      </w:pPr>
    </w:p>
    <w:p>
      <w:pPr>
        <w:ind w:right="84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In the three months ended June 30, 2023, we recognized $0.2 million in cost of goods sold related to the sales of our SCS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Microinjector kits to our licensees of approved products.</w:t>
      </w:r>
    </w:p>
    <w:p>
      <w:pPr>
        <w:spacing w:after="0" w:line="59" w:lineRule="exact"/>
        <w:rPr>
          <w:sz w:val="20"/>
          <w:szCs w:val="20"/>
          <w:color w:val="auto"/>
        </w:rPr>
      </w:pPr>
    </w:p>
    <w:p>
      <w:pPr>
        <w:ind w:right="120" w:firstLine="509"/>
        <w:spacing w:after="0" w:line="293" w:lineRule="auto"/>
        <w:rPr>
          <w:sz w:val="20"/>
          <w:szCs w:val="20"/>
          <w:color w:val="auto"/>
        </w:rPr>
      </w:pP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Research and development expenses decreased by $0.3 million from $4.9 million for the three months ended June 30,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$4.6 million for the three months ended June 30, 2024. This decrease was primarily due to a $0.2 million decrease in costs related to the CLS-AX program, which includes costs for ODYSSEY, our Phase 2b clinical trial, a $0.2 million decrease in costs related to development of the SCS Microinjector and a $0.1 million decrease in costs in our preclinical programs. This is partially offset by a $0.2 million increase in recruiting and employee related costs.</w:t>
      </w:r>
    </w:p>
    <w:p>
      <w:pPr>
        <w:spacing w:after="0" w:line="47"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were $3.1 million for each of the three months ended June 30, 2024 and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$0.3 million decrease in professional fees offset by a $0.3 million increase in consulting and investor related fees.</w:t>
      </w:r>
    </w:p>
    <w:p>
      <w:pPr>
        <w:spacing w:after="0" w:line="59" w:lineRule="exact"/>
        <w:rPr>
          <w:sz w:val="20"/>
          <w:szCs w:val="20"/>
          <w:color w:val="auto"/>
        </w:rPr>
      </w:pPr>
    </w:p>
    <w:p>
      <w:pPr>
        <w:ind w:right="42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by $0.1 million from $0.5 million for the three months ended June 30, 2023 to $0.4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decrease is due to the lower balance of our cash, cash equivalents and short-term investments.</w:t>
      </w:r>
    </w:p>
    <w:p>
      <w:pPr>
        <w:spacing w:after="0" w:line="59"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$1.9 million for the three months ended June 30, 2024 and was due to the decrease in fair value of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from the March 31, 2024 valuation date.</w:t>
      </w:r>
    </w:p>
    <w:p>
      <w:pPr>
        <w:spacing w:after="0" w:line="59" w:lineRule="exact"/>
        <w:rPr>
          <w:sz w:val="20"/>
          <w:szCs w:val="20"/>
          <w:color w:val="auto"/>
        </w:rPr>
      </w:pPr>
    </w:p>
    <w:p>
      <w:pPr>
        <w:jc w:val="both"/>
        <w:ind w:right="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Non-cash interest expense on liability related to the sales of future royalties</w:t>
      </w:r>
      <w:r>
        <w:rPr>
          <w:rFonts w:ascii="Times New Roman" w:cs="Times New Roman" w:eastAsia="Times New Roman" w:hAnsi="Times New Roman"/>
          <w:sz w:val="18"/>
          <w:szCs w:val="18"/>
          <w:color w:val="auto"/>
        </w:rPr>
        <w:t>. Non-cash interest expense on liability related to the sales of future royalties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$2.3 million for each of the three months ended June 30, 2024 and 2023 and was comprised of imputed interest on the liability related to the sales of future royalties and the amortization of the associated issuance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5"/>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214"/>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29"/>
        </w:trPr>
        <w:tc>
          <w:tcPr>
            <w:tcW w:w="66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(15,799 )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(14,875 )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(924 )</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300" w:type="dxa"/>
            <w:vAlign w:val="bottom"/>
          </w:tcPr>
          <w:p>
            <w:pPr>
              <w:spacing w:after="0"/>
              <w:rPr>
                <w:sz w:val="17"/>
                <w:szCs w:val="17"/>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(4,743 )</w:t>
            </w:r>
          </w:p>
        </w:tc>
        <w:tc>
          <w:tcPr>
            <w:tcW w:w="140" w:type="dxa"/>
            <w:vAlign w:val="bottom"/>
          </w:tcPr>
          <w:p>
            <w:pPr>
              <w:spacing w:after="0"/>
              <w:rPr>
                <w:sz w:val="17"/>
                <w:szCs w:val="17"/>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(4,461 )</w:t>
            </w:r>
          </w:p>
        </w:tc>
        <w:tc>
          <w:tcPr>
            <w:tcW w:w="26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28"/>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(18,386 )</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-1075055</wp:posOffset>
            </wp:positionV>
            <wp:extent cx="749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-1075055</wp:posOffset>
            </wp:positionV>
            <wp:extent cx="666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-1075055</wp:posOffset>
            </wp:positionV>
            <wp:extent cx="666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-24130</wp:posOffset>
            </wp:positionV>
            <wp:extent cx="749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-7620</wp:posOffset>
            </wp:positionV>
            <wp:extent cx="749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-24130</wp:posOffset>
            </wp:positionV>
            <wp:extent cx="666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-7620</wp:posOffset>
            </wp:positionV>
            <wp:extent cx="666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65" w:lineRule="exact"/>
        <w:rPr>
          <w:sz w:val="20"/>
          <w:szCs w:val="20"/>
          <w:color w:val="auto"/>
        </w:rPr>
      </w:pPr>
    </w:p>
    <w:p>
      <w:pPr>
        <w:ind w:right="46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six months ended June 30, 2024 and 2023, we recognized $0.3 million and $1.0 million, respectively,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agreements, which includes revenue for services and the sales of our SCS Microinjector kits to our licensees.</w:t>
      </w:r>
    </w:p>
    <w:p>
      <w:pPr>
        <w:spacing w:after="0" w:line="59" w:lineRule="exact"/>
        <w:rPr>
          <w:sz w:val="20"/>
          <w:szCs w:val="20"/>
          <w:color w:val="auto"/>
        </w:rPr>
      </w:pPr>
    </w:p>
    <w:p>
      <w:pPr>
        <w:ind w:right="100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In the six months ended June 30, 2023, we recognized $0.2 million in cost of goods sold related to the sales of our SCS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Microinjector kits to our licensees.</w:t>
      </w:r>
    </w:p>
    <w:p>
      <w:pPr>
        <w:spacing w:after="0" w:line="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increased by $0.8 million from $9.4 million for the six months ended June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 million for the six months ended June 30, 2024. This increase was primarily due to a $0.7 million increase in costs related to the CLS-AX program, which includes costs for ODYSSEY, our Phase 2b clinical trial. In addition, there was a $0.4 million research and development tax credit received in the prior year. This is partially offset by a $0.7 million decrease in costs related to our preclinical programs.</w:t>
      </w:r>
    </w:p>
    <w:p>
      <w:pPr>
        <w:spacing w:after="0" w:line="76"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$0.4 million, from $6.3 million for the six months ended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$5.9 million for the six months ended June 30, 2024. This was primarily attributable to a $0.5 million decrease in professional fees partially offset by a $0.2 million increase in consulting and investor-related fees.</w:t>
      </w:r>
    </w:p>
    <w:p>
      <w:pPr>
        <w:spacing w:after="0" w:line="7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six months ended June 30, 2024 and 2023 was comprised of interest income from cash and cash equivalents.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due to the lower balance of our cash, cash equivalents and short-term investments.</w:t>
      </w:r>
    </w:p>
    <w:p>
      <w:pPr>
        <w:spacing w:after="0" w:line="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$0.4 million for the six months ended June 30, 2024 and was due to the decrease in fair value of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$1.2 million from February 9, 2024, the issuance date of the warrants, to June 30, 2024 partially offset by $0.8 million of direct registered offering costs that were allocated to the warrants.</w:t>
      </w:r>
    </w:p>
    <w:p>
      <w:pPr>
        <w:spacing w:after="0" w:line="73"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Non-cash interest expense on liability related to the sales of future royalties</w:t>
      </w:r>
      <w:r>
        <w:rPr>
          <w:rFonts w:ascii="Times New Roman" w:cs="Times New Roman" w:eastAsia="Times New Roman" w:hAnsi="Times New Roman"/>
          <w:sz w:val="18"/>
          <w:szCs w:val="18"/>
          <w:color w:val="auto"/>
        </w:rPr>
        <w:t>. Non-cash interest expense on liability related to the sales of future royalties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$4.7 million and $4.5 million for the six months ended June 30, 2024 and 2023, respectively, and was comprised of imputed interest on the liability related to the sales of future royalties and the amortization of the associated issuance costs.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2"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issuance of warrants and the issuance of long-term debt. As of June 30, 2024, we had cash, cash equivalents and short-term investments of $29.4 million. We invest any cash in excess of our immediate requirements primarily with a view to liquidity and capital preservation. As of June 30, 2024, our funds were held in cash, money market funds and treasury bills.</w:t>
      </w:r>
    </w:p>
    <w:p>
      <w:pPr>
        <w:spacing w:after="0" w:line="79"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On February 6, 2024, we entered into the Purchase Agreement, pursuant to which we issued and sold, in a registered direct offering: (i) an aggregate of 11,111,111 shares of our common stock; and (ii) 11,111,111 Warrants. The combined purchase price of each share and accompanying Warrant was $1.35. The exercise price for the Warrants is $1.62 per share. The Warrants will be exercisable from August 9, 2024 and will expire on August 9, 2029. The net proceeds to us from the Registered Direct Offering were $13.9 million.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4" w:name="page25"/>
    <w:bookmarkEnd w:id="24"/>
    <w:p>
      <w:pPr>
        <w:ind w:firstLine="509"/>
        <w:spacing w:after="0" w:line="279" w:lineRule="auto"/>
        <w:rPr>
          <w:sz w:val="20"/>
          <w:szCs w:val="20"/>
          <w:color w:val="auto"/>
        </w:rPr>
      </w:pPr>
      <w:r>
        <w:rPr>
          <w:rFonts w:ascii="Times New Roman" w:cs="Times New Roman" w:eastAsia="Times New Roman" w:hAnsi="Times New Roman"/>
          <w:sz w:val="16"/>
          <w:szCs w:val="16"/>
          <w:color w:val="auto"/>
        </w:rPr>
        <w:t>On January 31, 2024, or the Amendment Effective Date, we entered into a fourth amendment to the license agreement, or the Emory License Agreement, with Emory University and Georgia Tech Research Corporation, or,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2026, $400,000 for 2027 and $0.5 million for 2028. We paid the Maintenance Fee for 2023 in February 2024. The remaining annual Maintenance Fee payments are due on October 1st of each year.</w:t>
      </w:r>
    </w:p>
    <w:p>
      <w:pPr>
        <w:spacing w:after="0" w:line="273"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On December 22, 2023, we, through our wholly owned subsidiary Royalty Sub, entered into a letter agreement, or the Letter Agreement, with HCR and HCR Clearside SPV, LLC (as assignee of HCR Collateral Management, LLC), or the Agent, amending that certain Purchase and Sale Agreement, dated as of August 8, 2022, by and among Royalty Sub, HCR and Agent.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w:t>
      </w:r>
    </w:p>
    <w:p>
      <w:pPr>
        <w:spacing w:after="0" w:line="8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November 2023, we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 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in Note 5 to our consolidated financial statements included in this Quarterly Report on Form 10-Q.</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May 2023, we terminated our at-the-market sales agreement with Cowen and Company, LLC (the "ATM Agreement"). During the six months ended June 30, 2023, prior to the termination of the ATM Agreement, we sold 515,959 shares of our common stock for net proceeds of $0.7 million under the ATM Agreement.</w:t>
      </w:r>
    </w:p>
    <w:p>
      <w:pPr>
        <w:spacing w:after="0" w:line="82" w:lineRule="exact"/>
        <w:rPr>
          <w:sz w:val="20"/>
          <w:szCs w:val="20"/>
          <w:color w:val="auto"/>
        </w:rPr>
      </w:pPr>
    </w:p>
    <w:p>
      <w:pPr>
        <w:ind w:right="40" w:firstLine="562"/>
        <w:spacing w:after="0" w:line="236" w:lineRule="auto"/>
        <w:rPr>
          <w:sz w:val="20"/>
          <w:szCs w:val="20"/>
          <w:color w:val="auto"/>
        </w:rPr>
      </w:pPr>
      <w:r>
        <w:rPr>
          <w:rFonts w:ascii="Times New Roman" w:cs="Times New Roman" w:eastAsia="Times New Roman" w:hAnsi="Times New Roman"/>
          <w:sz w:val="18"/>
          <w:szCs w:val="18"/>
          <w:color w:val="auto"/>
        </w:rPr>
        <w:t>In May 2023, we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or Cantor, under which we may offer and sell, from time to time at our sole discretion, shares of our common stock, having an aggregate offering price of up to $50.0 million through Cantor as our sales agent. During the six months ended June 30, 2024, we sold 339,912 shares of our common stock for net proceeds of $0.5 million under the Sales Agreement. During the six months ended June 30, 2023, we sold 26,316 shares of our common stock for net proceeds of $32,000 under the Sales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12"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5 to our consolidated financial statements included in this Quarterly Report on Form 10-Q.</w:t>
      </w:r>
    </w:p>
    <w:p>
      <w:pPr>
        <w:spacing w:after="0" w:line="75"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20" w:hanging="50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8" w:lineRule="exact"/>
        <w:rPr>
          <w:rFonts w:ascii="Times New Roman" w:cs="Times New Roman" w:eastAsia="Times New Roman" w:hAnsi="Times New Roman"/>
          <w:sz w:val="18"/>
          <w:szCs w:val="18"/>
          <w:color w:val="auto"/>
        </w:rPr>
      </w:pPr>
    </w:p>
    <w:p>
      <w:pPr>
        <w:ind w:left="5540" w:right="1900" w:hanging="5025"/>
        <w:spacing w:after="0" w:line="267" w:lineRule="auto"/>
        <w:tabs>
          <w:tab w:leader="none" w:pos="10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5" w:name="page26"/>
    <w:bookmarkEnd w:id="25"/>
    <w:p>
      <w:pPr>
        <w:ind w:left="1020" w:hanging="50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08"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5"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with Cantor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91"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12" w:lineRule="exact"/>
        <w:rPr>
          <w:sz w:val="20"/>
          <w:szCs w:val="20"/>
          <w:color w:val="auto"/>
        </w:rPr>
      </w:pPr>
    </w:p>
    <w:p>
      <w:pPr>
        <w:ind w:right="200" w:firstLine="509"/>
        <w:spacing w:after="0" w:line="249"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82"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cash, cash equivalents and short-term investments as of the filing date, August 12, 2024 will enable us to fund our planned operating expenses and capital expenditure requirements into the third quarter of 2025. We have based this estimate on assumptions that may prove to be wrong, and we could exhaust our capital resources sooner than we expect. We will require additional capital in order to complete the clinical development of CLS-AX.</w:t>
      </w:r>
    </w:p>
    <w:p>
      <w:pPr>
        <w:spacing w:after="0" w:line="79"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(used in) provided by our operating, investing and financing activities (in thousands):</w:t>
      </w:r>
    </w:p>
    <w:p>
      <w:pPr>
        <w:spacing w:after="0" w:line="12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5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520" w:type="dxa"/>
            <w:vAlign w:val="bottom"/>
            <w:gridSpan w:val="2"/>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(13,531 )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(12,555 )</w:t>
            </w:r>
          </w:p>
        </w:tc>
      </w:tr>
      <w:tr>
        <w:trPr>
          <w:trHeight w:val="241"/>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5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(11,494 )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(1,212 )</w:t>
            </w:r>
          </w:p>
        </w:tc>
      </w:tr>
      <w:tr>
        <w:trPr>
          <w:trHeight w:val="232"/>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6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520" w:type="dxa"/>
            <w:vAlign w:val="bottom"/>
            <w:gridSpan w:val="2"/>
            <w:shd w:val="clear" w:color="auto" w:fill="CFF0FC"/>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(10,682 )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(13,413 )</w:t>
            </w:r>
          </w:p>
        </w:tc>
      </w:tr>
      <w:tr>
        <w:trPr>
          <w:trHeight w:val="403"/>
        </w:trPr>
        <w:tc>
          <w:tcPr>
            <w:tcW w:w="4180" w:type="dxa"/>
            <w:vAlign w:val="bottom"/>
            <w:tcBorders>
              <w:top w:val="single" w:sz="8" w:color="CFF0FC"/>
            </w:tcBorders>
          </w:tcPr>
          <w:p>
            <w:pPr>
              <w:spacing w:after="0"/>
              <w:rPr>
                <w:sz w:val="24"/>
                <w:szCs w:val="24"/>
                <w:color w:val="auto"/>
              </w:rPr>
            </w:pPr>
          </w:p>
        </w:tc>
        <w:tc>
          <w:tcPr>
            <w:tcW w:w="3540" w:type="dxa"/>
            <w:vAlign w:val="bottom"/>
            <w:tcBorders>
              <w:top w:val="single" w:sz="8" w:color="CFF0FC"/>
            </w:tcBorders>
          </w:tcPr>
          <w:p>
            <w:pPr>
              <w:jc w:val="right"/>
              <w:ind w:right="1912"/>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2"/>
        </w:trPr>
        <w:tc>
          <w:tcPr>
            <w:tcW w:w="41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-774700</wp:posOffset>
            </wp:positionV>
            <wp:extent cx="749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-758190</wp:posOffset>
            </wp:positionV>
            <wp:extent cx="749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-774700</wp:posOffset>
            </wp:positionV>
            <wp:extent cx="666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-758190</wp:posOffset>
            </wp:positionV>
            <wp:extent cx="666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6" w:name="page27"/>
    <w:bookmarkEnd w:id="26"/>
    <w:p>
      <w:pPr>
        <w:ind w:right="40" w:firstLine="509"/>
        <w:spacing w:after="0" w:line="249" w:lineRule="auto"/>
        <w:rPr>
          <w:sz w:val="20"/>
          <w:szCs w:val="20"/>
          <w:color w:val="auto"/>
        </w:rPr>
      </w:pPr>
      <w:r>
        <w:rPr>
          <w:rFonts w:ascii="Times New Roman" w:cs="Times New Roman" w:eastAsia="Times New Roman" w:hAnsi="Times New Roman"/>
          <w:sz w:val="18"/>
          <w:szCs w:val="18"/>
          <w:color w:val="auto"/>
        </w:rPr>
        <w:t>During the six months ended June 30, 2024 and 2023, our operating activities used net cash of $13.5 million and $12.6 million, respectively. The net cash used in operating activities for the six months ended June 30, 2024 was due to ongoing research and development expenses to develop our pipeline and ongoing costs for ODYSSEY, as well as the supporting general and administrative costs. The net cash used in operating activities for the six months ended June 30, 2023 was due to ongoing research and development expenses to develop our pipeline and startup costs for ODYSSEY, as well as the supporting general and administrative costs.</w:t>
      </w:r>
    </w:p>
    <w:p>
      <w:pPr>
        <w:spacing w:after="0" w:line="8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During the six months ended June 30, 2024 and 2023, our investing activities used net cash of $11.5 million and $1.2 million, respectively. The net cash used in investing activities for the six months ended June 30, 2024 consisted of $11.0 million for the purchase of short-term investments and $0.5 million for the acquisition of property and equipment. The net cash used in investing activities for the six months ended June 30, 2023 consisted of $1.2 million for the acquisition of property and equipment.</w:t>
      </w:r>
    </w:p>
    <w:p>
      <w:pPr>
        <w:spacing w:after="0" w:line="7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8"/>
          <w:szCs w:val="18"/>
          <w:color w:val="auto"/>
        </w:rPr>
        <w:t>During the six months ended June 30, 2024 and 2023, our financing activities provided net cash of $14.3 million and $0.4 million, respectively. The cash provided by financing activities for the six months ended June 30, 2024 consisted primarily of $13.9 million of net proceeds from the sale of shares of our common stock in a registered direct offering and $0.5 million of net proceeds from the sale of shares of our common stock under the Sales Agreement. The cash provided by financing activities for the six months ended June 30, 2023 consisted primarily of $0.3 million of proceeds received from the sale of our common stock under the ATM Agreement partially offset by a payment of $0.4 million related to the Purchase and Sale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are a smaller reporting company as defined by Rule 12b-2 of the Exchange Act and are not required to provide the information required under this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2"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6"/>
          <w:szCs w:val="16"/>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5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4" w:lineRule="exact"/>
        <w:rPr>
          <w:sz w:val="20"/>
          <w:szCs w:val="20"/>
          <w:color w:val="auto"/>
        </w:rPr>
      </w:pPr>
    </w:p>
    <w:p>
      <w:pPr>
        <w:jc w:val="both"/>
        <w:ind w:right="20" w:firstLine="509"/>
        <w:spacing w:after="0" w:line="30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2"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2024 that has materially affected, or is reasonably likely to materially affect, our internal control over financial reporting. We have not experienced any material impact to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456565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0" w:lineRule="exact"/>
        <w:rPr>
          <w:sz w:val="20"/>
          <w:szCs w:val="20"/>
          <w:color w:val="auto"/>
        </w:rPr>
      </w:pPr>
    </w:p>
    <w:p>
      <w:pPr>
        <w:jc w:val="both"/>
        <w:ind w:right="3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0" w:lineRule="exact"/>
        <w:rPr>
          <w:sz w:val="20"/>
          <w:szCs w:val="20"/>
          <w:color w:val="auto"/>
        </w:rPr>
      </w:pPr>
    </w:p>
    <w:p>
      <w:pPr>
        <w:ind w:right="220" w:firstLine="509"/>
        <w:spacing w:after="0" w:line="25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2023, filed with the Securities and Exchange Commission on March 12,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have been prepared assuming that we will continue as a going concern.</w:t>
      </w:r>
    </w:p>
    <w:p>
      <w:pPr>
        <w:spacing w:after="0" w:line="1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historical financial statements have been prepared under the assumption that we will continue as a going concern. As of June 30, 2024, we had an accumulated deficit of $340.3 million and we had cash, cash equivalents and short-term investments of $29.4 million. These conditions raise substantial doubt about the Company’s ability to continue as a going concern within one year after the date the financial statements are issued. Based on its current plans and forecasted expenses, the Company expects that its cash, cash equivalents and short-term investments as of the filing date, August 12, 2024, will enable the Company to fund its planned operating expenses and capital expenditure requirements into the third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81" w:lineRule="exact"/>
        <w:rPr>
          <w:sz w:val="20"/>
          <w:szCs w:val="20"/>
          <w:color w:val="auto"/>
        </w:rPr>
      </w:pPr>
    </w:p>
    <w:p>
      <w:pPr>
        <w:jc w:val="both"/>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perception of our ability to continue as a going concern may make it more difficult for us to obtain financing for the continuation of our operations and could result in the loss of confidence by investors and employees. Additionally, if we are unable to continue as a going concern, our stockholders may lose some or all of their investment in the Company.</w:t>
      </w:r>
    </w:p>
    <w:p>
      <w:pPr>
        <w:spacing w:after="0" w:line="75"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color w:val="auto"/>
        </w:rPr>
        <w:t>Additional financing may not be available to us when needed or, if available, it may not be obtained on commercially reasonable terms. If we are not able to obtain the necessary additional financing on a timely or commercially reasonable basis, we will be forced to delay or scale down some or all of our development activities (or perhaps even cease the operation of our business). Our access to additional capital may be negatively affected by future recessions, downturns in the economy or the markets as a whole, or inflation.</w:t>
      </w:r>
    </w:p>
    <w:p>
      <w:pPr>
        <w:spacing w:after="0" w:line="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no commitments for any additional financing and such commitments may not be obtained on favorable terms, if at all. Any additional equity financing will be dilutive to our stockholders, and debt financing, if available, may involve restrictive covenants with respect to dividends, raising future capital, and other financial and operational matters. If we are unable to obtain additional financing as needed, we may be required to reduce the scope of our operations or our anticipated expansion, which could have a material adverse effect on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0" w:lineRule="exact"/>
        <w:rPr>
          <w:sz w:val="20"/>
          <w:szCs w:val="20"/>
          <w:color w:val="auto"/>
        </w:rPr>
      </w:pPr>
    </w:p>
    <w:p>
      <w:pPr>
        <w:ind w:right="360" w:firstLine="509"/>
        <w:spacing w:after="0" w:line="331" w:lineRule="auto"/>
        <w:rPr>
          <w:sz w:val="20"/>
          <w:szCs w:val="20"/>
          <w:color w:val="auto"/>
        </w:rPr>
      </w:pPr>
      <w:r>
        <w:rPr>
          <w:rFonts w:ascii="Times New Roman" w:cs="Times New Roman" w:eastAsia="Times New Roman" w:hAnsi="Times New Roman"/>
          <w:sz w:val="16"/>
          <w:szCs w:val="16"/>
          <w:color w:val="auto"/>
        </w:rPr>
        <w:t>During the quarter ended June 30, 2024, none of our directors or officers (as defined in Rule 16a-1(f) under the Exchange Act) adopted, modified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2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bottom w:val="single" w:sz="8" w:color="0000FF"/>
            </w:tcBorders>
            <w:gridSpan w:val="13"/>
          </w:tcPr>
          <w:p>
            <w:pPr>
              <w:spacing w:after="0"/>
              <w:rPr>
                <w:rFonts w:ascii="Times New Roman" w:cs="Times New Roman" w:eastAsia="Times New Roman" w:hAnsi="Times New Roman"/>
                <w:sz w:val="18"/>
                <w:szCs w:val="18"/>
                <w:color w:val="0000FF"/>
                <w:w w:val="97"/>
              </w:rPr>
            </w:pPr>
            <w:hyperlink r:id="rId207">
              <w:r>
                <w:rPr>
                  <w:rFonts w:ascii="Times New Roman" w:cs="Times New Roman" w:eastAsia="Times New Roman" w:hAnsi="Times New Roman"/>
                  <w:sz w:val="18"/>
                  <w:szCs w:val="18"/>
                  <w:color w:val="0000FF"/>
                  <w:w w:val="97"/>
                </w:rPr>
                <w:t>Amended and Restated Certificate of Incorporation (incorporated herein by reference to Exhibit 3.1 to the Registrant’s Current Report on</w:t>
              </w:r>
            </w:hyperlink>
          </w:p>
        </w:tc>
        <w:tc>
          <w:tcPr>
            <w:tcW w:w="360" w:type="dxa"/>
            <w:vAlign w:val="bottom"/>
            <w:tcBorders>
              <w:top w:val="single" w:sz="8" w:color="auto"/>
            </w:tcBorders>
            <w:gridSpan w:val="2"/>
          </w:tcPr>
          <w:p>
            <w:pPr>
              <w:spacing w:after="0"/>
              <w:rPr>
                <w:sz w:val="24"/>
                <w:szCs w:val="24"/>
                <w:color w:val="auto"/>
              </w:rPr>
            </w:pPr>
          </w:p>
        </w:tc>
      </w:t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15"/>
          </w:tcPr>
          <w:p>
            <w:pPr>
              <w:spacing w:after="0" w:line="190"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8-K (File No. 001-37783) filed with the SEC on June 7, 2016).</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Certificate of Amendment to Amended and Restated Certificate of Incorporation (incorporated herein by reference to Exhibit 3.1 to the</w:t>
              </w:r>
            </w:hyperlink>
          </w:p>
        </w:tc>
        <w:tc>
          <w:tcPr>
            <w:tcW w:w="480" w:type="dxa"/>
            <w:vAlign w:val="bottom"/>
            <w:gridSpan w:val="3"/>
          </w:tcPr>
          <w:p>
            <w:pPr>
              <w:spacing w:after="0"/>
              <w:rPr>
                <w:sz w:val="24"/>
                <w:szCs w:val="24"/>
                <w:color w:val="auto"/>
              </w:rPr>
            </w:pPr>
          </w:p>
        </w:tc>
      </w:t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00" w:type="dxa"/>
            <w:vAlign w:val="bottom"/>
            <w:tcBorders>
              <w:bottom w:val="single" w:sz="8" w:color="0000FF"/>
            </w:tcBorders>
            <w:gridSpan w:val="8"/>
          </w:tcPr>
          <w:p>
            <w:pPr>
              <w:spacing w:after="0" w:line="190" w:lineRule="exact"/>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Registrant's Current Report on Form 8-K (File No. 001-37783) filed with the SEC on June 23, 2022).</w:t>
              </w:r>
            </w:hyperlink>
          </w:p>
        </w:tc>
        <w:tc>
          <w:tcPr>
            <w:tcW w:w="20" w:type="dxa"/>
            <w:vAlign w:val="bottom"/>
            <w:tcBorders>
              <w:bottom w:val="single" w:sz="8" w:color="0000EE"/>
            </w:tcBorders>
          </w:tcPr>
          <w:p>
            <w:pPr>
              <w:spacing w:after="0"/>
              <w:rPr>
                <w:sz w:val="16"/>
                <w:szCs w:val="16"/>
                <w:color w:val="auto"/>
              </w:rPr>
            </w:pPr>
          </w:p>
        </w:tc>
        <w:tc>
          <w:tcPr>
            <w:tcW w:w="2880" w:type="dxa"/>
            <w:vAlign w:val="bottom"/>
            <w:gridSpan w:val="6"/>
          </w:tcPr>
          <w:p>
            <w:pPr>
              <w:spacing w:after="0"/>
              <w:rPr>
                <w:sz w:val="16"/>
                <w:szCs w:val="16"/>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5"/>
          </w:tcPr>
          <w:p>
            <w:pPr>
              <w:spacing w:after="0"/>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Amended and Restated Bylaws (incorporated herein by reference to Exhibit 3.2 to the Registrant’s Current Report on Form 8-K (File No. 001-</w:t>
              </w:r>
            </w:hyperlink>
          </w:p>
        </w:tc>
      </w:t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Borders>
              <w:top w:val="single" w:sz="8" w:color="0000FF"/>
              <w:bottom w:val="single" w:sz="8" w:color="0000FF"/>
            </w:tcBorders>
            <w:gridSpan w:val="2"/>
          </w:tcPr>
          <w:p>
            <w:pPr>
              <w:spacing w:after="0" w:line="190" w:lineRule="exact"/>
              <w:rPr>
                <w:rFonts w:ascii="Times New Roman" w:cs="Times New Roman" w:eastAsia="Times New Roman" w:hAnsi="Times New Roman"/>
                <w:sz w:val="18"/>
                <w:szCs w:val="18"/>
                <w:color w:val="0000FF"/>
                <w:w w:val="96"/>
              </w:rPr>
            </w:pPr>
            <w:hyperlink r:id="rId209">
              <w:r>
                <w:rPr>
                  <w:rFonts w:ascii="Times New Roman" w:cs="Times New Roman" w:eastAsia="Times New Roman" w:hAnsi="Times New Roman"/>
                  <w:sz w:val="18"/>
                  <w:szCs w:val="18"/>
                  <w:color w:val="0000FF"/>
                  <w:w w:val="96"/>
                </w:rPr>
                <w:t>37783) filed with the SEC on June 7, 2016).</w:t>
              </w:r>
            </w:hyperlink>
          </w:p>
        </w:tc>
        <w:tc>
          <w:tcPr>
            <w:tcW w:w="6880" w:type="dxa"/>
            <w:vAlign w:val="bottom"/>
            <w:tcBorders>
              <w:top w:val="single" w:sz="8" w:color="0000FF"/>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First Amendment to License Agreement, by and among the Registrant and BioCryst Pharmaceuticals, Inc., dated as of May 20, 2024.</w:t>
            </w: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Employment Agreement, by and between Registrant and Victor Chong, dated as of June 19, 2024.</w:t>
            </w:r>
          </w:p>
        </w:tc>
        <w:tc>
          <w:tcPr>
            <w:tcW w:w="660" w:type="dxa"/>
            <w:vAlign w:val="bottom"/>
            <w:gridSpan w:val="4"/>
          </w:tcPr>
          <w:p>
            <w:pPr>
              <w:spacing w:after="0"/>
              <w:rPr>
                <w:sz w:val="24"/>
                <w:szCs w:val="24"/>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under Section 302 of the Sarbanes-Oxley Act.</w:t>
            </w:r>
          </w:p>
        </w:tc>
        <w:tc>
          <w:tcPr>
            <w:tcW w:w="3140" w:type="dxa"/>
            <w:vAlign w:val="bottom"/>
            <w:gridSpan w:val="8"/>
          </w:tcPr>
          <w:p>
            <w:pPr>
              <w:spacing w:after="0"/>
              <w:rPr>
                <w:sz w:val="24"/>
                <w:szCs w:val="24"/>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Certification of Principal Financial Officer under Section 302 of the Sarbanes-Oxley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700" w:type="dxa"/>
            <w:vAlign w:val="bottom"/>
            <w:gridSpan w:val="9"/>
          </w:tcPr>
          <w:p>
            <w:pPr>
              <w:spacing w:after="0"/>
              <w:rPr>
                <w:sz w:val="24"/>
                <w:szCs w:val="24"/>
                <w:color w:val="auto"/>
              </w:rPr>
            </w:pP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under Section 906 of the Sarbanes-Oxley Act.</w:t>
            </w:r>
          </w:p>
        </w:tc>
      </w:tr>
      <w:tr>
        <w:trPr>
          <w:trHeight w:val="40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5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20" w:type="dxa"/>
            <w:vAlign w:val="bottom"/>
            <w:gridSpan w:val="5"/>
          </w:tcPr>
          <w:p>
            <w:pPr>
              <w:spacing w:after="0"/>
              <w:rPr>
                <w:sz w:val="24"/>
                <w:szCs w:val="24"/>
                <w:color w:val="auto"/>
              </w:rPr>
            </w:pPr>
          </w:p>
        </w:tc>
      </w:tr>
      <w:tr>
        <w:trPr>
          <w:trHeight w:val="38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38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45"/>
        </w:trPr>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31" w:lineRule="exact"/>
        <w:rPr>
          <w:sz w:val="20"/>
          <w:szCs w:val="20"/>
          <w:color w:val="auto"/>
        </w:rPr>
      </w:pPr>
    </w:p>
    <w:p>
      <w:pPr>
        <w:ind w:left="600" w:hanging="464"/>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600" w:right="520" w:hanging="464"/>
        <w:spacing w:after="0" w:line="248"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600" w:hanging="464"/>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6" w:lineRule="exact"/>
        <w:rPr>
          <w:sz w:val="20"/>
          <w:szCs w:val="20"/>
          <w:color w:val="auto"/>
        </w:rPr>
      </w:pPr>
    </w:p>
    <w:p>
      <w:pPr>
        <w:ind w:left="600" w:right="240" w:hanging="464"/>
        <w:spacing w:after="0" w:line="299" w:lineRule="auto"/>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29" w:name="page30"/>
    <w:bookmarkEnd w:id="29"/>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Clearside Biomedical, Inc.</w:t>
      </w:r>
    </w:p>
    <w:p>
      <w:pPr>
        <w:sectPr>
          <w:pgSz w:w="11900" w:h="16838" w:orient="portrait"/>
          <w:cols w:equalWidth="0" w:num="1">
            <w:col w:w="10500"/>
          </w:cols>
          <w:pgMar w:left="320" w:top="959" w:right="1079" w:bottom="1440" w:gutter="0" w:footer="0" w:header="0"/>
        </w:sect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August 12, 2024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Charles A. Deignan</w:t>
      </w:r>
    </w:p>
    <w:p>
      <w:pPr>
        <w:spacing w:after="0" w:line="59" w:lineRule="exact"/>
        <w:rPr>
          <w:sz w:val="20"/>
          <w:szCs w:val="20"/>
          <w:color w:val="auto"/>
        </w:rPr>
      </w:pPr>
    </w:p>
    <w:p>
      <w:pPr>
        <w:sectPr>
          <w:pgSz w:w="11900" w:h="16838" w:orient="portrait"/>
          <w:cols w:equalWidth="0" w:num="3">
            <w:col w:w="6060" w:space="720"/>
            <w:col w:w="920" w:space="720"/>
            <w:col w:w="2080"/>
          </w:cols>
          <w:pgMar w:left="320" w:top="959" w:right="1079" w:bottom="1440" w:gutter="0" w:footer="0" w:header="0"/>
          <w:type w:val="continuous"/>
        </w:sectPr>
      </w:pPr>
    </w:p>
    <w:p>
      <w:pPr>
        <w:jc w:val="center"/>
        <w:ind w:left="71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-130175</wp:posOffset>
            </wp:positionV>
            <wp:extent cx="25761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576195" cy="8255"/>
                    </a:xfrm>
                    <a:prstGeom prst="rect">
                      <a:avLst/>
                    </a:prstGeom>
                    <a:noFill/>
                  </pic:spPr>
                </pic:pic>
              </a:graphicData>
            </a:graphic>
          </wp:anchor>
        </w:drawing>
      </w:r>
    </w:p>
    <w:p>
      <w:pPr>
        <w:ind w:left="8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color w:val="auto"/>
        </w:rPr>
        <w:t>(On behalf of the Registrant and as</w:t>
      </w:r>
    </w:p>
    <w:p>
      <w:pPr>
        <w:spacing w:after="0" w:line="3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00"/>
          </w:cols>
          <w:pgMar w:left="320" w:top="959" w:right="107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34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i w:val="1"/>
          <w:iCs w:val="1"/>
          <w:color w:val="auto"/>
        </w:rPr>
        <w:t>Certain information has been excluded from this agreement (indicated by “[***]”) because such information is both (a) not material and (b) the type that the registrant customarily and actually treats as private or confidential.</w:t>
      </w:r>
    </w:p>
    <w:p>
      <w:pPr>
        <w:spacing w:after="0" w:line="23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b w:val="1"/>
          <w:bCs w:val="1"/>
          <w:color w:val="auto"/>
        </w:rPr>
        <w:t>AMENDMENT 1 TO THE LICENSE AGREEMENT</w:t>
      </w:r>
    </w:p>
    <w:p>
      <w:pPr>
        <w:spacing w:after="0" w:line="228" w:lineRule="exact"/>
        <w:rPr>
          <w:sz w:val="20"/>
          <w:szCs w:val="20"/>
          <w:color w:val="auto"/>
        </w:rPr>
      </w:pPr>
    </w:p>
    <w:p>
      <w:pPr>
        <w:jc w:val="both"/>
        <w:ind w:left="100" w:right="260"/>
        <w:spacing w:after="0" w:line="231" w:lineRule="auto"/>
        <w:rPr>
          <w:sz w:val="20"/>
          <w:szCs w:val="20"/>
          <w:color w:val="auto"/>
        </w:rPr>
      </w:pPr>
      <w:r>
        <w:rPr>
          <w:rFonts w:ascii="Times New Roman" w:cs="Times New Roman" w:eastAsia="Times New Roman" w:hAnsi="Times New Roman"/>
          <w:sz w:val="19"/>
          <w:szCs w:val="19"/>
          <w:color w:val="auto"/>
        </w:rPr>
        <w:t>THIS FIRST AMENDMENT to the LICENSE AGREEMENT (the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made and entered into on this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May 2024 (the “</w:t>
      </w:r>
      <w:r>
        <w:rPr>
          <w:rFonts w:ascii="Times New Roman" w:cs="Times New Roman" w:eastAsia="Times New Roman" w:hAnsi="Times New Roman"/>
          <w:sz w:val="19"/>
          <w:szCs w:val="19"/>
          <w:b w:val="1"/>
          <w:bCs w:val="1"/>
          <w:color w:val="auto"/>
        </w:rPr>
        <w:t>Amendment Effective Date</w:t>
      </w:r>
      <w:r>
        <w:rPr>
          <w:rFonts w:ascii="Times New Roman" w:cs="Times New Roman" w:eastAsia="Times New Roman" w:hAnsi="Times New Roman"/>
          <w:sz w:val="19"/>
          <w:szCs w:val="19"/>
          <w:color w:val="auto"/>
        </w:rPr>
        <w:t>”), by and between BioCryst Pharmaceuticals, Inc. (“</w:t>
      </w:r>
      <w:r>
        <w:rPr>
          <w:rFonts w:ascii="Times New Roman" w:cs="Times New Roman" w:eastAsia="Times New Roman" w:hAnsi="Times New Roman"/>
          <w:sz w:val="19"/>
          <w:szCs w:val="19"/>
          <w:b w:val="1"/>
          <w:bCs w:val="1"/>
          <w:color w:val="auto"/>
        </w:rPr>
        <w:t>BioCryst</w:t>
      </w:r>
      <w:r>
        <w:rPr>
          <w:rFonts w:ascii="Times New Roman" w:cs="Times New Roman" w:eastAsia="Times New Roman" w:hAnsi="Times New Roman"/>
          <w:sz w:val="19"/>
          <w:szCs w:val="19"/>
          <w:color w:val="auto"/>
        </w:rPr>
        <w:t>”) and Clearside Biomedical, Inc. (“</w:t>
      </w:r>
      <w:r>
        <w:rPr>
          <w:rFonts w:ascii="Times New Roman" w:cs="Times New Roman" w:eastAsia="Times New Roman" w:hAnsi="Times New Roman"/>
          <w:sz w:val="19"/>
          <w:szCs w:val="19"/>
          <w:b w:val="1"/>
          <w:bCs w:val="1"/>
          <w:color w:val="auto"/>
        </w:rPr>
        <w:t>Clearside</w:t>
      </w:r>
      <w:r>
        <w:rPr>
          <w:rFonts w:ascii="Times New Roman" w:cs="Times New Roman" w:eastAsia="Times New Roman" w:hAnsi="Times New Roman"/>
          <w:sz w:val="19"/>
          <w:szCs w:val="19"/>
          <w:color w:val="auto"/>
        </w:rPr>
        <w:t>”). All undefined terms contained herein shall have the meaning set forth in the Agreement.</w:t>
      </w:r>
    </w:p>
    <w:p>
      <w:pPr>
        <w:spacing w:after="0" w:line="1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30" w:lineRule="exact"/>
        <w:rPr>
          <w:sz w:val="20"/>
          <w:szCs w:val="20"/>
          <w:color w:val="auto"/>
        </w:rPr>
      </w:pPr>
    </w:p>
    <w:p>
      <w:pPr>
        <w:jc w:val="both"/>
        <w:ind w:left="100" w:right="320" w:firstLine="748"/>
        <w:spacing w:after="0" w:line="281" w:lineRule="auto"/>
        <w:rPr>
          <w:sz w:val="20"/>
          <w:szCs w:val="20"/>
          <w:color w:val="auto"/>
        </w:rPr>
      </w:pPr>
      <w:r>
        <w:rPr>
          <w:rFonts w:ascii="Times New Roman" w:cs="Times New Roman" w:eastAsia="Times New Roman" w:hAnsi="Times New Roman"/>
          <w:sz w:val="19"/>
          <w:szCs w:val="19"/>
          <w:color w:val="auto"/>
        </w:rPr>
        <w:t>WHEREAS, BioCryst and Clearside entered into the License Agreement having an effective date of November 1, 2023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jc w:val="both"/>
        <w:ind w:left="100" w:right="320" w:firstLine="748"/>
        <w:spacing w:after="0" w:line="281" w:lineRule="auto"/>
        <w:rPr>
          <w:sz w:val="20"/>
          <w:szCs w:val="20"/>
          <w:color w:val="auto"/>
        </w:rPr>
      </w:pPr>
      <w:r>
        <w:rPr>
          <w:rFonts w:ascii="Times New Roman" w:cs="Times New Roman" w:eastAsia="Times New Roman" w:hAnsi="Times New Roman"/>
          <w:sz w:val="19"/>
          <w:szCs w:val="19"/>
          <w:color w:val="auto"/>
        </w:rPr>
        <w:t>WHEREAS, the Parties now wish to amend the Agreement in consideration of the mutual terms, conditions, and covenants hereinafter set forth.</w:t>
      </w:r>
    </w:p>
    <w:p>
      <w:pPr>
        <w:spacing w:after="0" w:line="145" w:lineRule="exact"/>
        <w:rPr>
          <w:sz w:val="20"/>
          <w:szCs w:val="20"/>
          <w:color w:val="auto"/>
        </w:rPr>
      </w:pPr>
    </w:p>
    <w:p>
      <w:pPr>
        <w:jc w:val="both"/>
        <w:ind w:left="100" w:right="320" w:firstLine="748"/>
        <w:spacing w:after="0" w:line="263" w:lineRule="auto"/>
        <w:rPr>
          <w:sz w:val="20"/>
          <w:szCs w:val="20"/>
          <w:color w:val="auto"/>
        </w:rPr>
      </w:pPr>
      <w:r>
        <w:rPr>
          <w:rFonts w:ascii="Times New Roman" w:cs="Times New Roman" w:eastAsia="Times New Roman" w:hAnsi="Times New Roman"/>
          <w:sz w:val="19"/>
          <w:szCs w:val="19"/>
          <w:color w:val="auto"/>
        </w:rPr>
        <w:t>NOW, THEREFORE, in consideration of the foregoing, and other good and valuable consideration, the receipt and sufficiency of which are hereby acknowledged, BioCryst and Clearside, intending to be legally bound, have agreed to amend the terms of the Agreement as follows:</w:t>
      </w:r>
    </w:p>
    <w:p>
      <w:pPr>
        <w:spacing w:after="0" w:line="174" w:lineRule="exact"/>
        <w:rPr>
          <w:sz w:val="20"/>
          <w:szCs w:val="20"/>
          <w:color w:val="auto"/>
        </w:rPr>
      </w:pPr>
    </w:p>
    <w:p>
      <w:pPr>
        <w:ind w:left="760" w:right="2440" w:hanging="381"/>
        <w:spacing w:after="0" w:line="475" w:lineRule="auto"/>
        <w:tabs>
          <w:tab w:leader="none" w:pos="751"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1.100 of the Agreement shall be deleted in its entirety and is hereby replaced with the following: </w:t>
      </w:r>
      <w:r>
        <w:rPr>
          <w:rFonts w:ascii="Georgia" w:cs="Georgia" w:eastAsia="Georgia" w:hAnsi="Georgia"/>
          <w:sz w:val="19"/>
          <w:szCs w:val="19"/>
          <w:i w:val="1"/>
          <w:iCs w:val="1"/>
          <w:color w:val="auto"/>
        </w:rPr>
        <w:t>“</w:t>
      </w:r>
      <w:r>
        <w:rPr>
          <w:rFonts w:ascii="Times New Roman" w:cs="Times New Roman" w:eastAsia="Times New Roman" w:hAnsi="Times New Roman"/>
          <w:sz w:val="19"/>
          <w:szCs w:val="19"/>
          <w:color w:val="auto"/>
        </w:rPr>
        <w:t>1.100 [***]</w:t>
      </w:r>
      <w:r>
        <w:rPr>
          <w:rFonts w:ascii="Georgia" w:cs="Georgia" w:eastAsia="Georgia" w:hAnsi="Georgia"/>
          <w:sz w:val="19"/>
          <w:szCs w:val="19"/>
          <w:i w:val="1"/>
          <w:iCs w:val="1"/>
          <w:color w:val="auto"/>
        </w:rPr>
        <w:t>”</w:t>
      </w:r>
    </w:p>
    <w:p>
      <w:pPr>
        <w:ind w:left="740" w:hanging="361"/>
        <w:spacing w:after="0"/>
        <w:tabs>
          <w:tab w:leader="none" w:pos="7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amended hereby, the Agreement shall remain in full force and effect in accordance with its terms.</w:t>
      </w:r>
    </w:p>
    <w:p>
      <w:pPr>
        <w:spacing w:after="0" w:line="214" w:lineRule="exact"/>
        <w:rPr>
          <w:rFonts w:ascii="Times New Roman" w:cs="Times New Roman" w:eastAsia="Times New Roman" w:hAnsi="Times New Roman"/>
          <w:sz w:val="19"/>
          <w:szCs w:val="19"/>
          <w:color w:val="auto"/>
        </w:rPr>
      </w:pPr>
    </w:p>
    <w:p>
      <w:pPr>
        <w:jc w:val="both"/>
        <w:ind w:left="740" w:right="260" w:hanging="361"/>
        <w:spacing w:after="0" w:line="263" w:lineRule="auto"/>
        <w:tabs>
          <w:tab w:leader="none" w:pos="7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counterparts, each of which shall be deemed an original, but all of which together shall be deemed to be one and the same agreement. A signed copy of this Amendment delivered by facsimile, e-mail, or other means of electronic transmission shall be deemed to have the same legal effect as delivery of an original signed copy of this Amendment.</w:t>
      </w:r>
    </w:p>
    <w:p>
      <w:pPr>
        <w:spacing w:after="0" w:line="3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IN WITNESS WHEREOF, the parties have executed this Amendment as of the Amendment Effective Date.</w:t>
      </w:r>
    </w:p>
    <w:p>
      <w:pPr>
        <w:spacing w:after="0" w:line="200" w:lineRule="exact"/>
        <w:rPr>
          <w:sz w:val="20"/>
          <w:szCs w:val="20"/>
          <w:color w:val="auto"/>
        </w:rPr>
      </w:pPr>
    </w:p>
    <w:p>
      <w:pPr>
        <w:spacing w:after="0" w:line="224"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5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Clearside Medical, Inc.</w:t>
            </w:r>
          </w:p>
        </w:tc>
        <w:tc>
          <w:tcPr>
            <w:tcW w:w="5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BioCryst Pharmaceuticals, Inc.</w:t>
            </w:r>
          </w:p>
        </w:tc>
      </w:tr>
      <w:tr>
        <w:trPr>
          <w:trHeight w:val="173"/>
        </w:trPr>
        <w:tc>
          <w:tcPr>
            <w:tcW w:w="554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tcPr>
          <w:p>
            <w:pPr>
              <w:spacing w:after="0"/>
              <w:rPr>
                <w:sz w:val="15"/>
                <w:szCs w:val="15"/>
                <w:color w:val="auto"/>
              </w:rPr>
            </w:pPr>
          </w:p>
        </w:tc>
      </w:tr>
      <w:tr>
        <w:trPr>
          <w:trHeight w:val="475"/>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Signature: George Lasezkay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Signature: Alane Phillips Barnes</w:t>
            </w:r>
          </w:p>
        </w:tc>
      </w:tr>
      <w:tr>
        <w:trPr>
          <w:trHeight w:val="191"/>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5480" w:type="dxa"/>
            <w:vAlign w:val="bottom"/>
            <w:tcBorders>
              <w:bottom w:val="single" w:sz="8" w:color="auto"/>
              <w:right w:val="single" w:sz="8" w:color="auto"/>
            </w:tcBorders>
          </w:tcPr>
          <w:p>
            <w:pPr>
              <w:spacing w:after="0"/>
              <w:rPr>
                <w:sz w:val="16"/>
                <w:szCs w:val="16"/>
                <w:color w:val="auto"/>
              </w:rPr>
            </w:pPr>
          </w:p>
        </w:tc>
      </w:tr>
      <w:tr>
        <w:trPr>
          <w:trHeight w:val="471"/>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 /s/ George Lasezkay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Name: /s/ Alane Phillips Barnes</w:t>
            </w:r>
          </w:p>
        </w:tc>
      </w:tr>
      <w:tr>
        <w:trPr>
          <w:trHeight w:val="205"/>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r>
      <w:tr>
        <w:trPr>
          <w:trHeight w:val="471"/>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Title: CEO</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Title: Sr. VP and Chief Legal Officer</w:t>
            </w:r>
          </w:p>
        </w:tc>
      </w:tr>
      <w:tr>
        <w:trPr>
          <w:trHeight w:val="191"/>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54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EMPLOYMENT AGREEMENT</w:t>
      </w:r>
    </w:p>
    <w:p>
      <w:pPr>
        <w:spacing w:after="0" w:line="231"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21"/>
          <w:szCs w:val="21"/>
          <w:color w:val="auto"/>
        </w:rPr>
        <w:t xml:space="preserve">THIS EXECUTIVE EMPLOYMENT AGREEMENT (the “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effective as of June 19, 2024,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between Clearside Biomedical,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Victor Chong (the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an individual residing in California.</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W I T N E S S E T H:</w:t>
      </w:r>
    </w:p>
    <w:p>
      <w:pPr>
        <w:spacing w:after="0" w:line="231" w:lineRule="exact"/>
        <w:rPr>
          <w:sz w:val="20"/>
          <w:szCs w:val="20"/>
          <w:color w:val="auto"/>
        </w:rPr>
      </w:pPr>
    </w:p>
    <w:p>
      <w:pPr>
        <w:jc w:val="both"/>
        <w:ind w:firstLine="842"/>
        <w:spacing w:after="0" w:line="268" w:lineRule="auto"/>
        <w:rPr>
          <w:sz w:val="20"/>
          <w:szCs w:val="20"/>
          <w:color w:val="auto"/>
        </w:rPr>
      </w:pPr>
      <w:r>
        <w:rPr>
          <w:rFonts w:ascii="Times New Roman" w:cs="Times New Roman" w:eastAsia="Times New Roman" w:hAnsi="Times New Roman"/>
          <w:sz w:val="21"/>
          <w:szCs w:val="21"/>
          <w:color w:val="auto"/>
        </w:rPr>
        <w:t>WHEREAS, the Company and Executive desire to set forth the terms and conditions of the Executive’s employment from and after the Effective Date.</w:t>
      </w:r>
    </w:p>
    <w:p>
      <w:pPr>
        <w:spacing w:after="0" w:line="170" w:lineRule="exact"/>
        <w:rPr>
          <w:sz w:val="20"/>
          <w:szCs w:val="20"/>
          <w:color w:val="auto"/>
        </w:rPr>
      </w:pPr>
    </w:p>
    <w:p>
      <w:pPr>
        <w:jc w:val="both"/>
        <w:ind w:firstLine="420"/>
        <w:spacing w:after="0" w:line="243" w:lineRule="auto"/>
        <w:rPr>
          <w:sz w:val="20"/>
          <w:szCs w:val="20"/>
          <w:color w:val="auto"/>
        </w:rPr>
      </w:pPr>
      <w:r>
        <w:rPr>
          <w:rFonts w:ascii="Times New Roman" w:cs="Times New Roman" w:eastAsia="Times New Roman" w:hAnsi="Times New Roman"/>
          <w:sz w:val="21"/>
          <w:szCs w:val="21"/>
          <w:color w:val="auto"/>
        </w:rPr>
        <w:t>NOW, THEREFORE, in consideration of the foregoing, of the mutual promises herein, and of other good and valuable consideration, including the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 edged, the parties hereto, intending legally to be bound, hereby agree as follows:</w:t>
      </w:r>
    </w:p>
    <w:p>
      <w:pPr>
        <w:spacing w:after="0" w:line="195" w:lineRule="exact"/>
        <w:rPr>
          <w:sz w:val="20"/>
          <w:szCs w:val="20"/>
          <w:color w:val="auto"/>
        </w:rPr>
      </w:pPr>
    </w:p>
    <w:p>
      <w:pPr>
        <w:ind w:firstLine="425"/>
        <w:spacing w:after="0" w:line="268" w:lineRule="auto"/>
        <w:tabs>
          <w:tab w:leader="none" w:pos="93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The Company hereby employs the Executive and the Executive hereby accepts employment as the Executive Vice President Chief Medical Officer of the Company upon the terms and conditions of this Agreement.</w:t>
      </w:r>
    </w:p>
    <w:p>
      <w:pPr>
        <w:spacing w:after="0" w:line="170" w:lineRule="exact"/>
        <w:rPr>
          <w:sz w:val="20"/>
          <w:szCs w:val="20"/>
          <w:color w:val="auto"/>
        </w:rPr>
      </w:pPr>
    </w:p>
    <w:p>
      <w:pPr>
        <w:jc w:val="both"/>
        <w:ind w:firstLine="425"/>
        <w:spacing w:after="0" w:line="238" w:lineRule="auto"/>
        <w:tabs>
          <w:tab w:leader="none" w:pos="86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Chief Executive Officer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Times New Roman" w:cs="Times New Roman" w:eastAsia="Times New Roman" w:hAnsi="Times New Roman"/>
          <w:sz w:val="21"/>
          <w:szCs w:val="21"/>
          <w:b w:val="1"/>
          <w:bCs w:val="1"/>
          <w:color w:val="auto"/>
        </w:rPr>
        <w:t>Company Policies</w:t>
      </w:r>
      <w:r>
        <w:rPr>
          <w:rFonts w:ascii="Times New Roman" w:cs="Times New Roman" w:eastAsia="Times New Roman" w:hAnsi="Times New Roman"/>
          <w:sz w:val="21"/>
          <w:szCs w:val="21"/>
          <w:color w:val="auto"/>
        </w:rPr>
        <w:t>”) and all applicable government laws, rules and regulations that are now or hereafter in effect. The Executive acknowledges receipt of copies of all written Company Policies that are in effect as of the date of this Agreement.</w:t>
      </w:r>
    </w:p>
    <w:p>
      <w:pPr>
        <w:spacing w:after="0" w:line="204" w:lineRule="exact"/>
        <w:rPr>
          <w:rFonts w:ascii="Times New Roman" w:cs="Times New Roman" w:eastAsia="Times New Roman" w:hAnsi="Times New Roman"/>
          <w:sz w:val="21"/>
          <w:szCs w:val="21"/>
          <w:color w:val="auto"/>
        </w:rPr>
      </w:pPr>
    </w:p>
    <w:p>
      <w:pPr>
        <w:jc w:val="both"/>
        <w:ind w:firstLine="425"/>
        <w:spacing w:after="0" w:line="243" w:lineRule="auto"/>
        <w:tabs>
          <w:tab w:leader="none" w:pos="86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Unless earlier terminated as provided herein, the initial term of this Agreement shall commence on the Effective Date and shall continue until December 31, 2024. Thereafter, this Agreement shall automatically renew on a year-to-year basis on the same terms and conditions set forth herein unless: (a) earlier terminated or amended as provided herein or (b) either party gives written notice of non-renewal at least 60 days prior to the end of the initial term or any renewal term of this Agreement. The initial term of this Agreement and all renewals thereof are referred to herein as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979170</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2" w:name="page33"/>
    <w:bookmarkEnd w:id="32"/>
    <w:p>
      <w:pPr>
        <w:ind w:firstLine="425"/>
        <w:spacing w:after="0" w:line="268" w:lineRule="auto"/>
        <w:tabs>
          <w:tab w:leader="none" w:pos="86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During the Term, as compensation for the services rendered by the Executive under this Agreement, the Executive shall be entitled to receive the following (all payments are subject to applicable withholdings):</w:t>
      </w:r>
    </w:p>
    <w:p>
      <w:pPr>
        <w:spacing w:after="0" w:line="170" w:lineRule="exact"/>
        <w:rPr>
          <w:sz w:val="20"/>
          <w:szCs w:val="20"/>
          <w:color w:val="auto"/>
        </w:rPr>
      </w:pPr>
    </w:p>
    <w:p>
      <w:pPr>
        <w:jc w:val="both"/>
        <w:ind w:firstLine="840"/>
        <w:spacing w:after="0" w:line="246"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The Executive shall receive a monthly salary at a rate of $37,500 (equal to an annual salary rate of $450,000 payable in accordance with the then-current payroll schedule of the Company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The Executive’s salary may be increased from time to time by the Board of Directors of the Company or the compensation committee thereof (collectively,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both"/>
        <w:ind w:firstLine="858"/>
        <w:spacing w:after="0" w:line="239" w:lineRule="auto"/>
        <w:tabs>
          <w:tab w:leader="none" w:pos="1273"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Bonuses</w:t>
      </w:r>
      <w:r>
        <w:rPr>
          <w:rFonts w:ascii="Times New Roman" w:cs="Times New Roman" w:eastAsia="Times New Roman" w:hAnsi="Times New Roman"/>
          <w:sz w:val="21"/>
          <w:szCs w:val="21"/>
          <w:color w:val="auto"/>
        </w:rPr>
        <w:t>. The Executive shall be eligible to participate in all bonus or similar incentive plans adopted by the Board. The amount awarded, if any, to the Executive under any bonus or incentive plan shall be in the discretion of the Board, based on its assessment of the Executive’s and the Company’s performance during the relevant period, but it is the expectation of the Company that any such bonus would be up to 40% of the Executive’s then-current annual Base Salary (the “</w:t>
      </w:r>
      <w:r>
        <w:rPr>
          <w:rFonts w:ascii="Times New Roman" w:cs="Times New Roman" w:eastAsia="Times New Roman" w:hAnsi="Times New Roman"/>
          <w:sz w:val="21"/>
          <w:szCs w:val="21"/>
          <w:b w:val="1"/>
          <w:bCs w:val="1"/>
          <w:color w:val="auto"/>
        </w:rPr>
        <w:t>Target Bonus</w:t>
      </w:r>
      <w:r>
        <w:rPr>
          <w:rFonts w:ascii="Times New Roman" w:cs="Times New Roman" w:eastAsia="Times New Roman" w:hAnsi="Times New Roman"/>
          <w:sz w:val="21"/>
          <w:szCs w:val="21"/>
          <w:color w:val="auto"/>
        </w:rPr>
        <w:t>”). If a bonus is awarded, unless otherwise specifically provided by the Board or committee administering such plan: (i) it shall be paid between January 1 and March 15 of the year following the year in which such bonus was earned; and (ii) except as otherwise expressly provided in Section 5(d)(ii)(2) or 5(d)(iii)(2), Executive must remain employed on such payment date in order to be entitled to such Target Bonus.</w:t>
      </w:r>
    </w:p>
    <w:p>
      <w:pPr>
        <w:spacing w:after="0" w:line="203" w:lineRule="exact"/>
        <w:rPr>
          <w:rFonts w:ascii="Times New Roman" w:cs="Times New Roman" w:eastAsia="Times New Roman" w:hAnsi="Times New Roman"/>
          <w:sz w:val="21"/>
          <w:szCs w:val="21"/>
          <w:color w:val="auto"/>
        </w:rPr>
      </w:pPr>
    </w:p>
    <w:p>
      <w:pPr>
        <w:jc w:val="both"/>
        <w:ind w:firstLine="1503"/>
        <w:spacing w:after="0" w:line="241" w:lineRule="auto"/>
        <w:tabs>
          <w:tab w:leader="none" w:pos="1918"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w:t>
      </w:r>
      <w:r>
        <w:rPr>
          <w:rFonts w:ascii="Times New Roman" w:cs="Times New Roman" w:eastAsia="Times New Roman" w:hAnsi="Times New Roman"/>
          <w:sz w:val="21"/>
          <w:szCs w:val="21"/>
          <w:color w:val="auto"/>
        </w:rPr>
        <w:t>. In connection with the Executive’s employment, the Company has issued to the Executive options to purchase shares of the common stock of the Company (the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The Options have vested or shall vest in accordance with the terms of the stock option Agreements. During the Term of the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w:t>
      </w:r>
      <w:r>
        <w:rPr>
          <w:rFonts w:ascii="Times New Roman" w:cs="Times New Roman" w:eastAsia="Times New Roman" w:hAnsi="Times New Roman"/>
          <w:sz w:val="21"/>
          <w:szCs w:val="21"/>
          <w:b w:val="1"/>
          <w:bCs w:val="1"/>
          <w:color w:val="auto"/>
        </w:rPr>
        <w:t>Equity Awards</w:t>
      </w:r>
      <w:r>
        <w:rPr>
          <w:rFonts w:ascii="Times New Roman" w:cs="Times New Roman" w:eastAsia="Times New Roman" w:hAnsi="Times New Roman"/>
          <w:sz w:val="21"/>
          <w:szCs w:val="21"/>
          <w:color w:val="auto"/>
        </w:rPr>
        <w:t>”).</w:t>
      </w:r>
    </w:p>
    <w:p>
      <w:pPr>
        <w:spacing w:after="0" w:line="199" w:lineRule="exact"/>
        <w:rPr>
          <w:rFonts w:ascii="Times New Roman" w:cs="Times New Roman" w:eastAsia="Times New Roman" w:hAnsi="Times New Roman"/>
          <w:sz w:val="21"/>
          <w:szCs w:val="21"/>
          <w:color w:val="auto"/>
        </w:rPr>
      </w:pPr>
    </w:p>
    <w:p>
      <w:pPr>
        <w:jc w:val="both"/>
        <w:ind w:firstLine="845"/>
        <w:spacing w:after="0" w:line="242" w:lineRule="auto"/>
        <w:tabs>
          <w:tab w:leader="none" w:pos="132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without the consent of the Executive or any other employ  ee of the Company.</w:t>
      </w:r>
    </w:p>
    <w:p>
      <w:pPr>
        <w:spacing w:after="0" w:line="207" w:lineRule="exact"/>
        <w:rPr>
          <w:sz w:val="20"/>
          <w:szCs w:val="20"/>
          <w:color w:val="auto"/>
        </w:rPr>
      </w:pPr>
    </w:p>
    <w:p>
      <w:pPr>
        <w:jc w:val="both"/>
        <w:ind w:firstLine="425"/>
        <w:spacing w:after="0" w:line="246" w:lineRule="auto"/>
        <w:tabs>
          <w:tab w:leader="none" w:pos="8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The Executive shall be entitled to 4 weeks paid vacation per calendar year (with the vacation for any partial year being prorated) and shall be entitled to carry over a maximum of two weeks of the total Vacation days earned in one calendar year to the subsequent calendar year. Upon the termination of the Executive’s employment with the Company, no cash shall be paid in lieu of accrued but unused vacation unless otherwise required by applicable law.</w:t>
      </w:r>
    </w:p>
    <w:p>
      <w:pPr>
        <w:spacing w:after="0" w:line="191" w:lineRule="exact"/>
        <w:rPr>
          <w:rFonts w:ascii="Times New Roman" w:cs="Times New Roman" w:eastAsia="Times New Roman" w:hAnsi="Times New Roman"/>
          <w:sz w:val="21"/>
          <w:szCs w:val="21"/>
          <w:color w:val="auto"/>
        </w:rPr>
      </w:pPr>
    </w:p>
    <w:p>
      <w:pPr>
        <w:jc w:val="both"/>
        <w:ind w:firstLine="845"/>
        <w:spacing w:after="0" w:line="251" w:lineRule="auto"/>
        <w:tabs>
          <w:tab w:leader="none" w:pos="128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The Company shall pay, or reimburse the Executive for, 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3" w:name="page34"/>
    <w:bookmarkEnd w:id="33"/>
    <w:p>
      <w:pPr>
        <w:ind w:firstLine="425"/>
        <w:spacing w:after="0" w:line="268" w:lineRule="auto"/>
        <w:tabs>
          <w:tab w:leader="none" w:pos="86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and the Executive’s employment by the Company shall or may be terminated, as the case may be, as follows:</w:t>
      </w:r>
    </w:p>
    <w:p>
      <w:pPr>
        <w:spacing w:after="0" w:line="169" w:lineRule="exact"/>
        <w:rPr>
          <w:rFonts w:ascii="Times New Roman" w:cs="Times New Roman" w:eastAsia="Times New Roman" w:hAnsi="Times New Roman"/>
          <w:sz w:val="21"/>
          <w:szCs w:val="21"/>
          <w:color w:val="auto"/>
        </w:rPr>
      </w:pPr>
    </w:p>
    <w:p>
      <w:pPr>
        <w:ind w:firstLine="1503"/>
        <w:spacing w:after="0" w:line="268" w:lineRule="auto"/>
        <w:tabs>
          <w:tab w:leader="none" w:pos="2038" w:val="left"/>
        </w:tabs>
        <w:numPr>
          <w:ilvl w:val="1"/>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upon Expiration of the Term</w:t>
      </w:r>
      <w:r>
        <w:rPr>
          <w:rFonts w:ascii="Times New Roman" w:cs="Times New Roman" w:eastAsia="Times New Roman" w:hAnsi="Times New Roman"/>
          <w:sz w:val="21"/>
          <w:szCs w:val="21"/>
          <w:color w:val="auto"/>
        </w:rPr>
        <w:t>. This Agreement and the Executive’s employment by the Company shall terminate upon the expiration of the Term, unless renewed.</w:t>
      </w:r>
    </w:p>
    <w:p>
      <w:pPr>
        <w:spacing w:after="0" w:line="169" w:lineRule="exact"/>
        <w:rPr>
          <w:rFonts w:ascii="Times New Roman" w:cs="Times New Roman" w:eastAsia="Times New Roman" w:hAnsi="Times New Roman"/>
          <w:sz w:val="21"/>
          <w:szCs w:val="21"/>
          <w:u w:val="single" w:color="auto"/>
          <w:color w:val="auto"/>
        </w:rPr>
      </w:pPr>
    </w:p>
    <w:p>
      <w:pPr>
        <w:ind w:left="2040" w:hanging="537"/>
        <w:spacing w:after="0"/>
        <w:tabs>
          <w:tab w:leader="none" w:pos="2040" w:val="left"/>
        </w:tabs>
        <w:numPr>
          <w:ilvl w:val="1"/>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by the Executive</w:t>
      </w:r>
      <w:r>
        <w:rPr>
          <w:rFonts w:ascii="Times New Roman" w:cs="Times New Roman" w:eastAsia="Times New Roman" w:hAnsi="Times New Roman"/>
          <w:sz w:val="21"/>
          <w:szCs w:val="21"/>
          <w:color w:val="auto"/>
        </w:rPr>
        <w:t>.  The Executive may terminate this Agreement and Executive’s employment</w:t>
      </w:r>
    </w:p>
    <w:p>
      <w:pPr>
        <w:spacing w:after="0" w:line="18"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by the Company:</w:t>
      </w:r>
    </w:p>
    <w:p>
      <w:pPr>
        <w:spacing w:after="0" w:line="203" w:lineRule="exact"/>
        <w:rPr>
          <w:rFonts w:ascii="Times New Roman" w:cs="Times New Roman" w:eastAsia="Times New Roman" w:hAnsi="Times New Roman"/>
          <w:sz w:val="21"/>
          <w:szCs w:val="21"/>
          <w:u w:val="single" w:color="auto"/>
          <w:color w:val="auto"/>
        </w:rPr>
      </w:pPr>
    </w:p>
    <w:p>
      <w:pPr>
        <w:jc w:val="both"/>
        <w:ind w:firstLine="2252"/>
        <w:spacing w:after="0" w:line="239" w:lineRule="auto"/>
        <w:tabs>
          <w:tab w:leader="none" w:pos="2668"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“Good Reason” (as defined herein).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the existence, without the consent of the Executive, of any of the following events: (A) the Executive’s duties and responsibilities or salary are substantially reduced or diminished; (B) the Company materially breaches its obligations under this Agreement; or (C) the Executive’s place of employment is relocated by more than 50 miles. In addition to any requirements set forth above, in order for any of the above events to constitute “Good Reason”, the Executive must (X) provide written notice to the CEO or the Board of the existence of the event within 30 days of the initial existence of the event, after which date the Company shall have 60 days to cure the event which otherwise would constitute “Good Reason” hereunder, and (Y) notify Company in writing and with specificity if the Company’s cure was insufficient, and if such notice is provided, the Executive must terminate the Executive’s employment with the Company for such “Good Reason” no later than 60 days after the end of the Company’s cure period set forth in (X), above.</w:t>
      </w:r>
    </w:p>
    <w:p>
      <w:pPr>
        <w:spacing w:after="0" w:line="176" w:lineRule="exact"/>
        <w:rPr>
          <w:rFonts w:ascii="Times New Roman" w:cs="Times New Roman" w:eastAsia="Times New Roman" w:hAnsi="Times New Roman"/>
          <w:sz w:val="21"/>
          <w:szCs w:val="21"/>
          <w:color w:val="auto"/>
        </w:rPr>
      </w:pPr>
    </w:p>
    <w:p>
      <w:pPr>
        <w:ind w:left="2680" w:hanging="428"/>
        <w:spacing w:after="0"/>
        <w:tabs>
          <w:tab w:leader="none" w:pos="2680"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for Good Reason, 30 days after notice to the Company.</w:t>
      </w:r>
    </w:p>
    <w:p>
      <w:pPr>
        <w:spacing w:after="0" w:line="231" w:lineRule="exact"/>
        <w:rPr>
          <w:rFonts w:ascii="Times New Roman" w:cs="Times New Roman" w:eastAsia="Times New Roman" w:hAnsi="Times New Roman"/>
          <w:sz w:val="21"/>
          <w:szCs w:val="21"/>
          <w:color w:val="auto"/>
        </w:rPr>
      </w:pPr>
    </w:p>
    <w:p>
      <w:pPr>
        <w:ind w:firstLine="1503"/>
        <w:spacing w:after="0" w:line="268" w:lineRule="auto"/>
        <w:tabs>
          <w:tab w:leader="none" w:pos="2038" w:val="left"/>
        </w:tabs>
        <w:numPr>
          <w:ilvl w:val="1"/>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by the Company</w:t>
      </w:r>
      <w:r>
        <w:rPr>
          <w:rFonts w:ascii="Times New Roman" w:cs="Times New Roman" w:eastAsia="Times New Roman" w:hAnsi="Times New Roman"/>
          <w:sz w:val="21"/>
          <w:szCs w:val="21"/>
          <w:color w:val="auto"/>
        </w:rPr>
        <w:t>. The Company may terminate this Agreement and the Executive’s employment by the Company upon notice to the Executive (or Executive’s personal representative):</w:t>
      </w:r>
    </w:p>
    <w:p>
      <w:pPr>
        <w:spacing w:after="0" w:line="169" w:lineRule="exact"/>
        <w:rPr>
          <w:rFonts w:ascii="Times New Roman" w:cs="Times New Roman" w:eastAsia="Times New Roman" w:hAnsi="Times New Roman"/>
          <w:sz w:val="21"/>
          <w:szCs w:val="21"/>
          <w:u w:val="single" w:color="auto"/>
          <w:color w:val="auto"/>
        </w:rPr>
      </w:pPr>
    </w:p>
    <w:p>
      <w:pPr>
        <w:ind w:left="2680" w:hanging="428"/>
        <w:spacing w:after="0"/>
        <w:tabs>
          <w:tab w:leader="none" w:pos="2680"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and for any reason;</w:t>
      </w:r>
    </w:p>
    <w:p>
      <w:pPr>
        <w:spacing w:after="0" w:line="231" w:lineRule="exact"/>
        <w:rPr>
          <w:rFonts w:ascii="Times New Roman" w:cs="Times New Roman" w:eastAsia="Times New Roman" w:hAnsi="Times New Roman"/>
          <w:sz w:val="21"/>
          <w:szCs w:val="21"/>
          <w:color w:val="auto"/>
        </w:rPr>
      </w:pPr>
    </w:p>
    <w:p>
      <w:pPr>
        <w:jc w:val="both"/>
        <w:ind w:firstLine="2252"/>
        <w:spacing w:after="0" w:line="251" w:lineRule="auto"/>
        <w:tabs>
          <w:tab w:leader="none" w:pos="2668"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death of the Executive, in which case this Agreement shall terminate immediately; provided that, such termination shall not prejudice any benefits payable to the Executive’s spouse or beneficiaries which are fully vested as of the date of death;</w:t>
      </w:r>
    </w:p>
    <w:p>
      <w:pPr>
        <w:spacing w:after="0" w:line="187" w:lineRule="exact"/>
        <w:rPr>
          <w:rFonts w:ascii="Times New Roman" w:cs="Times New Roman" w:eastAsia="Times New Roman" w:hAnsi="Times New Roman"/>
          <w:sz w:val="21"/>
          <w:szCs w:val="21"/>
          <w:color w:val="auto"/>
        </w:rPr>
      </w:pPr>
    </w:p>
    <w:p>
      <w:pPr>
        <w:jc w:val="both"/>
        <w:ind w:firstLine="2252"/>
        <w:spacing w:after="0" w:line="239" w:lineRule="auto"/>
        <w:tabs>
          <w:tab w:leader="none" w:pos="2668"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“permanently 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Times New Roman" w:cs="Times New Roman" w:eastAsia="Times New Roman" w:hAnsi="Times New Roman"/>
          <w:sz w:val="21"/>
          <w:szCs w:val="21"/>
          <w:b w:val="1"/>
          <w:bCs w:val="1"/>
          <w:color w:val="auto"/>
        </w:rPr>
        <w:t>permanently disabled</w:t>
      </w:r>
      <w:r>
        <w:rPr>
          <w:rFonts w:ascii="Times New Roman" w:cs="Times New Roman" w:eastAsia="Times New Roman" w:hAnsi="Times New Roman"/>
          <w:sz w:val="21"/>
          <w:szCs w:val="21"/>
          <w:color w:val="auto"/>
        </w:rPr>
        <w:t>” when a qualified medical doctor mutually acceptable to the Company and the Executive or the Executive’s personal representative shall have certified in writing that: (A) the Executive is unable, because of a medically determinable physical or mental disability, to perform substantially all of the Executive’s duties, with or without a reasonable accommodation, for more than 180 calendar days measured from the last full day of work; or (B) by reason of mental or physical disability, it is unlikely that the Executive will be able, within 180 calendar days, to resume substantially all business duties and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responsibilities in which the Executive was previously engaged and otherwise discharge the Executive’s duties under this Agreement;</w:t>
      </w:r>
    </w:p>
    <w:p>
      <w:pPr>
        <w:spacing w:after="0" w:line="243" w:lineRule="exact"/>
        <w:rPr>
          <w:sz w:val="20"/>
          <w:szCs w:val="20"/>
          <w:color w:val="auto"/>
        </w:rPr>
      </w:pPr>
    </w:p>
    <w:p>
      <w:pPr>
        <w:jc w:val="both"/>
        <w:ind w:firstLine="2252"/>
        <w:spacing w:after="0" w:line="246" w:lineRule="auto"/>
        <w:tabs>
          <w:tab w:leader="none" w:pos="266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liquidation, dissolution or discontinuance of business by the Company in any manner or the filing of any petition by or against the Company under any federal or state bankruptcy or insolvency laws, which petition shall not be dismissed within 60 days after filing; provided that, such termination shall not prejudice the Executive’s rights as a stockholder or a creditor of the Company; or</w:t>
      </w:r>
    </w:p>
    <w:p>
      <w:pPr>
        <w:spacing w:after="0" w:line="187" w:lineRule="exact"/>
        <w:rPr>
          <w:rFonts w:ascii="Times New Roman" w:cs="Times New Roman" w:eastAsia="Times New Roman" w:hAnsi="Times New Roman"/>
          <w:sz w:val="21"/>
          <w:szCs w:val="21"/>
          <w:color w:val="auto"/>
        </w:rPr>
      </w:pPr>
    </w:p>
    <w:p>
      <w:pPr>
        <w:ind w:firstLine="2252"/>
        <w:spacing w:after="0" w:line="272" w:lineRule="auto"/>
        <w:tabs>
          <w:tab w:leader="none" w:pos="266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cause” (as defined herein). “</w:t>
      </w:r>
      <w:r>
        <w:rPr>
          <w:rFonts w:ascii="Times New Roman" w:cs="Times New Roman" w:eastAsia="Times New Roman" w:hAnsi="Times New Roman"/>
          <w:sz w:val="21"/>
          <w:szCs w:val="21"/>
          <w:b w:val="1"/>
          <w:bCs w:val="1"/>
          <w:color w:val="auto"/>
        </w:rPr>
        <w:t>For cause</w:t>
      </w:r>
      <w:r>
        <w:rPr>
          <w:rFonts w:ascii="Times New Roman" w:cs="Times New Roman" w:eastAsia="Times New Roman" w:hAnsi="Times New Roman"/>
          <w:sz w:val="21"/>
          <w:szCs w:val="21"/>
          <w:color w:val="auto"/>
        </w:rPr>
        <w:t>” shall be determined by the Board by a majority vote without the participation of the Executive in such vote and shall mean:</w:t>
      </w:r>
    </w:p>
    <w:p>
      <w:pPr>
        <w:spacing w:after="0" w:line="139" w:lineRule="exact"/>
        <w:rPr>
          <w:rFonts w:ascii="Times New Roman" w:cs="Times New Roman" w:eastAsia="Times New Roman" w:hAnsi="Times New Roman"/>
          <w:sz w:val="21"/>
          <w:szCs w:val="21"/>
          <w:color w:val="auto"/>
        </w:rPr>
      </w:pPr>
    </w:p>
    <w:p>
      <w:pPr>
        <w:jc w:val="both"/>
        <w:ind w:firstLine="3002"/>
        <w:spacing w:after="0" w:line="251"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of the terms of this Agreement by the Executive, or the failure of the Executive to diligently and properly perform the Executive’s duties for the Company or the Executive’s failure to achieve the objectives specified by the CEO or the Board , which breach or failure is not cured within 30 days after written notice thereof;</w:t>
      </w:r>
    </w:p>
    <w:p>
      <w:pPr>
        <w:spacing w:after="0" w:line="187" w:lineRule="exact"/>
        <w:rPr>
          <w:rFonts w:ascii="Times New Roman" w:cs="Times New Roman" w:eastAsia="Times New Roman" w:hAnsi="Times New Roman"/>
          <w:sz w:val="21"/>
          <w:szCs w:val="21"/>
          <w:color w:val="auto"/>
        </w:rPr>
      </w:pPr>
    </w:p>
    <w:p>
      <w:pPr>
        <w:jc w:val="both"/>
        <w:ind w:firstLine="3002"/>
        <w:spacing w:after="0" w:line="251"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187" w:lineRule="exact"/>
        <w:rPr>
          <w:rFonts w:ascii="Times New Roman" w:cs="Times New Roman" w:eastAsia="Times New Roman" w:hAnsi="Times New Roman"/>
          <w:sz w:val="21"/>
          <w:szCs w:val="21"/>
          <w:color w:val="auto"/>
        </w:rPr>
      </w:pPr>
    </w:p>
    <w:p>
      <w:pPr>
        <w:jc w:val="both"/>
        <w:ind w:firstLine="3002"/>
        <w:spacing w:after="0" w:line="246"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material failure to comply with the Company Policies or any other policies and/or directives of the Board, which failure is not cured within 30 days after written notice thereof;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in the case of failure to comply with Company Policies related to harassment, unlawful discrimination, retaliation or workplace violence a 30 day cure period and written notice thereof is not required;</w:t>
      </w:r>
    </w:p>
    <w:p>
      <w:pPr>
        <w:spacing w:after="0" w:line="191" w:lineRule="exact"/>
        <w:rPr>
          <w:rFonts w:ascii="Times New Roman" w:cs="Times New Roman" w:eastAsia="Times New Roman" w:hAnsi="Times New Roman"/>
          <w:sz w:val="21"/>
          <w:szCs w:val="21"/>
          <w:color w:val="auto"/>
        </w:rPr>
      </w:pPr>
    </w:p>
    <w:p>
      <w:pPr>
        <w:ind w:right="40" w:firstLine="3002"/>
        <w:spacing w:after="0" w:line="268"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use of illegal drugs or any illegal substance, or the Executive’s use of alcohol in any manner that materially interferes with the performance of the Executive’s duties under this Agreement;</w:t>
      </w:r>
    </w:p>
    <w:p>
      <w:pPr>
        <w:spacing w:after="0" w:line="169" w:lineRule="exact"/>
        <w:rPr>
          <w:rFonts w:ascii="Times New Roman" w:cs="Times New Roman" w:eastAsia="Times New Roman" w:hAnsi="Times New Roman"/>
          <w:sz w:val="21"/>
          <w:szCs w:val="21"/>
          <w:color w:val="auto"/>
        </w:rPr>
      </w:pPr>
    </w:p>
    <w:p>
      <w:pPr>
        <w:jc w:val="both"/>
        <w:ind w:firstLine="3002"/>
        <w:spacing w:after="0" w:line="251"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187" w:lineRule="exact"/>
        <w:rPr>
          <w:rFonts w:ascii="Times New Roman" w:cs="Times New Roman" w:eastAsia="Times New Roman" w:hAnsi="Times New Roman"/>
          <w:sz w:val="21"/>
          <w:szCs w:val="21"/>
          <w:color w:val="auto"/>
        </w:rPr>
      </w:pPr>
    </w:p>
    <w:p>
      <w:pPr>
        <w:jc w:val="both"/>
        <w:ind w:firstLine="3002"/>
        <w:spacing w:after="0" w:line="251"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187" w:lineRule="exact"/>
        <w:rPr>
          <w:rFonts w:ascii="Times New Roman" w:cs="Times New Roman" w:eastAsia="Times New Roman" w:hAnsi="Times New Roman"/>
          <w:sz w:val="21"/>
          <w:szCs w:val="21"/>
          <w:color w:val="auto"/>
        </w:rPr>
      </w:pPr>
    </w:p>
    <w:p>
      <w:pPr>
        <w:jc w:val="both"/>
        <w:ind w:firstLine="3002"/>
        <w:spacing w:after="0" w:line="251" w:lineRule="auto"/>
        <w:tabs>
          <w:tab w:leader="none" w:pos="341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action or omission by the Executive which would be required to be disclosed pursuant to public securities laws or which would limit the ability of the Company or any entity affiliated with the Company to sell securities under 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Federal or state law or which would disqualify the Company or any affiliated entity from any exemption otherwise available to it.</w:t>
      </w:r>
    </w:p>
    <w:p>
      <w:pPr>
        <w:spacing w:after="0" w:line="231" w:lineRule="exact"/>
        <w:rPr>
          <w:sz w:val="20"/>
          <w:szCs w:val="20"/>
          <w:color w:val="auto"/>
        </w:rPr>
      </w:pPr>
    </w:p>
    <w:p>
      <w:pPr>
        <w:ind w:left="2040" w:hanging="537"/>
        <w:spacing w:after="0"/>
        <w:tabs>
          <w:tab w:leader="none" w:pos="2040" w:val="left"/>
        </w:tabs>
        <w:numPr>
          <w:ilvl w:val="0"/>
          <w:numId w:val="2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Obligations of the Company Upon Termination</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u w:val="single" w:color="auto"/>
          <w:color w:val="auto"/>
        </w:rPr>
      </w:pPr>
    </w:p>
    <w:p>
      <w:pPr>
        <w:jc w:val="both"/>
        <w:ind w:firstLine="2252"/>
        <w:spacing w:after="0" w:line="241" w:lineRule="auto"/>
        <w:tabs>
          <w:tab w:leader="none" w:pos="2668"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 regularly scheduled payday unless such amount is not then-calculable, in which case payment shall be made on the first regularly scheduled payday after the amount is calculable.</w:t>
      </w:r>
    </w:p>
    <w:p>
      <w:pPr>
        <w:spacing w:after="0" w:line="173" w:lineRule="exact"/>
        <w:rPr>
          <w:rFonts w:ascii="Times New Roman" w:cs="Times New Roman" w:eastAsia="Times New Roman" w:hAnsi="Times New Roman"/>
          <w:sz w:val="21"/>
          <w:szCs w:val="21"/>
          <w:color w:val="auto"/>
        </w:rPr>
      </w:pPr>
    </w:p>
    <w:p>
      <w:pPr>
        <w:jc w:val="both"/>
        <w:ind w:firstLine="2252"/>
        <w:spacing w:after="0"/>
        <w:tabs>
          <w:tab w:leader="none" w:pos="2668"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Except as provided for in Section 5(d)(iii) in the case of a Termination of this Agreement in Connection with a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Corporate Transaction</w:t>
      </w:r>
      <w:r>
        <w:rPr>
          <w:rFonts w:ascii="Times New Roman" w:cs="Times New Roman" w:eastAsia="Times New Roman" w:hAnsi="Times New Roman"/>
          <w:sz w:val="21"/>
          <w:szCs w:val="21"/>
          <w:color w:val="auto"/>
        </w:rPr>
        <w:t>” (as each such term is defined in the Clearside Biomedical, Inc. 2016 Stock Incentive Plan, as amended from time to time): (A) by the Executive pursuant to paragraph 5(b)(i), or (B) by the Company pursuant to paragraph 5(c)(i) or upon notice of non-renewal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60 days after the date of termination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jc w:val="both"/>
        <w:ind w:firstLine="2673"/>
        <w:spacing w:after="0" w:line="247" w:lineRule="auto"/>
        <w:tabs>
          <w:tab w:leader="none" w:pos="3088"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pay the Executive an amount equal to 12 months (the “ </w:t>
      </w:r>
      <w:r>
        <w:rPr>
          <w:rFonts w:ascii="Times New Roman" w:cs="Times New Roman" w:eastAsia="Times New Roman" w:hAnsi="Times New Roman"/>
          <w:sz w:val="21"/>
          <w:szCs w:val="21"/>
          <w:b w:val="1"/>
          <w:bCs w:val="1"/>
          <w:color w:val="auto"/>
        </w:rPr>
        <w:t>Severance Period</w:t>
      </w:r>
      <w:r>
        <w:rPr>
          <w:rFonts w:ascii="Times New Roman" w:cs="Times New Roman" w:eastAsia="Times New Roman" w:hAnsi="Times New Roman"/>
          <w:sz w:val="21"/>
          <w:szCs w:val="21"/>
          <w:color w:val="auto"/>
        </w:rPr>
        <w:t>”) of Executive’s then-current Base Salary (less all applicable deductions) payable in 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65" w:lineRule="exact"/>
        <w:rPr>
          <w:rFonts w:ascii="Times New Roman" w:cs="Times New Roman" w:eastAsia="Times New Roman" w:hAnsi="Times New Roman"/>
          <w:sz w:val="21"/>
          <w:szCs w:val="21"/>
          <w:color w:val="auto"/>
        </w:rPr>
      </w:pPr>
    </w:p>
    <w:p>
      <w:pPr>
        <w:jc w:val="both"/>
        <w:ind w:firstLine="2673"/>
        <w:spacing w:after="0" w:line="239" w:lineRule="auto"/>
        <w:tabs>
          <w:tab w:leader="none" w:pos="3088"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the Executive has been employed for at least six months during the calendar year of the termination of this Agreement, the Company shall pay the Executive an amount equal to the prorated percentage (based on the number of days of the 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Board determines that the Executive would be eligible for 70% of the Target Bonus based on the Board’s assessment of individual and corporate performance during the year of termination, then the amount payable under this paragraph would be the amount determined by multiplying 75% (i.e., a pro ration reflecting ¾ of the year) by 70% of the Target Bonus for such year;</w:t>
      </w:r>
    </w:p>
    <w:p>
      <w:pPr>
        <w:spacing w:after="0" w:line="172" w:lineRule="exact"/>
        <w:rPr>
          <w:rFonts w:ascii="Times New Roman" w:cs="Times New Roman" w:eastAsia="Times New Roman" w:hAnsi="Times New Roman"/>
          <w:sz w:val="21"/>
          <w:szCs w:val="21"/>
          <w:color w:val="auto"/>
        </w:rPr>
      </w:pPr>
    </w:p>
    <w:p>
      <w:pPr>
        <w:jc w:val="both"/>
        <w:ind w:firstLine="2673"/>
        <w:spacing w:after="0" w:line="251" w:lineRule="auto"/>
        <w:tabs>
          <w:tab w:leader="none" w:pos="3088"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the Executive properly elects and maintains continued health insurance coverage under the Company sponsored plan and provided further that such benefits continue to be offered under the Company sponsored plan, the Company shall</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6" w:name="page37"/>
    <w:bookmarkEnd w:id="36"/>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reimburse the Executive in an amount equal to the cost of the premium for such continued health insurance coverage at the same average level and on the same terms and conditions which applied immediately prior to the date of the Executive’s termination for the shorter of (a) the Severance Period, or (b) until the Executive obtains reasonably comparable coverage; and</w:t>
      </w:r>
    </w:p>
    <w:p>
      <w:pPr>
        <w:spacing w:after="0" w:line="161" w:lineRule="exact"/>
        <w:rPr>
          <w:sz w:val="20"/>
          <w:szCs w:val="20"/>
          <w:color w:val="auto"/>
        </w:rPr>
      </w:pPr>
    </w:p>
    <w:p>
      <w:pPr>
        <w:jc w:val="both"/>
        <w:ind w:firstLine="2673"/>
        <w:spacing w:after="0" w:line="243" w:lineRule="auto"/>
        <w:tabs>
          <w:tab w:leader="none" w:pos="308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Equity Award held by Executive shall immediately vest and be exercisable to the extent such Equity Award would have vested had Executive remained employed by the Company during the Severance Period (or, if greater, to the extent such Equity Award would have vested during the 12 months following Executive’s date of termination had Executive remained employed during such period). The Company and the Executive hereby agree that the Equity Awards shall be deemed amended to the extent necessary to give effect to this provision.</w:t>
      </w:r>
    </w:p>
    <w:p>
      <w:pPr>
        <w:spacing w:after="0" w:line="169" w:lineRule="exact"/>
        <w:rPr>
          <w:sz w:val="20"/>
          <w:szCs w:val="20"/>
          <w:color w:val="auto"/>
        </w:rPr>
      </w:pPr>
    </w:p>
    <w:p>
      <w:pPr>
        <w:jc w:val="both"/>
        <w:ind w:firstLine="2668"/>
        <w:spacing w:after="0" w:line="246" w:lineRule="auto"/>
        <w:rPr>
          <w:sz w:val="20"/>
          <w:szCs w:val="20"/>
          <w:color w:val="auto"/>
        </w:rPr>
      </w:pPr>
      <w:r>
        <w:rPr>
          <w:rFonts w:ascii="Times New Roman" w:cs="Times New Roman" w:eastAsia="Times New Roman" w:hAnsi="Times New Roman"/>
          <w:sz w:val="21"/>
          <w:szCs w:val="21"/>
          <w:color w:val="auto"/>
        </w:rPr>
        <w:t>Upon termination of this Agreement within three months prior to or 12 months following a Change in Control or Corporate Transaction: (A) by the Executive pursuant to paragraph 5(b)(i), or (B) by the Company pursuant to paragraph 5(c)(i) or upon notice of non-renewal of the Term given by the Company during such period, Executive shall be entitled to the following severance benefits, subject to execution of the Release:</w:t>
      </w:r>
    </w:p>
    <w:p>
      <w:pPr>
        <w:spacing w:after="0" w:line="161" w:lineRule="exact"/>
        <w:rPr>
          <w:sz w:val="20"/>
          <w:szCs w:val="20"/>
          <w:color w:val="auto"/>
        </w:rPr>
      </w:pPr>
    </w:p>
    <w:p>
      <w:pPr>
        <w:jc w:val="both"/>
        <w:ind w:firstLine="2252"/>
        <w:spacing w:after="0" w:line="247" w:lineRule="auto"/>
        <w:tabs>
          <w:tab w:leader="none" w:pos="266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an amount equal to 18 months (the “</w:t>
      </w:r>
      <w:r>
        <w:rPr>
          <w:rFonts w:ascii="Times New Roman" w:cs="Times New Roman" w:eastAsia="Times New Roman" w:hAnsi="Times New Roman"/>
          <w:sz w:val="21"/>
          <w:szCs w:val="21"/>
          <w:b w:val="1"/>
          <w:bCs w:val="1"/>
          <w:color w:val="auto"/>
        </w:rPr>
        <w:t>CIC Severance Period</w:t>
      </w:r>
      <w:r>
        <w:rPr>
          <w:rFonts w:ascii="Times New Roman" w:cs="Times New Roman" w:eastAsia="Times New Roman" w:hAnsi="Times New Roman"/>
          <w:sz w:val="21"/>
          <w:szCs w:val="21"/>
          <w:color w:val="auto"/>
        </w:rPr>
        <w:t>”) of Executive’s then-current Base Salary (less all applicable deductions) payable in a lump sum payment on the first regularly scheduled pay date of the Company processed after the Executive has executed and delivered to the Company the Release and any revocation period has expired;</w:t>
      </w:r>
    </w:p>
    <w:p>
      <w:pPr>
        <w:spacing w:after="0" w:line="165" w:lineRule="exact"/>
        <w:rPr>
          <w:rFonts w:ascii="Times New Roman" w:cs="Times New Roman" w:eastAsia="Times New Roman" w:hAnsi="Times New Roman"/>
          <w:sz w:val="21"/>
          <w:szCs w:val="21"/>
          <w:color w:val="auto"/>
        </w:rPr>
      </w:pPr>
    </w:p>
    <w:p>
      <w:pPr>
        <w:jc w:val="both"/>
        <w:ind w:firstLine="2252"/>
        <w:spacing w:after="0" w:line="251" w:lineRule="auto"/>
        <w:tabs>
          <w:tab w:leader="none" w:pos="266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an amount equal to one times the Executive’s Target Bonus amount (less all applicable deductions) payable in a lump sum payment on the first regularly scheduled pay date of the Company processed after Executive has executed and delivered to the Company the Release and any revocation period has expired;</w:t>
      </w:r>
    </w:p>
    <w:p>
      <w:pPr>
        <w:spacing w:after="0" w:line="161" w:lineRule="exact"/>
        <w:rPr>
          <w:rFonts w:ascii="Times New Roman" w:cs="Times New Roman" w:eastAsia="Times New Roman" w:hAnsi="Times New Roman"/>
          <w:sz w:val="21"/>
          <w:szCs w:val="21"/>
          <w:color w:val="auto"/>
        </w:rPr>
      </w:pPr>
    </w:p>
    <w:p>
      <w:pPr>
        <w:jc w:val="both"/>
        <w:ind w:firstLine="2252"/>
        <w:spacing w:after="0" w:line="243" w:lineRule="auto"/>
        <w:tabs>
          <w:tab w:leader="none" w:pos="266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the Executive properly elects and maintains continued health insurance coverage under the Company sponsored plan, the Company shall reimburse the Executive in an amount equal to 100% of the cost of the premium for such continued health insurance coverage at the same average level and on the same terms and conditions which applied immediately prior to the date of the Executive’s termination for the shorter of (a) the CIC Severance Period or (b) until the Executive obtains reasonably comparable coverage through an employer;</w:t>
      </w:r>
    </w:p>
    <w:p>
      <w:pPr>
        <w:spacing w:after="0" w:line="169" w:lineRule="exact"/>
        <w:rPr>
          <w:rFonts w:ascii="Times New Roman" w:cs="Times New Roman" w:eastAsia="Times New Roman" w:hAnsi="Times New Roman"/>
          <w:sz w:val="21"/>
          <w:szCs w:val="21"/>
          <w:color w:val="auto"/>
        </w:rPr>
      </w:pPr>
    </w:p>
    <w:p>
      <w:pPr>
        <w:jc w:val="both"/>
        <w:ind w:firstLine="2252"/>
        <w:spacing w:after="0" w:line="251" w:lineRule="auto"/>
        <w:tabs>
          <w:tab w:leader="none" w:pos="266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Equity Award held by Executive at the time of termination shall immediately vest and be exercisable until the final exercise date set forth in the Equity Award. The Company and the Executive hereby agree that the Equity Awards shall be deemed amended to the extent necessary to give effect to this provision;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7" w:lineRule="exact"/>
        <w:rPr>
          <w:rFonts w:ascii="Times New Roman" w:cs="Times New Roman" w:eastAsia="Times New Roman" w:hAnsi="Times New Roman"/>
          <w:sz w:val="21"/>
          <w:szCs w:val="21"/>
          <w:color w:val="auto"/>
        </w:rPr>
      </w:pPr>
    </w:p>
    <w:p>
      <w:pPr>
        <w:jc w:val="both"/>
        <w:ind w:firstLine="1503"/>
        <w:spacing w:after="0" w:line="251" w:lineRule="auto"/>
        <w:tabs>
          <w:tab w:leader="none" w:pos="2038" w:val="left"/>
        </w:tabs>
        <w:numPr>
          <w:ilvl w:val="0"/>
          <w:numId w:val="2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Resignation as Officer and Director</w:t>
      </w:r>
      <w:r>
        <w:rPr>
          <w:rFonts w:ascii="Times New Roman" w:cs="Times New Roman" w:eastAsia="Times New Roman" w:hAnsi="Times New Roman"/>
          <w:sz w:val="21"/>
          <w:szCs w:val="21"/>
          <w:color w:val="auto"/>
        </w:rPr>
        <w:t>. Upon termination of this Agreement and the Executive’s employment hereunder for any reason by either party, the Executive shall be deemed to have resigned from all offices and positions the Executive may hold with the Company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such time including without limitation Board membership and/or positions as an officer of the Company.</w:t>
      </w:r>
    </w:p>
    <w:p>
      <w:pPr>
        <w:spacing w:after="0" w:line="205" w:lineRule="exact"/>
        <w:rPr>
          <w:sz w:val="20"/>
          <w:szCs w:val="20"/>
          <w:color w:val="auto"/>
        </w:rPr>
      </w:pPr>
    </w:p>
    <w:p>
      <w:pPr>
        <w:jc w:val="both"/>
        <w:ind w:firstLine="1503"/>
        <w:spacing w:after="0" w:line="239" w:lineRule="auto"/>
        <w:tabs>
          <w:tab w:leader="none" w:pos="2038" w:val="left"/>
        </w:tabs>
        <w:numPr>
          <w:ilvl w:val="2"/>
          <w:numId w:val="2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Payment in Lieu of Notice Period</w:t>
      </w:r>
      <w:r>
        <w:rPr>
          <w:rFonts w:ascii="Times New Roman" w:cs="Times New Roman" w:eastAsia="Times New Roman" w:hAnsi="Times New Roman"/>
          <w:sz w:val="21"/>
          <w:szCs w:val="21"/>
          <w:color w:val="auto"/>
        </w:rPr>
        <w:t>. Upon the termination of this Agreement: (A) pursuant to the expiration of the Term based on a non-renewal notice given by either party in accordance with paragraph 3(b); or (B) by the Executive pursuant to paragraph 5(b)(i) or 5(b)(ii), the Company may, at its sole election, pay the Executive an amount equal to Executive’s then-current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the Executive’s final day of employment occur prior to the expiration of any applicable notice period and the Company consents, pay in lieu of notice shall not be required.</w:t>
      </w:r>
    </w:p>
    <w:p>
      <w:pPr>
        <w:spacing w:after="0" w:line="176" w:lineRule="exact"/>
        <w:rPr>
          <w:rFonts w:ascii="Times New Roman" w:cs="Times New Roman" w:eastAsia="Times New Roman" w:hAnsi="Times New Roman"/>
          <w:sz w:val="21"/>
          <w:szCs w:val="21"/>
          <w:u w:val="single" w:color="auto"/>
          <w:color w:val="auto"/>
        </w:rPr>
      </w:pPr>
    </w:p>
    <w:p>
      <w:pPr>
        <w:ind w:left="960" w:hanging="535"/>
        <w:spacing w:after="0"/>
        <w:tabs>
          <w:tab w:leader="none" w:pos="9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Parachute Payment upon Corporate Transaction.</w:t>
      </w:r>
    </w:p>
    <w:p>
      <w:pPr>
        <w:spacing w:after="0" w:line="204" w:lineRule="exact"/>
        <w:rPr>
          <w:rFonts w:ascii="Times New Roman" w:cs="Times New Roman" w:eastAsia="Times New Roman" w:hAnsi="Times New Roman"/>
          <w:sz w:val="21"/>
          <w:szCs w:val="21"/>
          <w:color w:val="auto"/>
        </w:rPr>
      </w:pPr>
    </w:p>
    <w:p>
      <w:pPr>
        <w:ind w:firstLine="845"/>
        <w:spacing w:after="0" w:line="238" w:lineRule="auto"/>
        <w:tabs>
          <w:tab w:leader="none" w:pos="12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Times New Roman" w:cs="Times New Roman" w:eastAsia="Times New Roman" w:hAnsi="Times New Roman"/>
          <w:sz w:val="21"/>
          <w:szCs w:val="21"/>
          <w:b w:val="1"/>
          <w:bCs w:val="1"/>
          <w:color w:val="auto"/>
        </w:rPr>
        <w:t>Section 280G</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280G Change in Control</w:t>
      </w:r>
      <w:r>
        <w:rPr>
          <w:rFonts w:ascii="Times New Roman" w:cs="Times New Roman" w:eastAsia="Times New Roman" w:hAnsi="Times New Roman"/>
          <w:sz w:val="21"/>
          <w:szCs w:val="21"/>
          <w:color w:val="auto"/>
        </w:rPr>
        <w:t>”) payments and benefits under this Agreement, together with other payments and benefits provided to Executive by the Company (including, without limitation, any accelerated vesting of stock options) (the “</w:t>
      </w:r>
      <w:r>
        <w:rPr>
          <w:rFonts w:ascii="Times New Roman" w:cs="Times New Roman" w:eastAsia="Times New Roman" w:hAnsi="Times New Roman"/>
          <w:sz w:val="21"/>
          <w:szCs w:val="21"/>
          <w:b w:val="1"/>
          <w:bCs w:val="1"/>
          <w:color w:val="auto"/>
        </w:rPr>
        <w:t>Total Payments</w:t>
      </w:r>
      <w:r>
        <w:rPr>
          <w:rFonts w:ascii="Times New Roman" w:cs="Times New Roman" w:eastAsia="Times New Roman" w:hAnsi="Times New Roman"/>
          <w:sz w:val="21"/>
          <w:szCs w:val="21"/>
          <w:color w:val="auto"/>
        </w:rPr>
        <w:t>”) shall be made in accordance with this Section 6(a). If all or a portion of the Total Payments would constitute an “excess parachute payment” within the meaning of Section 280G (the aggregate of such payments or portions thereof) being hereinafter referred to as the “</w:t>
      </w:r>
      <w:r>
        <w:rPr>
          <w:rFonts w:ascii="Times New Roman" w:cs="Times New Roman" w:eastAsia="Times New Roman" w:hAnsi="Times New Roman"/>
          <w:sz w:val="21"/>
          <w:szCs w:val="21"/>
          <w:b w:val="1"/>
          <w:bCs w:val="1"/>
          <w:color w:val="auto"/>
        </w:rPr>
        <w:t>Excess Parachute Payments</w:t>
      </w:r>
      <w:r>
        <w:rPr>
          <w:rFonts w:ascii="Times New Roman" w:cs="Times New Roman" w:eastAsia="Times New Roman" w:hAnsi="Times New Roman"/>
          <w:sz w:val="21"/>
          <w:szCs w:val="21"/>
          <w:color w:val="auto"/>
        </w:rPr>
        <w:t>”), then the Executive will be entitled to receive: (i) an amount limited so that no portion thereof shall fail to be tax deductible under Section 280G of the Code (the “</w:t>
      </w:r>
      <w:r>
        <w:rPr>
          <w:rFonts w:ascii="Times New Roman" w:cs="Times New Roman" w:eastAsia="Times New Roman" w:hAnsi="Times New Roman"/>
          <w:sz w:val="21"/>
          <w:szCs w:val="21"/>
          <w:b w:val="1"/>
          <w:bCs w:val="1"/>
          <w:color w:val="auto"/>
        </w:rPr>
        <w:t>Limited Amount</w:t>
      </w:r>
      <w:r>
        <w:rPr>
          <w:rFonts w:ascii="Times New Roman" w:cs="Times New Roman" w:eastAsia="Times New Roman" w:hAnsi="Times New Roman"/>
          <w:sz w:val="21"/>
          <w:szCs w:val="21"/>
          <w:color w:val="auto"/>
        </w:rPr>
        <w:t>”), or (ii) if the amount otherwise payable hereunder or otherwise (without regarding to clause (i)) reduced by all taxes applicable thereto (including, for the avoidance of doubt, the federal excise tax levied on certain Excess Parachute Payments under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would be greater than the Limited Amount reduced by all taxes applicable thereto, the amount otherwise payable hereunder.</w:t>
      </w:r>
    </w:p>
    <w:p>
      <w:pPr>
        <w:spacing w:after="0" w:line="172" w:lineRule="exact"/>
        <w:rPr>
          <w:rFonts w:ascii="Times New Roman" w:cs="Times New Roman" w:eastAsia="Times New Roman" w:hAnsi="Times New Roman"/>
          <w:sz w:val="21"/>
          <w:szCs w:val="21"/>
          <w:color w:val="auto"/>
        </w:rPr>
      </w:pPr>
    </w:p>
    <w:p>
      <w:pPr>
        <w:ind w:firstLine="1685"/>
        <w:spacing w:after="0" w:line="239" w:lineRule="auto"/>
        <w:tabs>
          <w:tab w:leader="none" w:pos="2101" w:val="left"/>
        </w:tabs>
        <w:numPr>
          <w:ilvl w:val="3"/>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as to whether the Total Payments include Excess Parachute Payments and, if so, the amount of such Excess Parachute Payments, the amount of any Excise Tax with respect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In the event that any payments under this Agreement or otherwise are required to be reduced as described in Section 6(a), the adjustment will be made, first, by reducing the amount of Base Salary and Target Bonus payable pursuant to Section 5(d)(iii)(1) and (2</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applicable; second, if additional reductions are necessary, by reducing the payment of health insurance premium due to Executive pursuant to Section 5(d)(iii)(3), as applicable; and third, if additional reductions are still necessary, by eliminating the accelerated vesting of time-based equity-based awards under Section 5(d)(iii)(4), if any, starting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those awards for which the amount required to be taken into account under Section 280G is the greatest.</w:t>
      </w:r>
    </w:p>
    <w:p>
      <w:pPr>
        <w:spacing w:after="0" w:line="205" w:lineRule="exact"/>
        <w:rPr>
          <w:sz w:val="20"/>
          <w:szCs w:val="20"/>
          <w:color w:val="auto"/>
        </w:rPr>
      </w:pPr>
    </w:p>
    <w:p>
      <w:pPr>
        <w:jc w:val="both"/>
        <w:ind w:firstLine="425"/>
        <w:spacing w:after="0" w:line="251" w:lineRule="auto"/>
        <w:tabs>
          <w:tab w:leader="none" w:pos="8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there has been an underpayment or 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7872(f)(2) of the Code.</w:t>
      </w:r>
    </w:p>
    <w:p>
      <w:pPr>
        <w:spacing w:after="0" w:line="161" w:lineRule="exact"/>
        <w:rPr>
          <w:sz w:val="20"/>
          <w:szCs w:val="20"/>
          <w:color w:val="auto"/>
        </w:rPr>
      </w:pPr>
    </w:p>
    <w:p>
      <w:pPr>
        <w:jc w:val="both"/>
        <w:ind w:firstLine="425"/>
        <w:spacing w:after="0"/>
        <w:tabs>
          <w:tab w:leader="none" w:pos="85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Proprietary Information Agreement</w:t>
      </w:r>
      <w:r>
        <w:rPr>
          <w:rFonts w:ascii="Times New Roman" w:cs="Times New Roman" w:eastAsia="Times New Roman" w:hAnsi="Times New Roman"/>
          <w:sz w:val="21"/>
          <w:szCs w:val="21"/>
          <w:color w:val="auto"/>
        </w:rPr>
        <w:t>. The terms of the Proprietary Information and Inventions Agreement by and between the Company and the Executive dated as of the Effective Date, (the “</w:t>
      </w:r>
      <w:r>
        <w:rPr>
          <w:rFonts w:ascii="Times New Roman" w:cs="Times New Roman" w:eastAsia="Times New Roman" w:hAnsi="Times New Roman"/>
          <w:sz w:val="21"/>
          <w:szCs w:val="21"/>
          <w:b w:val="1"/>
          <w:bCs w:val="1"/>
          <w:color w:val="auto"/>
        </w:rPr>
        <w:t>Proprietary Information Agreement</w:t>
      </w:r>
      <w:r>
        <w:rPr>
          <w:rFonts w:ascii="Times New Roman" w:cs="Times New Roman" w:eastAsia="Times New Roman" w:hAnsi="Times New Roman"/>
          <w:sz w:val="21"/>
          <w:szCs w:val="21"/>
          <w:color w:val="auto"/>
        </w:rPr>
        <w: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for the CIC Severance Period following the end of employment in the event the Company makes the lump sum payment provided for under Section 5(d)(iii)(1).</w:t>
      </w:r>
    </w:p>
    <w:p>
      <w:pPr>
        <w:spacing w:after="0" w:line="200" w:lineRule="exact"/>
        <w:rPr>
          <w:rFonts w:ascii="Times New Roman" w:cs="Times New Roman" w:eastAsia="Times New Roman" w:hAnsi="Times New Roman"/>
          <w:sz w:val="21"/>
          <w:szCs w:val="21"/>
          <w:color w:val="auto"/>
        </w:rPr>
      </w:pPr>
    </w:p>
    <w:p>
      <w:pPr>
        <w:ind w:left="840" w:hanging="415"/>
        <w:spacing w:after="0"/>
        <w:tabs>
          <w:tab w:leader="none" w:pos="8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425"/>
        <w:spacing w:after="0" w:line="243" w:lineRule="auto"/>
        <w:tabs>
          <w:tab w:leader="none" w:pos="8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represents and warrants to the Company that 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 agreement that conflicts with or violates this Agreement.</w:t>
      </w:r>
    </w:p>
    <w:p>
      <w:pPr>
        <w:spacing w:after="0" w:line="195"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1"/>
          <w:szCs w:val="21"/>
          <w:color w:val="auto"/>
        </w:rPr>
        <w:t>(b) The Executive represents and warrants to the Company that the Executive has not brought and shall not bring with the Executive to the Company, or use in the performance of the Executive's responsibili ties for the Company, any materials or documents of a former employ er which are not generally available to the public or which did not belong to the Executive prior to the Executive’s employment with the Company, unless the Executive has obtained written authorization from the former employer or other owner for their possession and use and provided the Company with a copy thereof.</w:t>
      </w:r>
    </w:p>
    <w:p>
      <w:pPr>
        <w:spacing w:after="0" w:line="195" w:lineRule="exact"/>
        <w:rPr>
          <w:sz w:val="20"/>
          <w:szCs w:val="20"/>
          <w:color w:val="auto"/>
        </w:rPr>
      </w:pPr>
    </w:p>
    <w:p>
      <w:pPr>
        <w:jc w:val="both"/>
        <w:ind w:firstLine="425"/>
        <w:spacing w:after="0" w:line="241" w:lineRule="auto"/>
        <w:tabs>
          <w:tab w:leader="none" w:pos="8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Executive</w:t>
      </w:r>
      <w:r>
        <w:rPr>
          <w:rFonts w:ascii="Times New Roman" w:cs="Times New Roman" w:eastAsia="Times New Roman" w:hAnsi="Times New Roman"/>
          <w:sz w:val="21"/>
          <w:szCs w:val="21"/>
          <w:color w:val="auto"/>
        </w:rPr>
        <w:t>. To the extent any of Executive’s actions or inactions result in damages to the Company which are not covered under the Company’s then existing indemnification provisions for officers, its Directors and Officers insurance policy (or similar insurance contract), or would be unlawful for the Company to indemnify, then the Executive shall indemnify and hold harmless the Company, its directors, officers, stockholders, agents, and employees against all claims, costs, expenses, liabilities, and lost profits, including amounts paid in settlement, incurred by any of them as a result of the material breach by the Executive of any provision of Section 2, 6 and/or 7 of this Agreement.</w:t>
      </w:r>
    </w:p>
    <w:p>
      <w:pPr>
        <w:spacing w:after="0" w:line="172" w:lineRule="exact"/>
        <w:rPr>
          <w:rFonts w:ascii="Times New Roman" w:cs="Times New Roman" w:eastAsia="Times New Roman" w:hAnsi="Times New Roman"/>
          <w:sz w:val="21"/>
          <w:szCs w:val="21"/>
          <w:color w:val="auto"/>
        </w:rPr>
      </w:pPr>
    </w:p>
    <w:p>
      <w:pPr>
        <w:ind w:firstLine="425"/>
        <w:spacing w:after="0" w:line="268" w:lineRule="auto"/>
        <w:tabs>
          <w:tab w:leader="none" w:pos="8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approvals, and other communications to, upon, and between the parties shall be in writing and shall be deemed to have been given, delivered,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made, and received when: (a) personally delivered; (b) deposited for next day delivery by Federal Express, or other similar overnight courier services; (c) transmitted via telefacsimile or other similar device to the attention of the Board of Directors of the Company with receipt acknowledged; or (d) three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195" w:lineRule="exact"/>
        <w:rPr>
          <w:sz w:val="20"/>
          <w:szCs w:val="20"/>
          <w:color w:val="auto"/>
        </w:rPr>
      </w:pPr>
    </w:p>
    <w:p>
      <w:pPr>
        <w:ind w:firstLine="425"/>
        <w:spacing w:after="0" w:line="268" w:lineRule="auto"/>
        <w:tabs>
          <w:tab w:leader="none" w:pos="8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This Agreement shall be binding on and inure to the respective benefit of the Company and its successors and assigns and the Executive and Executive’s personal representatives.</w:t>
      </w:r>
    </w:p>
    <w:p>
      <w:pPr>
        <w:spacing w:after="0" w:line="169" w:lineRule="exact"/>
        <w:rPr>
          <w:rFonts w:ascii="Times New Roman" w:cs="Times New Roman" w:eastAsia="Times New Roman" w:hAnsi="Times New Roman"/>
          <w:sz w:val="21"/>
          <w:szCs w:val="21"/>
          <w:color w:val="auto"/>
        </w:rPr>
      </w:pPr>
    </w:p>
    <w:p>
      <w:pPr>
        <w:jc w:val="both"/>
        <w:ind w:firstLine="425"/>
        <w:spacing w:after="0" w:line="246" w:lineRule="auto"/>
        <w:tabs>
          <w:tab w:leader="none" w:pos="8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Proprietary Information 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an employment offer letter dated March 6, 2024.</w:t>
      </w:r>
    </w:p>
    <w:p>
      <w:pPr>
        <w:spacing w:after="0" w:line="191" w:lineRule="exact"/>
        <w:rPr>
          <w:rFonts w:ascii="Times New Roman" w:cs="Times New Roman" w:eastAsia="Times New Roman" w:hAnsi="Times New Roman"/>
          <w:sz w:val="21"/>
          <w:szCs w:val="21"/>
          <w:color w:val="auto"/>
        </w:rPr>
      </w:pPr>
    </w:p>
    <w:p>
      <w:pPr>
        <w:ind w:firstLine="425"/>
        <w:spacing w:after="0" w:line="268" w:lineRule="auto"/>
        <w:tabs>
          <w:tab w:leader="none" w:pos="91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w:t>
      </w:r>
    </w:p>
    <w:p>
      <w:pPr>
        <w:spacing w:after="0" w:line="169" w:lineRule="exact"/>
        <w:rPr>
          <w:rFonts w:ascii="Times New Roman" w:cs="Times New Roman" w:eastAsia="Times New Roman" w:hAnsi="Times New Roman"/>
          <w:sz w:val="21"/>
          <w:szCs w:val="21"/>
          <w:color w:val="auto"/>
        </w:rPr>
      </w:pPr>
    </w:p>
    <w:p>
      <w:pPr>
        <w:ind w:firstLine="425"/>
        <w:spacing w:after="0" w:line="268" w:lineRule="auto"/>
        <w:tabs>
          <w:tab w:leader="none" w:pos="89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No provision of this Agreement, including the provisions of this Section, may be amended, modified, deleted, or waived in any manner except by a written agreement executed by the parties.</w:t>
      </w:r>
    </w:p>
    <w:p>
      <w:pPr>
        <w:spacing w:after="0" w:line="169" w:lineRule="exact"/>
        <w:rPr>
          <w:rFonts w:ascii="Times New Roman" w:cs="Times New Roman" w:eastAsia="Times New Roman" w:hAnsi="Times New Roman"/>
          <w:sz w:val="21"/>
          <w:szCs w:val="21"/>
          <w:color w:val="auto"/>
        </w:rPr>
      </w:pPr>
    </w:p>
    <w:p>
      <w:pPr>
        <w:jc w:val="both"/>
        <w:ind w:firstLine="425"/>
        <w:spacing w:after="0" w:line="243" w:lineRule="auto"/>
        <w:tabs>
          <w:tab w:leader="none" w:pos="89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Matters</w:t>
      </w:r>
      <w:r>
        <w:rPr>
          <w:rFonts w:ascii="Times New Roman" w:cs="Times New Roman" w:eastAsia="Times New Roman" w:hAnsi="Times New Roman"/>
          <w:sz w:val="21"/>
          <w:szCs w:val="21"/>
          <w:color w:val="auto"/>
        </w:rPr>
        <w:t>. This Agreement is intended to comply with the requirements of Section 409A of the Internal Revenue Code of 1986, as amended and the Treasury Regulations and other applicable 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To the extent that there is any ambiguity as to whether this Agreement (or any of its provisions) contravenes one or more requirements of Section 409A, such provision shall be interpreted and applied in a matter that does not result in a Section 409A violation. Without limiting the generality of the above:</w:t>
      </w:r>
    </w:p>
    <w:p>
      <w:pPr>
        <w:spacing w:after="0" w:line="191" w:lineRule="exact"/>
        <w:rPr>
          <w:rFonts w:ascii="Times New Roman" w:cs="Times New Roman" w:eastAsia="Times New Roman" w:hAnsi="Times New Roman"/>
          <w:sz w:val="21"/>
          <w:szCs w:val="21"/>
          <w:color w:val="auto"/>
        </w:rPr>
      </w:pPr>
    </w:p>
    <w:p>
      <w:pPr>
        <w:jc w:val="both"/>
        <w:ind w:firstLine="845"/>
        <w:spacing w:after="0" w:line="247" w:lineRule="auto"/>
        <w:tabs>
          <w:tab w:leader="none" w:pos="126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clarity, the severance benefits specified in this Agreement (the “ </w:t>
      </w:r>
      <w:r>
        <w:rPr>
          <w:rFonts w:ascii="Times New Roman" w:cs="Times New Roman" w:eastAsia="Times New Roman" w:hAnsi="Times New Roman"/>
          <w:sz w:val="21"/>
          <w:szCs w:val="21"/>
          <w:b w:val="1"/>
          <w:bCs w:val="1"/>
          <w:color w:val="auto"/>
        </w:rPr>
        <w:t>Severance Benefits</w:t>
      </w:r>
      <w:r>
        <w:rPr>
          <w:rFonts w:ascii="Times New Roman" w:cs="Times New Roman" w:eastAsia="Times New Roman" w:hAnsi="Times New Roman"/>
          <w:sz w:val="21"/>
          <w:szCs w:val="21"/>
          <w:color w:val="auto"/>
        </w:rPr>
        <w:t>”) are only payable upon a “separation from service” as defined in Section 409A. The Severance Benefits shall be deemed to be series of separate payments, with each installment being treated as a separate payment. The time and form of payment of any compensation may not be deferred or accelerated to the extent it would result in an impermissible acceleration or deferral under Section 409A.</w:t>
      </w:r>
    </w:p>
    <w:p>
      <w:pPr>
        <w:spacing w:after="0" w:line="191" w:lineRule="exact"/>
        <w:rPr>
          <w:rFonts w:ascii="Times New Roman" w:cs="Times New Roman" w:eastAsia="Times New Roman" w:hAnsi="Times New Roman"/>
          <w:sz w:val="21"/>
          <w:szCs w:val="21"/>
          <w:color w:val="auto"/>
        </w:rPr>
      </w:pPr>
    </w:p>
    <w:p>
      <w:pPr>
        <w:ind w:firstLine="845"/>
        <w:spacing w:after="0" w:line="270" w:lineRule="auto"/>
        <w:tabs>
          <w:tab w:leader="none" w:pos="12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this Agreement contains payments which are 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firstLine="845"/>
        <w:spacing w:after="0" w:line="231" w:lineRule="auto"/>
        <w:tabs>
          <w:tab w:leader="none" w:pos="12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Severance Benefits are intended to be 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1"/>
          <w:szCs w:val="21"/>
          <w:color w:val="auto"/>
        </w:rPr>
        <w:t xml:space="preserve"> of the second calendar year following the calendar year in which the Executive’s employment terminated unless another time period is applicable.</w:t>
      </w:r>
    </w:p>
    <w:p>
      <w:pPr>
        <w:spacing w:after="0" w:line="200" w:lineRule="exact"/>
        <w:rPr>
          <w:rFonts w:ascii="Times New Roman" w:cs="Times New Roman" w:eastAsia="Times New Roman" w:hAnsi="Times New Roman"/>
          <w:sz w:val="21"/>
          <w:szCs w:val="21"/>
          <w:color w:val="auto"/>
        </w:rPr>
      </w:pPr>
    </w:p>
    <w:p>
      <w:pPr>
        <w:ind w:firstLine="845"/>
        <w:spacing w:after="0" w:line="232" w:lineRule="auto"/>
        <w:tabs>
          <w:tab w:leader="none" w:pos="12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Employee is a “specified employee” (as defined in Section 409A) on the termination date and a delayed payment is required by Section 409A to avoid a prohibited distribution under Section 409A, then no Severance Benefits that constitute “non-qualified deferred compensation” under Section 409A shall be paid until the earlier of (i) the first day of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month following the date of the Executive’s “separation from service” as defined in Section 409A, or (ii) the date of the Executive’s death. Upon the expiration of the applicable deferral period, all payments deferred under this clause shall be paid in a lump sum and any remaining severance benefits shall be paid per the schedule specified in this Agreement.</w:t>
      </w:r>
    </w:p>
    <w:p>
      <w:pPr>
        <w:spacing w:after="0" w:line="202" w:lineRule="exact"/>
        <w:rPr>
          <w:rFonts w:ascii="Times New Roman" w:cs="Times New Roman" w:eastAsia="Times New Roman" w:hAnsi="Times New Roman"/>
          <w:sz w:val="21"/>
          <w:szCs w:val="21"/>
          <w:color w:val="auto"/>
        </w:rPr>
      </w:pPr>
    </w:p>
    <w:p>
      <w:pPr>
        <w:jc w:val="both"/>
        <w:ind w:firstLine="845"/>
        <w:spacing w:after="0" w:line="246" w:lineRule="auto"/>
        <w:tabs>
          <w:tab w:leader="none" w:pos="12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makes no representation that this Agreement 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191" w:lineRule="exact"/>
        <w:rPr>
          <w:rFonts w:ascii="Times New Roman" w:cs="Times New Roman" w:eastAsia="Times New Roman" w:hAnsi="Times New Roman"/>
          <w:sz w:val="21"/>
          <w:szCs w:val="21"/>
          <w:color w:val="auto"/>
        </w:rPr>
      </w:pPr>
    </w:p>
    <w:p>
      <w:pPr>
        <w:ind w:firstLine="425"/>
        <w:spacing w:after="0" w:line="268" w:lineRule="auto"/>
        <w:tabs>
          <w:tab w:leader="none" w:pos="8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by and construed according to the laws of the Georgia as such laws are applied to agreements entered into and to be performed entirely within Georgia between Georgia residents.</w:t>
      </w:r>
    </w:p>
    <w:p>
      <w:pPr>
        <w:spacing w:after="0" w:line="169" w:lineRule="exact"/>
        <w:rPr>
          <w:rFonts w:ascii="Times New Roman" w:cs="Times New Roman" w:eastAsia="Times New Roman" w:hAnsi="Times New Roman"/>
          <w:sz w:val="21"/>
          <w:szCs w:val="21"/>
          <w:color w:val="auto"/>
        </w:rPr>
      </w:pPr>
    </w:p>
    <w:p>
      <w:pPr>
        <w:jc w:val="both"/>
        <w:ind w:firstLine="425"/>
        <w:spacing w:after="0" w:line="246" w:lineRule="auto"/>
        <w:tabs>
          <w:tab w:leader="none" w:pos="89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 and Venue</w:t>
      </w:r>
      <w:r>
        <w:rPr>
          <w:rFonts w:ascii="Times New Roman" w:cs="Times New Roman" w:eastAsia="Times New Roman" w:hAnsi="Times New Roman"/>
          <w:sz w:val="21"/>
          <w:szCs w:val="21"/>
          <w:color w:val="auto"/>
        </w:rPr>
        <w:t>. Each of the parties agrees that any suit, 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91" w:lineRule="exact"/>
        <w:rPr>
          <w:rFonts w:ascii="Times New Roman" w:cs="Times New Roman" w:eastAsia="Times New Roman" w:hAnsi="Times New Roman"/>
          <w:sz w:val="21"/>
          <w:szCs w:val="21"/>
          <w:color w:val="auto"/>
        </w:rPr>
      </w:pPr>
    </w:p>
    <w:p>
      <w:pPr>
        <w:ind w:firstLine="425"/>
        <w:spacing w:after="0" w:line="268" w:lineRule="auto"/>
        <w:tabs>
          <w:tab w:leader="none" w:pos="85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more than one counterpart, each of which shall be deemed an original, and all of which shall be deemed a single agreement.</w:t>
      </w:r>
    </w:p>
    <w:p>
      <w:pPr>
        <w:spacing w:after="0" w:line="169" w:lineRule="exact"/>
        <w:rPr>
          <w:rFonts w:ascii="Times New Roman" w:cs="Times New Roman" w:eastAsia="Times New Roman" w:hAnsi="Times New Roman"/>
          <w:sz w:val="21"/>
          <w:szCs w:val="21"/>
          <w:color w:val="auto"/>
        </w:rPr>
      </w:pPr>
    </w:p>
    <w:p>
      <w:pPr>
        <w:ind w:left="840" w:hanging="415"/>
        <w:spacing w:after="0"/>
        <w:tabs>
          <w:tab w:leader="none" w:pos="8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herein are for convenience only and shall not affect the interpretation of this Agreement.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650875</wp:posOffset>
            </wp:positionV>
            <wp:extent cx="716153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as of the day and year first above written.</w:t>
      </w:r>
    </w:p>
    <w:p>
      <w:pPr>
        <w:sectPr>
          <w:pgSz w:w="11900" w:h="16838" w:orient="portrait"/>
          <w:cols w:equalWidth="0" w:num="1">
            <w:col w:w="9719"/>
          </w:cols>
          <w:pgMar w:left="740" w:top="1372"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Clearside Biomedical, Inc.</w:t>
      </w:r>
    </w:p>
    <w:p>
      <w:pPr>
        <w:spacing w:after="0" w:line="248" w:lineRule="exact"/>
        <w:rPr>
          <w:sz w:val="20"/>
          <w:szCs w:val="20"/>
          <w:color w:val="auto"/>
        </w:rPr>
      </w:pPr>
    </w:p>
    <w:p>
      <w:pPr>
        <w:ind w:left="4160"/>
        <w:spacing w:after="0"/>
        <w:tabs>
          <w:tab w:leader="none" w:pos="53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George Lasezkay</w:t>
      </w:r>
    </w:p>
    <w:p>
      <w:pPr>
        <w:spacing w:after="0" w:line="3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George Lasezkay</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48" w:lineRule="exact"/>
        <w:rPr>
          <w:sz w:val="20"/>
          <w:szCs w:val="20"/>
          <w:color w:val="auto"/>
        </w:rPr>
      </w:pPr>
    </w:p>
    <w:p>
      <w:pPr>
        <w:ind w:left="4160"/>
        <w:spacing w:after="0"/>
        <w:tabs>
          <w:tab w:leader="none" w:pos="53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Victor Chong</w:t>
      </w:r>
    </w:p>
    <w:p>
      <w:pPr>
        <w:spacing w:after="0" w:line="3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Victor Chong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650875</wp:posOffset>
            </wp:positionV>
            <wp:extent cx="716153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19"/>
          </w:cols>
          <w:pgMar w:left="740" w:top="1372" w:right="1440"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08"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Clearside Biomedical, Inc. (the “registrant”);</w:t>
      </w:r>
    </w:p>
    <w:p>
      <w:pPr>
        <w:spacing w:after="0" w:line="108" w:lineRule="exact"/>
        <w:rPr>
          <w:rFonts w:ascii="Times New Roman" w:cs="Times New Roman" w:eastAsia="Times New Roman" w:hAnsi="Times New Roman"/>
          <w:sz w:val="18"/>
          <w:szCs w:val="18"/>
          <w:color w:val="auto"/>
        </w:rPr>
      </w:pPr>
    </w:p>
    <w:p>
      <w:pPr>
        <w:ind w:left="520" w:right="60" w:hanging="515"/>
        <w:spacing w:after="0" w:line="331" w:lineRule="auto"/>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Times New Roman" w:cs="Times New Roman" w:eastAsia="Times New Roman" w:hAnsi="Times New Roman"/>
          <w:sz w:val="16"/>
          <w:szCs w:val="16"/>
          <w:color w:val="auto"/>
        </w:rPr>
      </w:pPr>
    </w:p>
    <w:p>
      <w:pPr>
        <w:ind w:left="520" w:right="520" w:hanging="515"/>
        <w:spacing w:after="0" w:line="267"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520" w:right="140" w:hanging="515"/>
        <w:spacing w:after="0" w:line="255"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020" w:right="280" w:hanging="505"/>
        <w:spacing w:after="0" w:line="255"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020" w:right="600" w:hanging="505"/>
        <w:spacing w:after="0" w:line="255"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020" w:right="760" w:hanging="505"/>
        <w:spacing w:after="0" w:line="331" w:lineRule="auto"/>
        <w:tabs>
          <w:tab w:leader="none" w:pos="10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020" w:hanging="505"/>
        <w:spacing w:after="0" w:line="255"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Times New Roman" w:cs="Times New Roman" w:eastAsia="Times New Roman" w:hAnsi="Times New Roman"/>
          <w:sz w:val="18"/>
          <w:szCs w:val="18"/>
          <w:color w:val="auto"/>
        </w:rPr>
      </w:pPr>
    </w:p>
    <w:p>
      <w:pPr>
        <w:ind w:left="480" w:right="300" w:hanging="475"/>
        <w:spacing w:after="0" w:line="267"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020" w:right="200" w:hanging="505"/>
        <w:spacing w:after="0" w:line="267"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Times New Roman" w:cs="Times New Roman" w:eastAsia="Times New Roman" w:hAnsi="Times New Roman"/>
          <w:sz w:val="18"/>
          <w:szCs w:val="18"/>
          <w:color w:val="auto"/>
        </w:rPr>
      </w:pPr>
    </w:p>
    <w:p>
      <w:pPr>
        <w:ind w:left="1020" w:right="160" w:hanging="505"/>
        <w:spacing w:after="0" w:line="267"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2024</w:t>
      </w: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22225</wp:posOffset>
            </wp:positionV>
            <wp:extent cx="2851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609600</wp:posOffset>
            </wp:positionV>
            <wp:extent cx="716153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08" w:lineRule="exact"/>
        <w:rPr>
          <w:sz w:val="20"/>
          <w:szCs w:val="20"/>
          <w:color w:val="auto"/>
        </w:rPr>
      </w:pPr>
    </w:p>
    <w:p>
      <w:pPr>
        <w:ind w:left="520" w:hanging="515"/>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Clearside Biomedical, Inc. (the “registrant”);</w:t>
      </w:r>
    </w:p>
    <w:p>
      <w:pPr>
        <w:spacing w:after="0" w:line="108" w:lineRule="exact"/>
        <w:rPr>
          <w:rFonts w:ascii="Times New Roman" w:cs="Times New Roman" w:eastAsia="Times New Roman" w:hAnsi="Times New Roman"/>
          <w:sz w:val="18"/>
          <w:szCs w:val="18"/>
          <w:color w:val="auto"/>
        </w:rPr>
      </w:pPr>
    </w:p>
    <w:p>
      <w:pPr>
        <w:ind w:left="520" w:right="60" w:hanging="515"/>
        <w:spacing w:after="0" w:line="331" w:lineRule="auto"/>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Times New Roman" w:cs="Times New Roman" w:eastAsia="Times New Roman" w:hAnsi="Times New Roman"/>
          <w:sz w:val="16"/>
          <w:szCs w:val="16"/>
          <w:color w:val="auto"/>
        </w:rPr>
      </w:pPr>
    </w:p>
    <w:p>
      <w:pPr>
        <w:ind w:left="520" w:right="520" w:hanging="515"/>
        <w:spacing w:after="0" w:line="267"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520" w:right="140" w:hanging="515"/>
        <w:spacing w:after="0" w:line="255"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020" w:right="280" w:hanging="505"/>
        <w:spacing w:after="0" w:line="255"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020" w:right="600" w:hanging="505"/>
        <w:spacing w:after="0" w:line="255"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020" w:right="760" w:hanging="505"/>
        <w:spacing w:after="0" w:line="331" w:lineRule="auto"/>
        <w:tabs>
          <w:tab w:leader="none" w:pos="10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020" w:hanging="505"/>
        <w:spacing w:after="0" w:line="255"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Times New Roman" w:cs="Times New Roman" w:eastAsia="Times New Roman" w:hAnsi="Times New Roman"/>
          <w:sz w:val="18"/>
          <w:szCs w:val="18"/>
          <w:color w:val="auto"/>
        </w:rPr>
      </w:pPr>
    </w:p>
    <w:p>
      <w:pPr>
        <w:ind w:left="520" w:right="260" w:hanging="515"/>
        <w:spacing w:after="0" w:line="267"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020" w:right="200" w:hanging="505"/>
        <w:spacing w:after="0" w:line="267"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Times New Roman" w:cs="Times New Roman" w:eastAsia="Times New Roman" w:hAnsi="Times New Roman"/>
          <w:sz w:val="18"/>
          <w:szCs w:val="18"/>
          <w:color w:val="auto"/>
        </w:rPr>
      </w:pPr>
    </w:p>
    <w:p>
      <w:pPr>
        <w:ind w:left="1020" w:right="160" w:hanging="505"/>
        <w:spacing w:after="0" w:line="267"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2024</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19050</wp:posOffset>
            </wp:positionV>
            <wp:extent cx="28511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609600</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5" w:lineRule="exact"/>
        <w:rPr>
          <w:sz w:val="20"/>
          <w:szCs w:val="20"/>
          <w:color w:val="auto"/>
        </w:rPr>
      </w:pPr>
    </w:p>
    <w:p>
      <w:pPr>
        <w:jc w:val="both"/>
        <w:ind w:right="40" w:firstLine="509"/>
        <w:spacing w:after="0" w:line="30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41" w:lineRule="exact"/>
        <w:rPr>
          <w:sz w:val="20"/>
          <w:szCs w:val="20"/>
          <w:color w:val="auto"/>
        </w:rPr>
      </w:pPr>
    </w:p>
    <w:p>
      <w:pPr>
        <w:ind w:left="520" w:right="20" w:hanging="515"/>
        <w:spacing w:after="0" w:line="26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64" w:lineRule="exact"/>
        <w:rPr>
          <w:rFonts w:ascii="Times New Roman" w:cs="Times New Roman" w:eastAsia="Times New Roman" w:hAnsi="Times New Roman"/>
          <w:sz w:val="18"/>
          <w:szCs w:val="18"/>
          <w:color w:val="auto"/>
        </w:rPr>
      </w:pPr>
    </w:p>
    <w:p>
      <w:pPr>
        <w:ind w:left="520" w:right="700" w:hanging="515"/>
        <w:spacing w:after="0" w:line="26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12th day of August,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Lasezkay, Pharm. D., J.D.</w:t>
            </w:r>
          </w:p>
        </w:tc>
        <w:tc>
          <w:tcPr>
            <w:tcW w:w="22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Charles A. Deignan</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45" w:lineRule="exact"/>
        <w:rPr>
          <w:sz w:val="20"/>
          <w:szCs w:val="20"/>
          <w:color w:val="auto"/>
        </w:rPr>
      </w:pPr>
    </w:p>
    <w:p>
      <w:pPr>
        <w:ind w:left="520" w:right="220" w:hanging="515"/>
        <w:spacing w:after="0" w:line="255" w:lineRule="auto"/>
        <w:tabs>
          <w:tab w:leader="none" w:pos="3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580390</wp:posOffset>
            </wp:positionV>
            <wp:extent cx="716153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decimal"/>
      <w:start w:val="4"/>
    </w:lvl>
  </w:abstractNum>
  <w:abstractNum w:abstractNumId="15">
    <w:nsid w:val="189A769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6">
    <w:nsid w:val="54E49EB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7">
    <w:nsid w:val="71F32454"/>
    <w:multiLevelType w:val="hybridMultilevel"/>
    <w:lvl w:ilvl="0">
      <w:lvlJc w:val="left"/>
      <w:lvlText w:val="(%1)"/>
      <w:numFmt w:val="lowerLetter"/>
      <w:start w:val="5"/>
    </w:lvl>
    <w:lvl w:ilvl="1">
      <w:lvlJc w:val="left"/>
      <w:lvlText w:val="(%2)"/>
      <w:numFmt w:val="lowerLetter"/>
      <w:start w:val="6"/>
    </w:lvl>
  </w:abstractNum>
  <w:abstractNum w:abstractNumId="18">
    <w:nsid w:val="2CA8861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836C40E"/>
    <w:multiLevelType w:val="hybridMultilevel"/>
    <w:lvl w:ilvl="0">
      <w:lvlJc w:val="left"/>
      <w:lvlText w:val="(%1)"/>
      <w:numFmt w:val="lowerRoman"/>
      <w:start w:val="4"/>
    </w:lvl>
    <w:lvl w:ilvl="1">
      <w:lvlJc w:val="left"/>
      <w:lvlText w:val="(%2)"/>
      <w:numFmt w:val="upperLetter"/>
      <w:start w:val="1"/>
    </w:lvl>
  </w:abstractNum>
  <w:abstractNum w:abstractNumId="20">
    <w:nsid w:val="2901D8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1"/>
      <w:numFmt w:val="lowerLetter"/>
      <w:start w:val="1"/>
    </w:lvl>
    <w:lvl w:ilvl="1">
      <w:lvlJc w:val="left"/>
      <w:lvlText w:val="(%2)"/>
      <w:numFmt w:val="decimal"/>
      <w:start w:val="1"/>
    </w:lvl>
  </w:abstractNum>
  <w:abstractNum w:abstractNumId="23">
    <w:nsid w:val="1E7FF521"/>
    <w:multiLevelType w:val="hybridMultilevel"/>
    <w:lvl w:ilvl="0">
      <w:lvlJc w:val="left"/>
      <w:lvlText w:val="(%1)"/>
      <w:numFmt w:val="lowerLetter"/>
      <w:start w:val="5"/>
    </w:lvl>
    <w:lvl w:ilvl="1">
      <w:lvlJc w:val="left"/>
      <w:lvlText w:val="%2"/>
      <w:numFmt w:val="decimal"/>
      <w:start w:val="1"/>
    </w:lvl>
  </w:abstractNum>
  <w:abstractNum w:abstractNumId="24">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5">
    <w:nsid w:val="737B8DD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decimal"/>
      <w:start w:val="7"/>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9"/>
    </w:lvl>
  </w:abstractNum>
  <w:abstractNum w:abstractNumId="30">
    <w:nsid w:val="614FD4A1"/>
    <w:multiLevelType w:val="hybridMultilevel"/>
    <w:lvl w:ilvl="0">
      <w:lvlJc w:val="left"/>
      <w:lvlText w:val="%1."/>
      <w:numFmt w:val="decimal"/>
      <w:start w:val="1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3"/>
    </w:lvl>
  </w:abstractNum>
  <w:abstractNum w:abstractNumId="32">
    <w:nsid w:val="5577F8E1"/>
    <w:multiLevelType w:val="hybridMultilevel"/>
    <w:lvl w:ilvl="0">
      <w:lvlJc w:val="left"/>
      <w:lvlText w:val="%1."/>
      <w:numFmt w:val="decimal"/>
      <w:start w:val="16"/>
    </w:lvl>
    <w:lvl w:ilvl="1">
      <w:lvlJc w:val="left"/>
      <w:lvlText w:val="%2"/>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07" Type="http://schemas.openxmlformats.org/officeDocument/2006/relationships/hyperlink" Target="https://www.sec.gov/Archives/edgar/data/1539029/000119312516615374/d208521dex31.htm" TargetMode="External"/><Relationship Id="rId208" Type="http://schemas.openxmlformats.org/officeDocument/2006/relationships/hyperlink" Target="https://www.sec.gov/Archives/edgar/data/1539029/000095017022012039/clsd-ex3_1.htm" TargetMode="External"/><Relationship Id="rId209"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2024-08-12T16:14:54Z</dcterms:created>
  <dcterms:modified xsi:type="dcterms:W3CDTF">2024-08-12T16:14:54Z</dcterms:modified>
</cp:coreProperties>
</file>