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sd-20250331.htm"/>
      <w:bookmarkStart w:id="1" w:name="ksclsd20250331"/>
      <w:bookmarkEnd w:id="0"/>
      <w:bookmarkEnd w:id="1"/>
      <w:r>
        <w:rPr/>
        <w:t> </w:t>
      </w:r>
    </w:p>
    <w:p>
      <w:pPr>
        <w:pStyle w:val="TextBody"/>
        <w:bidi w:val="0"/>
        <w:jc w:val="center"/>
        <w:rPr>
          <w:rFonts w:ascii="Times New Roman" w:hAnsi="Times New Roman"/>
          <w:color w:val="000000"/>
          <w:sz w:val="4"/>
        </w:rPr>
      </w:pPr>
      <w:r>
        <w:rPr>
          <w:rFonts w:ascii="Times New Roman" w:hAnsi="Times New Roman"/>
          <w:color w:val="000000"/>
          <w:sz w:val="4"/>
        </w:rPr>
        <w:t>May</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001-37783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Clearside Biomedical,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637" w:type="dxa"/>
        <w:jc w:val="left"/>
        <w:tblInd w:w="0" w:type="dxa"/>
        <w:tblLayout w:type="fixed"/>
        <w:tblCellMar>
          <w:top w:w="28" w:type="dxa"/>
          <w:left w:w="28" w:type="dxa"/>
          <w:bottom w:w="28" w:type="dxa"/>
          <w:right w:w="28" w:type="dxa"/>
        </w:tblCellMar>
      </w:tblPr>
      <w:tblGrid>
        <w:gridCol w:w="3151"/>
        <w:gridCol w:w="1486"/>
      </w:tblGrid>
      <w:tr>
        <w:trPr/>
        <w:tc>
          <w:tcPr>
            <w:tcW w:w="315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45-2437375</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North Point Parkway,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Alpharetta,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30005</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270-3631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sz w:val="20"/>
        </w:rPr>
      </w:pPr>
      <w:r>
        <w:rPr>
          <w:rFonts w:ascii="Times New Roman" w:hAnsi="Times New Roman"/>
          <w:b/>
          <w:color w:val="000000"/>
          <w:sz w:val="20"/>
        </w:rPr>
        <w:t>(Former name, former address and former fiscal year,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CLSD</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12, 2025, the registrant had 77,708,536 shares of common stock, $0.001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38" w:type="dxa"/>
        <w:jc w:val="left"/>
        <w:tblInd w:w="0" w:type="dxa"/>
        <w:tblLayout w:type="fixed"/>
        <w:tblCellMar>
          <w:top w:w="28" w:type="dxa"/>
          <w:left w:w="28" w:type="dxa"/>
          <w:bottom w:w="28" w:type="dxa"/>
          <w:right w:w="28" w:type="dxa"/>
        </w:tblCellMar>
      </w:tblPr>
      <w:tblGrid>
        <w:gridCol w:w="766"/>
        <w:gridCol w:w="7861"/>
        <w:gridCol w:w="511"/>
      </w:tblGrid>
      <w:tr>
        <w:trPr/>
        <w:tc>
          <w:tcPr>
            <w:tcW w:w="766"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Consolidated Balance Sheets as of March 31, 2025 and December 31, 2024</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Consolidated Statements of Operations for the three months ended March 31, 2025 and 2024</w:t>
              </w:r>
            </w:hyperlink>
            <w:hyperlink w:anchor="statements_operation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tockholders">
              <w:r>
                <w:rPr>
                  <w:rStyle w:val="InternetLink"/>
                  <w:rFonts w:ascii="Times New Roman" w:hAnsi="Times New Roman"/>
                  <w:color w:val="0000FF"/>
                  <w:sz w:val="20"/>
                  <w:u w:val="single"/>
                </w:rPr>
                <w:t>Consolidated Statements of Stockholders’ Deficit for the three ended March 31, 2025</w:t>
              </w:r>
            </w:hyperlink>
            <w:r>
              <w:rPr>
                <w:rFonts w:ascii="Times New Roman" w:hAnsi="Times New Roman"/>
                <w:color w:val="000000"/>
                <w:sz w:val="20"/>
              </w:rPr>
              <w:t xml:space="preserve"> </w:t>
            </w:r>
            <w:hyperlink w:anchor="statements_stockholders">
              <w:r>
                <w:rPr>
                  <w:rStyle w:val="InternetLink"/>
                  <w:rFonts w:ascii="Times New Roman" w:hAnsi="Times New Roman"/>
                  <w:color w:val="0000FF"/>
                  <w:sz w:val="20"/>
                  <w:u w:val="single"/>
                </w:rPr>
                <w:t>and 2024</w:t>
              </w:r>
            </w:hyperlink>
            <w:hyperlink w:anchor="statements_stockholder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for the three months ended March 31, 2025 and 2024</w:t>
              </w:r>
            </w:hyperlink>
            <w:hyperlink w:anchor="statements_cash_flow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the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Risk Factors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86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 w:name="balance_sheets"/>
      <w:bookmarkEnd w:id="2"/>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747" w:type="dxa"/>
        <w:jc w:val="left"/>
        <w:tblInd w:w="0" w:type="dxa"/>
        <w:tblLayout w:type="fixed"/>
        <w:tblCellMar>
          <w:top w:w="28" w:type="dxa"/>
          <w:left w:w="28" w:type="dxa"/>
          <w:bottom w:w="28" w:type="dxa"/>
          <w:right w:w="28" w:type="dxa"/>
        </w:tblCellMar>
      </w:tblPr>
      <w:tblGrid>
        <w:gridCol w:w="6066"/>
        <w:gridCol w:w="146"/>
        <w:gridCol w:w="211"/>
        <w:gridCol w:w="841"/>
        <w:gridCol w:w="166"/>
        <w:gridCol w:w="146"/>
        <w:gridCol w:w="252"/>
        <w:gridCol w:w="1008"/>
        <w:gridCol w:w="911"/>
      </w:tblGrid>
      <w:tr>
        <w:trPr/>
        <w:tc>
          <w:tcPr>
            <w:tcW w:w="6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(includes $491 to a related party as of</w:t>
              <w:br/>
              <w: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(includes $304 to a related party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sales of future royalties,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63,981</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and no</w:t>
              <w:br/>
              <w:t>   shares issued at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 shares authorized at</w:t>
              <w:br/>
              <w:t>   March 31, 2025 and December 31, 2024; 77,272,786 and</w:t>
              <w:br/>
              <w:t>  76,578,383 shares issued and outstanding at March 31, 2025</w:t>
              <w:br/>
              <w:t>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316,343</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(355,275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60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3" w:name="statements_operations"/>
      <w:bookmarkEnd w:id="3"/>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8374" w:type="dxa"/>
        <w:jc w:val="left"/>
        <w:tblInd w:w="0" w:type="dxa"/>
        <w:tblLayout w:type="fixed"/>
        <w:tblCellMar>
          <w:top w:w="28" w:type="dxa"/>
          <w:left w:w="28" w:type="dxa"/>
          <w:bottom w:w="28" w:type="dxa"/>
          <w:right w:w="28" w:type="dxa"/>
        </w:tblCellMar>
      </w:tblPr>
      <w:tblGrid>
        <w:gridCol w:w="4831"/>
        <w:gridCol w:w="146"/>
        <w:gridCol w:w="211"/>
        <w:gridCol w:w="1036"/>
        <w:gridCol w:w="166"/>
        <w:gridCol w:w="146"/>
        <w:gridCol w:w="211"/>
        <w:gridCol w:w="1036"/>
        <w:gridCol w:w="5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License and other revenue (includes $6 and $75 </w:t>
              <w:br/>
              <w:t>from a related party for the three months ended</w:t>
              <w:br/>
              <w:t>March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(includes $256 to a</w:t>
              <w:br/>
              <w:t>   related party for the three months ended</w:t>
              <w:br/>
              <w: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76,921,843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69,853,227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4" w:name="statements_stockholders"/>
      <w:bookmarkEnd w:id="4"/>
      <w:r>
        <w:rPr>
          <w:rFonts w:ascii="Times New Roman" w:hAnsi="Times New Roman"/>
          <w:b/>
          <w:color w:val="000000"/>
          <w:sz w:val="20"/>
        </w:rPr>
        <w:t>Consolidated Statements of Stockholders’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647" w:type="dxa"/>
        <w:jc w:val="left"/>
        <w:tblInd w:w="0" w:type="dxa"/>
        <w:tblLayout w:type="fixed"/>
        <w:tblCellMar>
          <w:top w:w="28" w:type="dxa"/>
          <w:left w:w="28" w:type="dxa"/>
          <w:bottom w:w="28" w:type="dxa"/>
          <w:right w:w="28" w:type="dxa"/>
        </w:tblCellMar>
      </w:tblPr>
      <w:tblGrid>
        <w:gridCol w:w="3541"/>
        <w:gridCol w:w="146"/>
        <w:gridCol w:w="146"/>
        <w:gridCol w:w="916"/>
        <w:gridCol w:w="146"/>
        <w:gridCol w:w="146"/>
        <w:gridCol w:w="206"/>
        <w:gridCol w:w="365"/>
        <w:gridCol w:w="146"/>
        <w:gridCol w:w="146"/>
        <w:gridCol w:w="232"/>
        <w:gridCol w:w="819"/>
        <w:gridCol w:w="146"/>
        <w:gridCol w:w="146"/>
        <w:gridCol w:w="196"/>
        <w:gridCol w:w="751"/>
        <w:gridCol w:w="166"/>
        <w:gridCol w:w="146"/>
        <w:gridCol w:w="212"/>
        <w:gridCol w:w="718"/>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4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76,578,383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Issuance of common stock under at-the-market </w:t>
              <w:br/>
              <w:t>   sales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and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77,272,786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tbl>
      <w:tblPr>
        <w:tblW w:w="9677" w:type="dxa"/>
        <w:jc w:val="left"/>
        <w:tblInd w:w="0" w:type="dxa"/>
        <w:tblLayout w:type="fixed"/>
        <w:tblCellMar>
          <w:top w:w="28" w:type="dxa"/>
          <w:left w:w="28" w:type="dxa"/>
          <w:bottom w:w="28" w:type="dxa"/>
          <w:right w:w="28" w:type="dxa"/>
        </w:tblCellMar>
      </w:tblPr>
      <w:tblGrid>
        <w:gridCol w:w="3571"/>
        <w:gridCol w:w="146"/>
        <w:gridCol w:w="146"/>
        <w:gridCol w:w="916"/>
        <w:gridCol w:w="146"/>
        <w:gridCol w:w="146"/>
        <w:gridCol w:w="206"/>
        <w:gridCol w:w="365"/>
        <w:gridCol w:w="146"/>
        <w:gridCol w:w="146"/>
        <w:gridCol w:w="232"/>
        <w:gridCol w:w="819"/>
        <w:gridCol w:w="146"/>
        <w:gridCol w:w="146"/>
        <w:gridCol w:w="196"/>
        <w:gridCol w:w="751"/>
        <w:gridCol w:w="166"/>
        <w:gridCol w:w="146"/>
        <w:gridCol w:w="212"/>
        <w:gridCol w:w="718"/>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4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62,850,841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registered direct</w:t>
              <w:br/>
              <w: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11,111,111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at-the-market</w:t>
              <w:br/>
              <w:t>   sales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and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74,731,139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5" w:name="statements_cash_flows"/>
      <w:bookmarkEnd w:id="5"/>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194" w:type="dxa"/>
        <w:jc w:val="left"/>
        <w:tblInd w:w="0" w:type="dxa"/>
        <w:tblLayout w:type="fixed"/>
        <w:tblCellMar>
          <w:top w:w="28" w:type="dxa"/>
          <w:left w:w="28" w:type="dxa"/>
          <w:bottom w:w="28" w:type="dxa"/>
          <w:right w:w="28" w:type="dxa"/>
        </w:tblCellMar>
      </w:tblPr>
      <w:tblGrid>
        <w:gridCol w:w="6391"/>
        <w:gridCol w:w="146"/>
        <w:gridCol w:w="211"/>
        <w:gridCol w:w="676"/>
        <w:gridCol w:w="166"/>
        <w:gridCol w:w="146"/>
        <w:gridCol w:w="211"/>
        <w:gridCol w:w="736"/>
        <w:gridCol w:w="51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the sales of</w:t>
              <w:br/>
              <w:t>       future royalties, net of issuance costs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allocated to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 (includes $310 to a related party</w:t>
              <w:br/>
              <w:t>   for the three months ended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warrants under</w:t>
              <w:br/>
              <w:t>   registered direct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at-the-market sales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royalty purchase and sale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shares issued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spacing w:before="240" w:after="283"/>
        <w:jc w:val="center"/>
        <w:rPr>
          <w:rFonts w:ascii="Times New Roman" w:hAnsi="Times New Roman"/>
          <w:b/>
          <w:color w:val="000000"/>
          <w:sz w:val="20"/>
        </w:rPr>
      </w:pPr>
      <w:bookmarkStart w:id="6" w:name="notes_to_the_financial_statements"/>
      <w:bookmarkEnd w:id="6"/>
      <w:r>
        <w:rPr>
          <w:rFonts w:ascii="Times New Roman" w:hAnsi="Times New Roman"/>
          <w:b/>
          <w:color w:val="000000"/>
          <w:sz w:val="20"/>
        </w:rPr>
        <w:t>Notes to the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120" w:after="283"/>
        <w:jc w:val="left"/>
        <w:rPr>
          <w:rFonts w:ascii="Times New Roman" w:hAnsi="Times New Roman"/>
          <w:sz w:val="20"/>
        </w:rPr>
      </w:pPr>
      <w:r>
        <w:rPr>
          <w:rFonts w:ascii="Times New Roman" w:hAnsi="Times New Roman"/>
          <w:color w:val="000000"/>
          <w:sz w:val="20"/>
        </w:rPr>
        <w:t>Clearside Biomedical, Inc. (the “Company”) is a biopharmaceutical company focused on revolutionizing the delivery of therapies to the back of the eye through the suprachoroidal space (SCS</w:t>
      </w:r>
      <w:r>
        <w:rPr>
          <w:rFonts w:ascii="Times New Roman" w:hAnsi="Times New Roman"/>
          <w:color w:val="000000"/>
          <w:sz w:val="13"/>
        </w:rPr>
        <w:t>®</w:t>
      </w:r>
      <w:r>
        <w:rPr>
          <w:rFonts w:ascii="Times New Roman" w:hAnsi="Times New Roman"/>
          <w:color w:val="000000"/>
          <w:sz w:val="20"/>
        </w:rPr>
        <w:t>). Incorporated in the State of Delaware on May 26, 2011, the Company has its corporate headquarters in Alpharetta, Georgia.</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cash and cash equivalents of $13.6 million as of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Company has funded its operations primarily through the sale of common stock and convertible preferred stock, the issuance of warrants, the issuance of long-term debt,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of its common stock; and (ii) warrants to purchase up to 11,111,111 shares of common stock (the “Warrants”). The combined purchase price of each share and accompanying Warrant was $1.35. The exercise price for the Warrants is $1.62 per share. The Warrants are currently exercisable and will expire on August 9, 2029. The net proceeds to the Company from the Registered Direct Offering were $13.9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after July 1, 2023 but prior to January 1, 2025, the payment to Licensor of any such Sublicensee Percentage was due to Licensor by March 31, 2025. The parties also agreed to a revised annual license maintenance fee due each year (the “Maintenance Fee”) starting in 2023 through 2028, as follows: $0.3 million for 2023 through 2025, $0.4 million for 2026 and for 2027 and $0.5 million for 2028. The Company paid the Maintenance Fee for 2023 in February 2024 and the Maintenance Fee for 2024 in October 2024. The remaining annual Maintenance Fee payments are due on October 1st of each year.</w:t>
      </w:r>
    </w:p>
    <w:p>
      <w:pPr>
        <w:pStyle w:val="TextBody"/>
        <w:bidi w:val="0"/>
        <w:spacing w:before="120" w:after="283"/>
        <w:jc w:val="left"/>
        <w:rPr>
          <w:rFonts w:ascii="Times New Roman" w:hAnsi="Times New Roman"/>
          <w:sz w:val="20"/>
        </w:rPr>
      </w:pPr>
      <w:r>
        <w:rPr>
          <w:rFonts w:ascii="Times New Roman" w:hAnsi="Times New Roman"/>
          <w:color w:val="000000"/>
          <w:sz w:val="20"/>
        </w:rPr>
        <w:t>In May 2023,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three months ended March 31, 2025, the Company sold 426,822 shares of its common stock for net proceeds of $0.4 million under the Sales Agreement. During the three months ended March 31, 2024, the Company sold 339,912 shares of its common stock under the Sales Agreement for net proceeds of $0.5 million. Subsequent to March 31, 2025, the Company sold an additional 435,750 shares of its common stock pursuant to the Sales Agreement for net proceeds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pStyle w:val="TextBody"/>
        <w:bidi w:val="0"/>
        <w:spacing w:before="120" w:after="283"/>
        <w:jc w:val="left"/>
        <w:rPr>
          <w:rFonts w:ascii="Times New Roman" w:hAnsi="Times New Roman"/>
          <w:sz w:val="20"/>
        </w:rPr>
      </w:pPr>
      <w:r>
        <w:rPr>
          <w:rFonts w:ascii="Times New Roman" w:hAnsi="Times New Roman"/>
          <w:color w:val="000000"/>
          <w:sz w:val="20"/>
        </w:rPr>
        <w:t>These conditions raise substantial doubt about the Company’s ability to continue as a going concern within one year after the date the financial statements are issued. Based on its current plans and forecasted expenses, the Company expects that its cash and cash equivalents as of the filing date, May 15, 2025, will enable the Company to fund its planned operating expenses and capital expenditure requirements into the fourth</w:t>
      </w:r>
      <w:r>
        <w:rPr>
          <w:rFonts w:ascii="Times New Roman" w:hAnsi="Times New Roman"/>
          <w:color w:val="FF0000"/>
          <w:sz w:val="20"/>
        </w:rPr>
        <w:t xml:space="preserve"> </w:t>
      </w:r>
      <w:r>
        <w:rPr>
          <w:rFonts w:ascii="Times New Roman" w:hAnsi="Times New Roman"/>
          <w:color w:val="000000"/>
          <w:sz w:val="20"/>
        </w:rPr>
        <w:t>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include the results of the financial operations of Clearside Biomedical, Inc. and Royalty Sub, which was formed for the purposes of the transactions contemplated by the Purchase and Sale Agreement described in Note 5. All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in conformity with U.S. generally accepted accounting principles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months ended March 31, 2025 are not indicative of results to be expected for the full year ending December 31, 2025, any other interim periods or any future year or period. These unaudited consolidated financial statements should be read in conjunction with the audited consolidated financial statements and related footnotes, which are included in the Company’s Annual Report on Form 10-K for the year ended December 31, 2024, filed with the Securities and Exchange Commission on March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the Company recorded an immaterial out of period adjustment of $641,000 in income tax expense and accrued liabilities related to a foreign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described in Note 5, certain assumptions used in the valuation of warrant liabilities,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The Company recognizes revenue from its contracts with customers under Financial Accounting Standards Board ("FASB") Accounting Standards Codification (“ASC”) 606, </w:t>
      </w:r>
      <w:r>
        <w:rPr>
          <w:rFonts w:ascii="Times New Roman" w:hAnsi="Times New Roman"/>
          <w:i/>
          <w:color w:val="212529"/>
          <w:sz w:val="20"/>
        </w:rPr>
        <w:t>Revenue from Contracts with Customers.</w:t>
      </w:r>
      <w:r>
        <w:rPr>
          <w:rFonts w:ascii="Times New Roman" w:hAnsi="Times New Roman"/>
          <w:color w:val="212529"/>
          <w:sz w:val="20"/>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charged to expense as incurred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contract manufacturing organizations and consultants that conduct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the Company’s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the Company’s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certain development activities, such as clinical trial activities, are recognized based on an evaluation of the estimated total costs for the clinical trial, progress to completion of specific tasks using data such as participant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consolidated financial statements as prepaid expenses or accrued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share-based compensation costs are recorded in general and administrative or research and development costs in the consolidated statements of operations based upon the recipient's underlying role within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consist of short-term, highly liquid investments with an original term of three months or less at the date of purchase.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Arising From Cash Deposits in Excess of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bidi w:val="0"/>
        <w:spacing w:before="240" w:after="283"/>
        <w:jc w:val="left"/>
        <w:rPr>
          <w:rFonts w:ascii="Times New Roman" w:hAnsi="Times New Roman"/>
          <w:sz w:val="20"/>
        </w:rPr>
      </w:pPr>
      <w:r>
        <w:rPr>
          <w:rFonts w:ascii="Times New Roman" w:hAnsi="Times New Roman"/>
          <w:b/>
          <w:i/>
          <w:color w:val="000000"/>
          <w:sz w:val="20"/>
        </w:rPr>
        <w:t>Liability Related to the Sales of Future Royalties and Non-Cash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Purchase and Sale Agreement, the Company recognizes a liability related to the sales of future royalties under ASC 470-10, </w:t>
      </w:r>
      <w:r>
        <w:rPr>
          <w:rFonts w:ascii="Times New Roman" w:hAnsi="Times New Roman"/>
          <w:i/>
          <w:color w:val="000000"/>
          <w:sz w:val="20"/>
        </w:rPr>
        <w:t>Debt</w:t>
      </w:r>
      <w:r>
        <w:rPr>
          <w:rFonts w:ascii="Times New Roman" w:hAnsi="Times New Roman"/>
          <w:color w:val="000000"/>
          <w:sz w:val="20"/>
        </w:rPr>
        <w:t xml:space="preserve"> and ASC 835-30, </w:t>
      </w:r>
      <w:r>
        <w:rPr>
          <w:rFonts w:ascii="Times New Roman" w:hAnsi="Times New Roman"/>
          <w:i/>
          <w:color w:val="000000"/>
          <w:sz w:val="20"/>
        </w:rPr>
        <w:t>Interest - Imputation of Interest</w:t>
      </w:r>
      <w:r>
        <w:rPr>
          <w:rFonts w:ascii="Times New Roman" w:hAnsi="Times New Roman"/>
          <w:color w:val="000000"/>
          <w:sz w:val="20"/>
        </w:rPr>
        <w:t xml:space="preserve">.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815, </w:t>
      </w:r>
      <w:r>
        <w:rPr>
          <w:rFonts w:ascii="Times New Roman" w:hAnsi="Times New Roman"/>
          <w:i/>
          <w:color w:val="000000"/>
          <w:sz w:val="20"/>
        </w:rPr>
        <w:t>Derivatives and Hedging</w:t>
      </w:r>
      <w:r>
        <w:rPr>
          <w:rFonts w:ascii="Times New Roman" w:hAnsi="Times New Roman"/>
          <w:color w:val="000000"/>
          <w:sz w:val="20"/>
        </w:rPr>
        <w:t xml:space="preserve">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the risk-free interest rate for the term of the warrant and the likelihood of achieving certain future milestone events and the related impact to the price of the Company's common stock. The warrant liabilities are revalued at each reporting period and changes in fair value are recognized in other income (expense) in the consolidated statements of operations.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is intended to enhance the transparency and decision usefulness of income tax disclosures primarily related to the rate reconciliation and income taxes paid information. The main provisions to the rate reconciliation disclosure require public entities to disclose, on an annual basis,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 The Company adopted ASU 2023-09 on January 1, 2025 and the adoption did not have a material impact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This ASU requires disclosure of disaggregated income statement expense information about specific categories including purchases of inventory, employee compensation expense, depreciation and amortization in the notes to the financial statements. This ASU is effective January 1, 2027 for annual reporting periods and January 1, 2028 for interim reporting periods. The Company is currently evaluating the anticipated impact of this ASU on its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consisted of the following (dollar amounts in thousands):</w:t>
      </w:r>
    </w:p>
    <w:tbl>
      <w:tblPr>
        <w:tblW w:w="6797" w:type="dxa"/>
        <w:jc w:val="left"/>
        <w:tblInd w:w="0" w:type="dxa"/>
        <w:tblLayout w:type="fixed"/>
        <w:tblCellMar>
          <w:top w:w="28" w:type="dxa"/>
          <w:left w:w="28" w:type="dxa"/>
          <w:bottom w:w="28" w:type="dxa"/>
          <w:right w:w="28" w:type="dxa"/>
        </w:tblCellMar>
      </w:tblPr>
      <w:tblGrid>
        <w:gridCol w:w="2731"/>
        <w:gridCol w:w="146"/>
        <w:gridCol w:w="1126"/>
        <w:gridCol w:w="146"/>
        <w:gridCol w:w="222"/>
        <w:gridCol w:w="663"/>
        <w:gridCol w:w="166"/>
        <w:gridCol w:w="146"/>
        <w:gridCol w:w="285"/>
        <w:gridCol w:w="855"/>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Useful Lives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w:t>
              <w:br/>
              <w:t>useful life or</w:t>
              <w:br/>
              <w:t>remaining</w:t>
              <w:br/>
              <w:t>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Accrued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liabilities consisted of the following (in thousands):</w:t>
      </w:r>
    </w:p>
    <w:tbl>
      <w:tblPr>
        <w:tblW w:w="5610" w:type="dxa"/>
        <w:jc w:val="left"/>
        <w:tblInd w:w="0" w:type="dxa"/>
        <w:tblLayout w:type="fixed"/>
        <w:tblCellMar>
          <w:top w:w="28" w:type="dxa"/>
          <w:left w:w="28" w:type="dxa"/>
          <w:bottom w:w="28" w:type="dxa"/>
          <w:right w:w="28" w:type="dxa"/>
        </w:tblCellMar>
      </w:tblPr>
      <w:tblGrid>
        <w:gridCol w:w="2956"/>
        <w:gridCol w:w="146"/>
        <w:gridCol w:w="239"/>
        <w:gridCol w:w="646"/>
        <w:gridCol w:w="146"/>
        <w:gridCol w:w="146"/>
        <w:gridCol w:w="307"/>
        <w:gridCol w:w="83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Royalty Purchase and Sale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2022 (the “Closing Date”), the Company, through its wholly owned subsidiary Clearside Royalty LLC, a Delaware limited liability company ("Royalty Sub"), entered into the Purchase and Sale Agreement (the "Purchased and Sale Agreement") with entities managed by HealthCare Royalty Management, LLC ("HCR"), pursuant to which Royalty Sub sold to HCR certain of its rights to receive royalty and milestone payments payable to Royalty Sub under the Arctic Vision License Agreement (as defined in Note 10), the Bausch License Agreement (as defined in Note 10),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(collectively, "Post-Closing License Agreement"),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 On November 1, 2023, the Company entered into the BioCryst License Agreement (as defined in Note 10). The Company’s rights to milestone payments and royalties under the BioCryst License Agreement were sold to HCR pursuant to the terms of the Purchase and Sale Agreement providing for the sale of Royalties from Post-Closing License Agreements to HCR.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(the "First Milestone Payment") was deposited by HCR in an escrow account which was released to HCR pursuant to the Letter Agreement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Purchase and Sale Agreement will automatically expire, and the payment of Royalties from the Royalty Sub to HCR will cease, when HCR has received payments of the Royalties equal to 3.4 times the aggregate amount of payments under the Purchase and Sale Agreement (the “Cap Amount”). In the event of a change in control, acquiror will have the option to make a payment to HCR of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 Amount,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Cap Amount. After the Purchase and Sale Agreement expires, all rights to receive the Royalties return to Royalty Sub.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2023, the Company, through its wholly owned subsidiary Royalty Sub, entered into the Letter Agreement with the Agent amending the Purchase and Sale Agreement.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 The Company estimates the amount and timing of expected payments based on historical experience and its expectations of future activities from its license partners, as well as current market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activity of the Purchase and Sale Agreement (in thousands): </w:t>
      </w:r>
    </w:p>
    <w:tbl>
      <w:tblPr>
        <w:tblW w:w="3945" w:type="dxa"/>
        <w:jc w:val="left"/>
        <w:tblInd w:w="0" w:type="dxa"/>
        <w:tblLayout w:type="fixed"/>
        <w:tblCellMar>
          <w:top w:w="28" w:type="dxa"/>
          <w:left w:w="28" w:type="dxa"/>
          <w:bottom w:w="28" w:type="dxa"/>
          <w:right w:w="28" w:type="dxa"/>
        </w:tblCellMar>
      </w:tblPr>
      <w:tblGrid>
        <w:gridCol w:w="2596"/>
        <w:gridCol w:w="146"/>
        <w:gridCol w:w="211"/>
        <w:gridCol w:w="676"/>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Common Stock</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Company to issue 200,000,000 shares of $0.001 par value common stock. As of March 31, 2025 and December 31, 2024, there were 77,272,786 and 76,578,383 shares of common stock outstanding,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Common Stock Warrants</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2016, in connection with a loan agreement, the Company issued warrants to purchase up to 29,796 shares of common stock at a price per share of $10.74. The warrants are fully exercisable and expire in September 2026, or earlier upon the occurrence of specified mergers or acquisitions of the Company.</w:t>
      </w:r>
      <w:r>
        <w:rPr>
          <w:rFonts w:ascii="Times New Roman" w:hAnsi="Times New Roman"/>
          <w:color w:val="1F497D"/>
          <w:sz w:val="20"/>
        </w:rPr>
        <w:t xml:space="preserve"> </w:t>
      </w:r>
      <w:r>
        <w:rPr>
          <w:rFonts w:ascii="Times New Roman" w:hAnsi="Times New Roman"/>
          <w:color w:val="000000"/>
          <w:sz w:val="20"/>
        </w:rPr>
        <w:t>The warrants were recorded in equity at the time of issuance and as of March 31, 2025, had a weighted average remaining life of 1.50</w:t>
      </w:r>
      <w:r>
        <w:rPr>
          <w:rFonts w:ascii="Times New Roman" w:hAnsi="Times New Roman"/>
          <w:color w:val="FF0000"/>
          <w:sz w:val="20"/>
        </w:rPr>
        <w:t xml:space="preserve"> </w:t>
      </w:r>
      <w:r>
        <w:rPr>
          <w:rFonts w:ascii="Times New Roman" w:hAnsi="Times New Roman"/>
          <w:color w:val="000000"/>
          <w:sz w:val="20"/>
        </w:rPr>
        <w:t>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2024, the Company entered into a securities purchase agreement with institutional investors and an existing stockholder, pursuant to which the Company issued and sold, in a registered direct offering (i) an aggregate of 11,111,111 shares (the "Shares") of its common stock; and (ii) warrants to purchase up to 11,111,111 shares of common stock (the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combined purchase price of each Share and accompanying Warrant was $1.35. The exercise price for the Warrants is $1.62 per share. The Warrants are currently exercisable and will expire on August 9, 2029. The Company recorded the initial fair value of the Warrants of $10.3 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in the fair value of the Warrants during the period are recorded in other income, net in the consolidated statements of operations. The issuance costs allocated to common stock were recorded as a reduction to additional paid in capital.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change in fair value of the warrant liabilities (in thousands):</w:t>
      </w:r>
    </w:p>
    <w:tbl>
      <w:tblPr>
        <w:tblW w:w="5460" w:type="dxa"/>
        <w:jc w:val="left"/>
        <w:tblInd w:w="0" w:type="dxa"/>
        <w:tblLayout w:type="fixed"/>
        <w:tblCellMar>
          <w:top w:w="28" w:type="dxa"/>
          <w:left w:w="28" w:type="dxa"/>
          <w:bottom w:w="28" w:type="dxa"/>
          <w:right w:w="28" w:type="dxa"/>
        </w:tblCellMar>
      </w:tblPr>
      <w:tblGrid>
        <w:gridCol w:w="4216"/>
        <w:gridCol w:w="146"/>
        <w:gridCol w:w="211"/>
        <w:gridCol w:w="67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issuance February 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certain key inputs for the valuation of the Warrants at March 31, 2025:</w:t>
      </w:r>
    </w:p>
    <w:tbl>
      <w:tblPr>
        <w:tblW w:w="3671" w:type="dxa"/>
        <w:jc w:val="left"/>
        <w:tblInd w:w="0" w:type="dxa"/>
        <w:tblLayout w:type="fixed"/>
        <w:tblCellMar>
          <w:top w:w="28" w:type="dxa"/>
          <w:left w:w="28" w:type="dxa"/>
          <w:bottom w:w="28" w:type="dxa"/>
          <w:right w:w="28" w:type="dxa"/>
        </w:tblCellMar>
      </w:tblPr>
      <w:tblGrid>
        <w:gridCol w:w="2281"/>
        <w:gridCol w:w="146"/>
        <w:gridCol w:w="211"/>
        <w:gridCol w:w="571"/>
        <w:gridCol w:w="146"/>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2, the measurement of the warrant liabilities is impacted by the likelihood of achieving certain future milestone events and the related impact to the Company’s stock price. In determining the likelihood of achieving certain future milestone events, the Company considers its current financial position and ability to fund future clinical activities as described in Note 1. The Company utilizes publicly available information from external parties to assess the related impact to the Company’s stock price from the success of these activities.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Share-based compensation is accounted for in accordance with the provisions of ASC 718, </w:t>
      </w:r>
      <w:r>
        <w:rPr>
          <w:rFonts w:ascii="Times New Roman" w:hAnsi="Times New Roman"/>
          <w:i/>
          <w:color w:val="000000"/>
          <w:sz w:val="20"/>
        </w:rPr>
        <w:t>Compensation-Stock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Share-based compensation expense for options granted under the 2016 Plan is reflected in the consolidated statements of operations as follows (in thousands):</w:t>
      </w:r>
    </w:p>
    <w:tbl>
      <w:tblPr>
        <w:tblW w:w="4602"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activity related to stock options granted under the 2011 Plan and the 2016 Plan during the three months ended March 31, 2025:</w:t>
      </w:r>
    </w:p>
    <w:tbl>
      <w:tblPr>
        <w:tblW w:w="6867" w:type="dxa"/>
        <w:jc w:val="left"/>
        <w:tblInd w:w="0" w:type="dxa"/>
        <w:tblLayout w:type="fixed"/>
        <w:tblCellMar>
          <w:top w:w="28" w:type="dxa"/>
          <w:left w:w="28" w:type="dxa"/>
          <w:bottom w:w="28" w:type="dxa"/>
          <w:right w:w="28" w:type="dxa"/>
        </w:tblCellMar>
      </w:tblPr>
      <w:tblGrid>
        <w:gridCol w:w="3601"/>
        <w:gridCol w:w="146"/>
        <w:gridCol w:w="146"/>
        <w:gridCol w:w="1036"/>
        <w:gridCol w:w="166"/>
        <w:gridCol w:w="146"/>
        <w:gridCol w:w="415"/>
        <w:gridCol w:w="920"/>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had $4.7 million of unrecognized compensation expense related to unvested stock options, which is expected to be recognized over a weighted average period of 2.7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share-based compensation expense related to RSUs is reflected in the consolidated statements of operations as follows (in thousands):</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related to RSUs during the three months ended March 31, 2025:</w:t>
      </w:r>
    </w:p>
    <w:p>
      <w:pPr>
        <w:pStyle w:val="TextBody"/>
        <w:bidi w:val="0"/>
        <w:jc w:val="left"/>
        <w:rPr/>
      </w:pPr>
      <w:r>
        <w:rPr/>
        <w:t> </w:t>
      </w:r>
    </w:p>
    <w:tbl>
      <w:tblPr>
        <w:tblW w:w="7815" w:type="dxa"/>
        <w:jc w:val="left"/>
        <w:tblInd w:w="0" w:type="dxa"/>
        <w:tblLayout w:type="fixed"/>
        <w:tblCellMar>
          <w:top w:w="28" w:type="dxa"/>
          <w:left w:w="28" w:type="dxa"/>
          <w:bottom w:w="28" w:type="dxa"/>
          <w:right w:w="28" w:type="dxa"/>
        </w:tblCellMar>
      </w:tblPr>
      <w:tblGrid>
        <w:gridCol w:w="4381"/>
        <w:gridCol w:w="146"/>
        <w:gridCol w:w="148"/>
        <w:gridCol w:w="857"/>
        <w:gridCol w:w="166"/>
        <w:gridCol w:w="146"/>
        <w:gridCol w:w="523"/>
        <w:gridCol w:w="1157"/>
        <w:gridCol w:w="2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2025, the Company had $0.2 million of unrecognized compensation expense related to the RSUs which is expected to be recognized over a weighted average period of 0.8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share-based compensation expense recognized for the 2016 ESPP is reflected in the consolidated statements of operations as follows (in thousands): </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2311"/>
        <w:gridCol w:w="146"/>
        <w:gridCol w:w="263"/>
        <w:gridCol w:w="432"/>
        <w:gridCol w:w="182"/>
        <w:gridCol w:w="182"/>
        <w:gridCol w:w="263"/>
        <w:gridCol w:w="432"/>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2025, the Company issued 16,222 shares of common stock purchased under the 2016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right-of-use asset for the right to use the underlying asset for the lease term, and a lease liability, which represents the present value of the Company’s obligation to make payments over the lease term. The renewal option is not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included in the calculation of the right-of-use asset and the lease liabilities as the Company has not yet determined if the Alpharetta, Georgia lease will be renewed.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Equipment leases with an initial term of 12 months or less are not recorded with operating lease liabilities. The Company recognizes expense for these leases on a straight-line basis over the lease term. The equipment leases were deemed to be immaterial.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Georgia Tech License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described in Note 1, the Company entered into a fourth amendment to the Georgia Tech License Agreement pursuant to which the parties agreed to revised Maintenance Fee payments in exchange for a reduction to the contractual Sublicense Percentage owed by the Company on certain fees and other payments it may receive from future sublicensing activities. The Company paid the $0.3 million Maintenance Fee for 2023 in February 2024 and the $0.3 million Maintenance Fee for 2024 in October 2024. The remaining annual Maintenance Fee payments are due on October 1st of each year from 2025 through 2028, as shown in the table below (in thousands).</w:t>
      </w:r>
    </w:p>
    <w:tbl>
      <w:tblPr>
        <w:tblW w:w="3379" w:type="dxa"/>
        <w:jc w:val="left"/>
        <w:tblInd w:w="0" w:type="dxa"/>
        <w:tblLayout w:type="fixed"/>
        <w:tblCellMar>
          <w:top w:w="28" w:type="dxa"/>
          <w:left w:w="28" w:type="dxa"/>
          <w:bottom w:w="28" w:type="dxa"/>
          <w:right w:w="28" w:type="dxa"/>
        </w:tblCellMar>
      </w:tblPr>
      <w:tblGrid>
        <w:gridCol w:w="2191"/>
        <w:gridCol w:w="146"/>
        <w:gridCol w:w="208"/>
        <w:gridCol w:w="543"/>
        <w:gridCol w:w="2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License and Other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Bausch + Lomb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XIPERE, the “Products”), subject to specified exceptions, in the United States and Canada (the “Territory”) for the treatment of ophthalmology indications, including non-infectious uveitis.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responsible for all development expenses for XIPERE in the Territory until the Company's New Drug Application ("NDA") was approved by the U.S. Food and Drug Administration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Following FDA approval of XIPERE, which occurred in October 2021, Bausch is responsible for all such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Arctic Vision (Hong Kong)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the Company’s consent, Arctic Vision will have the right, but not the obligation, to develop and commercialize XIPERE for additional indications in the Arctic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Arctic License Agreement, Arctic Vision has paid the Company an aggregate of $10.0 million in upfront and milestone payments.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BioCryst Pharmaceuticals,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BioCryst will be responsible for all development, regulatory and commercialization activities for avoralstat. The Company is responsible for supplying SCS Microinjectors to meet BioCryst’s reasonable needs.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Other</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material financial instruments at March 31, 2025 and December 31, 2024 consisted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the warrant liabilities (see Note 7) require significant unobservable inputs and is classified as Level 3 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Levels 1, 2 and 3 during the three months ended March 31, 2025 and the year ended December 31, 2024.</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A member of the Company's Board of Directors was the chief executive officer of a company that is a vendor of the Company until January 2025. As of December 31, 2024, the Company has recorded $0.5 million in accounts payable and $0.3 million in accrued expense with this vendor in the consolidated balance sheet. The Company has recorded $0.3 million for the three months ended March 31, 2024 of expense related to this vendor in the consolidated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chair of the board of directors of BioCryst also serves on the Company’s Board of Directors. For the three months ended March 31, 2025 and 2024, the Company has recorded $6,000 and $75,000, respectively, in license and other revenue in the consolidated statements of operations related to the BioCryst License Agreement.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potential common stock equivalents that have been excluded from the computation of diluted net loss per share for all periods presented because of their antidilutive effect consisted of the following:</w:t>
      </w:r>
    </w:p>
    <w:tbl>
      <w:tblPr>
        <w:tblW w:w="5769"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103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14,712,730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12,339,830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11,140,907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25,980,145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23,918,042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our unaudited consolidated financial statements and related notes that appear in Item 1 of this Quarterly Report on Form 10-Q and with our audited consolidated financial statements and related notes for the year ended December 31, 2024 appearing in our Annual Report on Form 10-K filed with the SEC on March 27,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biopharmaceutical company focused on revolutionizing the delivery of therapies to the back of the eye through the suprachoroidal space, or SCS</w:t>
      </w:r>
      <w:r>
        <w:rPr>
          <w:rFonts w:ascii="Times New Roman" w:hAnsi="Times New Roman"/>
          <w:color w:val="000000"/>
          <w:sz w:val="13"/>
        </w:rPr>
        <w:t>®</w:t>
      </w:r>
      <w:r>
        <w:rPr>
          <w:rFonts w:ascii="Times New Roman" w:hAnsi="Times New Roman"/>
          <w:color w:val="000000"/>
          <w:sz w:val="20"/>
        </w:rPr>
        <w:t>. Our novel SCS injection platform, utilizing our proprietary SCS Microinjector</w:t>
      </w:r>
      <w:r>
        <w:rPr>
          <w:rFonts w:ascii="Times New Roman" w:hAnsi="Times New Roman"/>
          <w:color w:val="000000"/>
          <w:sz w:val="13"/>
        </w:rPr>
        <w:t>®</w:t>
      </w:r>
      <w:r>
        <w:rPr>
          <w:rFonts w:ascii="Times New Roman" w:hAnsi="Times New Roman"/>
          <w:color w:val="000000"/>
          <w:sz w:val="20"/>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technology. Our first product, XIPERE</w:t>
      </w:r>
      <w:r>
        <w:rPr>
          <w:rFonts w:ascii="Times New Roman" w:hAnsi="Times New Roman"/>
          <w:color w:val="000000"/>
          <w:sz w:val="13"/>
        </w:rPr>
        <w:t xml:space="preserve">® </w:t>
      </w:r>
      <w:r>
        <w:rPr>
          <w:rFonts w:ascii="Times New Roman" w:hAnsi="Times New Roman"/>
          <w:color w:val="000000"/>
          <w:sz w:val="20"/>
        </w:rPr>
        <w:t xml:space="preserve">(triamcinolone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are creating a broad therapeutic platform for developing product candidates to treat serious eye diseases.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current development status of our pipeline of internal product candidates and external collaborations is summarized in the charts below:</w:t>
      </w:r>
    </w:p>
    <w:p>
      <w:pPr>
        <w:pStyle w:val="TextBody"/>
        <w:bidi w:val="0"/>
        <w:spacing w:before="0" w:after="120"/>
        <w:jc w:val="center"/>
        <w:rPr/>
      </w:pPr>
      <w:r>
        <w:rPr/>
        <w:drawing>
          <wp:inline distT="0" distB="0" distL="0" distR="0">
            <wp:extent cx="6848475" cy="297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8475" cy="2971800"/>
                    </a:xfrm>
                    <a:prstGeom prst="rect">
                      <a:avLst/>
                    </a:prstGeom>
                  </pic:spPr>
                </pic:pic>
              </a:graphicData>
            </a:graphic>
          </wp:inline>
        </w:drawing>
      </w:r>
    </w:p>
    <w:p>
      <w:pPr>
        <w:pStyle w:val="TextBody"/>
        <w:bidi w:val="0"/>
        <w:spacing w:before="0" w:after="120"/>
        <w:jc w:val="center"/>
        <w:rPr/>
      </w:pPr>
      <w:r>
        <w:rPr/>
        <w:drawing>
          <wp:inline distT="0" distB="0" distL="0" distR="0">
            <wp:extent cx="6858000" cy="1704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704975"/>
                    </a:xfrm>
                    <a:prstGeom prst="rect">
                      <a:avLst/>
                    </a:prstGeom>
                  </pic:spPr>
                </pic:pic>
              </a:graphicData>
            </a:graphic>
          </wp:inline>
        </w:drawing>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Development Pipeline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CLS-AX (axitinib injectable suspension)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CLS-AX, our most advanced product candidate, is our proprietary suspension of the tyrosine kinase inhibitor, or TKI, axitinib for suprachoroidal injection delivered via our SCS Microinjector. We are developing CLS-AX for administration to the SCS as a long-acting therapy for neovascular age-related macular degeneration, or wet AMD, a retinal degenerative disease that causes a progressive loss of central vision. </w:t>
      </w:r>
    </w:p>
    <w:p>
      <w:pPr>
        <w:pStyle w:val="TextBody"/>
        <w:bidi w:val="0"/>
        <w:spacing w:before="240" w:after="283"/>
        <w:jc w:val="left"/>
        <w:rPr>
          <w:rFonts w:ascii="Times New Roman" w:hAnsi="Times New Roman"/>
          <w:sz w:val="20"/>
        </w:rPr>
      </w:pPr>
      <w:r>
        <w:rPr>
          <w:rFonts w:ascii="Times New Roman" w:hAnsi="Times New Roman"/>
          <w:i/>
          <w:color w:val="000000"/>
          <w:sz w:val="20"/>
        </w:rPr>
        <w:t>ODYSSEY Phase 2b Clinical Trial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from our OASIS trial, we conducted ODYSSEY, a randomized, active-controlled, double-masked, parallel-group, multicenter, 36-week, Phase 2b clinical trial of CLS-AX in participants with wet AMD previously treated with intravitreal anti-vascular, or VEGF, which is the standard of care therapy for the treatment of wet AMD. A total of 60 participants were treated for 36 weeks and randomized to either CLS-AX (1 mg) or aflibercept (2 mg) with a 2:1 randomization schedule (40 participants in CLS-AX arm and 20 participants in aflibercept arm). CLS-AX was administered by suprachoroidal injection via our SCS Microinjector, and aflibercept was administered via intravitreal injection. Participants in the trial were determined to have active disease with a median duration of wet AMD diagnosis of 9.9 months. Eligible participants underwent diagnostic imaging at their screening visit, followed by masked reading center confirmation of persistent active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we announced positive topline results from the ODYSSEY trial. The ODYSSEY trial achieved its primary and secondary outcomes including the mean change from baseline in BCVA, changes from baseline in visual function and ocular anatomy, the need for supplemental treatment, treatment burden as measured by total injections over the trial duration, and safety measures.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Participants in the trial maintained stable BCVA throughout the trial as measured by the mean change in BCVA from baseline to week 36. In addition, participants maintained stable central subfield retinal thickness, or CSRT, throughout the trial as measured by the mean change in CSRT from baseline to week 36, as confirmed by the independent reading center.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terms of durability, after receiving the baseline CLS-AX dose, 100% (40/40) of participants went 3 months without receiving any additional treatment, 90% (35/39) of participants went 4 months without receiving any additional treatment, 81% (30/37) of participants went five months without receiving any additional treatment and 67% (26/39) of participants went 6 months without receiving any additional treatment before mandatory re-dosing at week 24. If intervention were strictly based on the disease activity assessment criteria, 100% (40/40) of participants would have gone 3 months without receiving any additional treatment, 95% (37/39) of CLS-AX participants would have gone 4 months without receiving any additional treatment, 87% (32/37) of participants would have gone five months without receiving any additional treatment and 79% (30/38) of participants would have gone six months without receiving any additional treatment before mandatory re-dosing at week 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observed reduced injection frequency by 84% in the 24 weeks after baseline compared to the average monthly injections in the 24 weeks prior to screening.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CLS-AX was well-tolerated with a safety profile through 36 weeks that included mandatory re-dosing of CLS-AX at week 24. There were no reported ocular serious adverse events, or SAEs, and no treatment or injection procedure-related SAEs. All ocular adverse events were considered clinically mild in both groups. We observed similar discontinuation rates in the CLS-AX and aflibercept arms.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CLS-AX Phase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Phase 3 plans are in development and subject to change, we currently plan to run two pivotal, non-inferiority Phase 3 trials with aflibercept 2 mg as a comparator. We are likely to conduct the studies in treatment-naïve patients with a flexible dosing component, consistent with the Phase 3 trial designs for recently approved aflibercept high dose and faricimab. As part of the planned protocol, at screening, participants will be required to have a BCVA reading between 20/80 to 20/32. In addition, the CST reading on the OCT must be less than 500 microns.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an End-of-Phase 2 meeting with the FDA in the first quarter of 2025 and gained alignment on the essential components of our Phase 3 program. We are preparing to be ready to initiate both clinical trials in the second half of 2025, subject to our ability to pay for the trials. We are actively pursuing options to fund our Phase 3 CLS-AX program, including potentially partnering with one or more third parties.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experienced team of scientists and researchers evaluating small molecules that may be utilized as potential treatment options for back of the eye diseases utilizing our SCS Microinjector for delivery in the suprachoroidal space. Our research team is currently evaluating two small molecules through in vivo models for the potential treatment of geographic atrophy, or GA. We believe that GA is primarily a choroidal disease and that delivery of small molecules via suprachoroidal injection enables comprehensive drug coverage of both the retina and choroid, while also potentially minimizing systemic and anterior segment side effects. We are also exploring CLS-AX for the treatment of diabetic retinopathy and the combination of CLS-AX and a steroid, triamcinolone acetonide, for treatment of diabetic macular edema.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External Collaborations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 Lomb, Arctic Vision, REGENXBIO, Inc., Aura Biosciences and BioCryst Pharmaceuticals,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 Product</w:t>
      </w:r>
    </w:p>
    <w:p>
      <w:pPr>
        <w:pStyle w:val="TextBody"/>
        <w:bidi w:val="0"/>
        <w:spacing w:before="120" w:after="283"/>
        <w:jc w:val="left"/>
        <w:rPr>
          <w:rFonts w:ascii="Times New Roman" w:hAnsi="Times New Roman"/>
          <w:sz w:val="20"/>
        </w:rPr>
      </w:pPr>
      <w:r>
        <w:rPr>
          <w:rFonts w:ascii="Times New Roman" w:hAnsi="Times New Roman"/>
          <w:color w:val="000000"/>
          <w:sz w:val="20"/>
        </w:rPr>
        <w:t>XIPERE</w:t>
      </w:r>
      <w:r>
        <w:rPr>
          <w:rFonts w:ascii="Times New Roman" w:hAnsi="Times New Roman"/>
          <w:color w:val="000000"/>
          <w:sz w:val="13"/>
        </w:rPr>
        <w:t xml:space="preserve">® </w:t>
      </w:r>
      <w:r>
        <w:rPr>
          <w:rFonts w:ascii="Times New Roman" w:hAnsi="Times New Roman"/>
          <w:color w:val="000000"/>
          <w:sz w:val="20"/>
        </w:rPr>
        <w:t>(triamcinolone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the Asia Pacific region, not including Japan.</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Outlook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incurred net losses since our inception. In recent years, our operations have consisted primarily of conducting preclinical studies and clinical trials, raising capital and undertaking other research and development initiatives. To date, we have primarily generated revenue through upfront payments and milestone payments related to license agreements and from collaboration agreements, and we have primarily financed our operations through public offerings and private placements of our equity securities, issuance of warrants, issuances of convertible promissory notes and loan agreements. As of March 31, 2025, we had an accumulated deficit of $363.5 million. We recorded net losses of $8.2 million and $11.8 million for the three months ended March 31, 2025 and 2024, respectively. We anticipate that a substantial portion of our capital resources and efforts in the foreseeable future will be focused on completing the necessary development for and obtaining regulatory approval of CLS-AX, as well as discovering compounds and developing proprietary therapeutics to utilize with our SCS Microinjector.</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the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2025 as a result of our planned Phase 3 clinical program of CLS-AX as well as continuing our pipeline development. We also will continue our efforts to discover, research and develop additional product candidates and seek regulatory approvals in additional regions for XIPERE for the treatment of macular edema associated with uveitis. Based on our current research and development plans, we expect to have sufficient resources to fund our planned operations into the fourth quarter of 2025. We will require additional capital in order to complete clinical development of CLS-AX.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pStyle w:val="TextBody"/>
        <w:bidi w:val="0"/>
        <w:spacing w:before="240" w:after="283"/>
        <w:jc w:val="left"/>
        <w:rPr>
          <w:rFonts w:ascii="Times New Roman" w:hAnsi="Times New Roman"/>
          <w:sz w:val="20"/>
        </w:rPr>
      </w:pPr>
      <w:r>
        <w:rPr>
          <w:rFonts w:ascii="Times New Roman" w:hAnsi="Times New Roman"/>
          <w:b/>
          <w:color w:val="000000"/>
          <w:sz w:val="20"/>
        </w:rPr>
        <w:t>Macroeconomic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the Annual Report on Form 10-K filed with the SEC on March 27,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are related to the sales of our SCS Microinjector kits to our licensees for approved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research and development of our preclinical and clinical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as well as contract manufacturing organizations and consultants that conduct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activities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our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participant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our research and development expenses by program for the three months ended March 31, 2025 and 2024 (in thousands).</w:t>
      </w:r>
    </w:p>
    <w:tbl>
      <w:tblPr>
        <w:tblW w:w="6014"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211"/>
        <w:gridCol w:w="571"/>
        <w:gridCol w:w="5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CLS-AX (wet AMD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 (geographic atrophy)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related to clinical trials are based on estimates of participant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participant enrollment and activity according to the protocol. If future timelines or contracts are modified based upon changes in the clinical trial protocol or scope of work to be performed, we would modify our estimates of accrued expenses accordingly on a prospective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costs and timing of clinical trials and development of our product candidates will depend on a variety of factors that may include, among other things,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process development, scale-up and manufacturing of our product candidates including the SCS Microinjector for clinical trials and for requirements associated with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approval and any requirement for extension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participant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participants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required to enroll eligible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doses that participants receive;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drop-out or discontinuation rates of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additional safety monitoring or other studies requested by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duration of participant follow-up;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profiles of the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the accrued interest and interest income earned on our cash and cash equivalents.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of expenses allocated to the warrants issued in connection with our registered direct offering in February 2024 and the change in fair value of the warrants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Non-cash Interest Expense on Liability Related to the Sales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interest expense on liability related to the sales of future royalties consists of imputed interest on the carrying value of the liability and the amortization of the related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consists of taxes incurred in foreign jurisdictions.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U.S. generally accepted accounting principles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certain assumptions used in royalty financing obligation, certain assumptions used in the valuation of warrant liabilities and certain assumptions used to estimate research and development expenses, including clinical trials.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2025, there were no significant changes to our critical accounting policies disclosed in our audited consolidated financial statements for the year ended December 31, 2024, which are included in our Annual Report on Form 10-K, as filed with the SEC on March 27, 2025.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results of operations for the three months ended March 31, 2025 and 2024.</w:t>
      </w:r>
    </w:p>
    <w:tbl>
      <w:tblPr>
        <w:tblW w:w="7757"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736"/>
        <w:gridCol w:w="166"/>
        <w:gridCol w:w="146"/>
        <w:gridCol w:w="342"/>
        <w:gridCol w:w="1024"/>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Period-to-Period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License and other revenue</w:t>
      </w:r>
      <w:r>
        <w:rPr>
          <w:rFonts w:ascii="Times New Roman" w:hAnsi="Times New Roman"/>
          <w:color w:val="000000"/>
          <w:sz w:val="20"/>
        </w:rPr>
        <w:t>. In the three months ended March 31, 2025 and 2024, we recognized $2.3 million and $0.2 million, respectively, of revenue associated with our license agreements. License revenue and other revenue for the three months ended March 31, 2025 consisted of $1.5 million in milestones from Arctic Vision and $0.8 million in other revenue for training, services and the sales of our SCS Microinjector kits to our licensees. License revenue and other revenue for the three months ended March 31, 2024 consisted of $0.2 million for training, services and the sales of our SCS Microinjector kits to our licensees.</w:t>
      </w:r>
    </w:p>
    <w:p>
      <w:pPr>
        <w:pStyle w:val="TextBody"/>
        <w:bidi w:val="0"/>
        <w:spacing w:before="12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In the three months ended March 31, 2025, we recognized $0.2 million in cost of goods sold related to the sales of our SCS Microinjector kits to our licensees of approved products.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decreased by $1.2 million from $5.6 million for the three months ended March 31, 2024 to $4.5 million for the three months ended March 31, 2025. This decrease was primarily due to a $1.8 million decrease in costs related to the CLS-AX program due to the completion of ODYSSEY, our Phase 2b clinical trial. This decrease was partially offset by a $0.4 million increase in costs related to the GA program and a $0.3 million increase in employee related costs.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were $2.8 million for the three months ended March 31, 2025 and 2024. This included an increase in professional fees offset by a decrease in insurance premiums.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decreased by $0.2 million from $0.3 million for the three months ended March 31, 2024 to $0.2 million for the three months ended March 31, 2025. The decrease was due to the lower balance of our cash and cash equivalents.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$0.2 million for the three months ended March 31, 2025 and $(1.5 million) for the three months ended March 31, 2024. The change was due to a smaller decline in in the fair value of the warrant liabilities from the December 31, 2024 valuation date to March 31, 2025 than as compared to the decline in fair value from the February 2024 issuance date to March 31, 2024. </w:t>
      </w:r>
    </w:p>
    <w:p>
      <w:pPr>
        <w:pStyle w:val="TextBody"/>
        <w:bidi w:val="0"/>
        <w:spacing w:before="120" w:after="283"/>
        <w:jc w:val="left"/>
        <w:rPr>
          <w:rFonts w:ascii="Times New Roman" w:hAnsi="Times New Roman"/>
          <w:sz w:val="20"/>
        </w:rPr>
      </w:pPr>
      <w:r>
        <w:rPr>
          <w:rFonts w:ascii="Times New Roman" w:hAnsi="Times New Roman"/>
          <w:i/>
          <w:color w:val="000000"/>
          <w:sz w:val="20"/>
        </w:rPr>
        <w:t>Non-cash interest expense on liability related to the sales of future royalties</w:t>
      </w:r>
      <w:r>
        <w:rPr>
          <w:rFonts w:ascii="Times New Roman" w:hAnsi="Times New Roman"/>
          <w:color w:val="000000"/>
          <w:sz w:val="20"/>
        </w:rPr>
        <w:t>. Non-cash interest expense on liability related to the sales of future royalties was $2.7 million and $2.4 million for the three months ended March 31, 2025 and 2024, respectively, and was comprised of imputed interest on the liability related to the sales of future royalties and the amortization of the associated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is due to taxes on milestone revenue incurred in foreign jurisdictions.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primarily through the proceeds of public offerings of our common stock, sales of convertible preferred stock, issuance of warrants and the issuance of long-term debt. As of March 31, 2025, we had cash and cash equivalents of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$13.6 million. We invest any cash in excess of our immediate requirements primarily with a view to liquidity and capital preservation. As of March 31, 2025, our funds were held in cash and money market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we entered into a securities purchase agreement, pursuant to which we issued and sold, in a registered direct offering: (i) an aggregate of 11,111,111 shares of our common stock; and (ii) warrants to purchase up to 11,111,111 shares of common stock, or Warrants. The combined purchase price of each share and accompanying Warrant was $1.35. The exercise price for the Warrants is $1.62 per share. The Warrants are currently exercisable and will expire on August 9, 2029. The net proceeds to us from the Registered Direct Offering were $13.9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31, 2024, or the Amendment Effective Date, we entered into a fourth amendment to the license agreement, or the Emory License Agreement, with Emory University and Georgia Tech Research Corporation, or,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each of 2026 and 2027 and $0.5 million for 2028. We paid the Maintenance Fee for 2023 in February 2024 and the Maintenance Fee for 2024 in October 2024. The remaining annual Maintenance Fee payments are due on October 1st of each year.</w:t>
      </w:r>
    </w:p>
    <w:p>
      <w:pPr>
        <w:pStyle w:val="TextBody"/>
        <w:bidi w:val="0"/>
        <w:spacing w:before="120" w:after="283"/>
        <w:jc w:val="left"/>
        <w:rPr>
          <w:rFonts w:ascii="Times New Roman" w:hAnsi="Times New Roman"/>
          <w:sz w:val="20"/>
        </w:rPr>
      </w:pPr>
      <w:r>
        <w:rPr>
          <w:rFonts w:ascii="Times New Roman" w:hAnsi="Times New Roman"/>
          <w:color w:val="000000"/>
          <w:sz w:val="20"/>
        </w:rPr>
        <w:t>In May 2023,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or the Sales Agreement, with Cantor Fitzgerald &amp; Co., or Cantor, under which we may offer and sell, from time to time at our sole discretion, shares of our common stock, having an aggregate offering price of up to $50.0 million through Cantor as our sales agent. During the three months ended March 31, 2025, we sold 426,822 shares of our common stock for net proceeds of $0.4 million under the Sales Agreement. During the three months ended March 31, 2024, we sold 339,912 shares of our common stock for net proceeds of $0.5 million under the Sales Agreement. Subsequent to March 31, 2025, we sold 435,750 shares of our common stock for net proceeds of $0.4 million under the Sales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5 to our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the products, if and when approved, whether alone or in collaboration with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would significantly change the costs and timing associated with the development of that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and forecasted expenses, we expect that our cash and cash equivalents as of the filing date, May 15, 2025, will enable us to fund our planned operating expenses and capital expenditure requirements into the fourth quarter of 2025. We have based this estimate on assumptions that may prove to be wrong, and we could exhaust our capital resources sooner than we expect. We will require additional capital in order to complete the clinical development of CLS-AX.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the net cash flows (used in) provided by our operating, investing and financing activities (in thousands):</w:t>
      </w:r>
    </w:p>
    <w:tbl>
      <w:tblPr>
        <w:tblW w:w="5989" w:type="dxa"/>
        <w:jc w:val="left"/>
        <w:tblInd w:w="0" w:type="dxa"/>
        <w:tblLayout w:type="fixed"/>
        <w:tblCellMar>
          <w:top w:w="28" w:type="dxa"/>
          <w:left w:w="28" w:type="dxa"/>
          <w:bottom w:w="28" w:type="dxa"/>
          <w:right w:w="28" w:type="dxa"/>
        </w:tblCellMar>
      </w:tblPr>
      <w:tblGrid>
        <w:gridCol w:w="3391"/>
        <w:gridCol w:w="146"/>
        <w:gridCol w:w="211"/>
        <w:gridCol w:w="631"/>
        <w:gridCol w:w="166"/>
        <w:gridCol w:w="146"/>
        <w:gridCol w:w="211"/>
        <w:gridCol w:w="67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our operating activities used net cash of $5.8 million and $7.9 million, respectively. The net cash used in operating activities for the three months ended March 31, 2025 was due to ongoing research and development expenses to develop our pipeline, as well as the supporting general and administrative costs. The net cash used in operating activities for the three months ended March 31, 2024 was due to ongoing research and development expenses to develop our pipeline and costs for ODYSSEY, as well as the supporting general and administrative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our investing activities used net cash of $9,000 and $57,000, respectively. The net cash used in investing activities for both periods consisted of the acquisition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our financing activities used net cash of $0.6 million. During the three months ended March 31, 2024, our financing activities provided net cash of $14.3 million. The net cash used in financing activities for the three months ended March 31, 2025 consisted primarily of $1.0 million payment related to the royalty purchase and sale agreement, partially offset by proceeds of $0.4 million from the sale of shares of our common stock under the Sales Agreement. The net cash provided by financing activities for the three months ended March 31, 2024 consisted primarily of $13.9 million of net proceeds from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shares of our common stock and warrants in a registered direct offering and $0.5 million of net proceeds from the sale of shares of our common stock under the Sales Agreement. </w:t>
      </w:r>
    </w:p>
    <w:p>
      <w:pPr>
        <w:pStyle w:val="TextBody"/>
        <w:bidi w:val="0"/>
        <w:spacing w:before="240" w:after="283"/>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sz w:val="20"/>
        </w:rPr>
      </w:pPr>
      <w:bookmarkStart w:id="9" w:name="item_4_controls_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the quarter ended March 31, 2025 that has materially affected, or is reasonably likely to materially affect, our internal control over financial reporting. We have not experienced any material impact to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_or_information"/>
      <w:bookmarkEnd w:id="10"/>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2024, filed with the Securities and Exchange Commission on March 27, 2025. </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5_other_information"/>
      <w:bookmarkEnd w:id="1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2025, none of our directors or officers (as defined in Rule 16a-1(f) under the Exchange Act) adopted, modified or terminated a “Rule 10b5-1 trading arrangement” or a “non-Rule 10b5-1 trading arrangement” (as each term is defined in Item 408 of Regulation S-K).</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9"/>
        <w:gridCol w:w="146"/>
        <w:gridCol w:w="9180"/>
      </w:tblGrid>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(incorporated herein by reference to Exhibit 3.1 to the Registrant’s Current Report on Form 8-K (File No. 001-37783) filed with the SEC on June 7, 2016).</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 (incorporated herein by reference to Exhibit 3.1 to the Registrant's Current Report on Form 8-K (File No. 001-37783) filed with the SEC on June 23, 2022).</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(incorporated herein by reference to Exhibit 3.2 to the Registrant’s Current Report on Form 8-K (File No. 001-37783) filed with the SEC on June 7, 2016).</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1_1.htm">
              <w:r>
                <w:rPr>
                  <w:rStyle w:val="InternetLink"/>
                  <w:rFonts w:ascii="Times New Roman" w:hAnsi="Times New Roman"/>
                  <w:color w:val="0000FF"/>
                  <w:sz w:val="20"/>
                  <w:u w:val="single"/>
                </w:rPr>
                <w:t>Certification of Principal Executive Officer under Section 302 of the Sarbanes-Oxley Act.</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1_2.htm">
              <w:r>
                <w:rPr>
                  <w:rStyle w:val="InternetLink"/>
                  <w:rFonts w:ascii="Times New Roman" w:hAnsi="Times New Roman"/>
                  <w:color w:val="0000FF"/>
                  <w:sz w:val="20"/>
                  <w:u w:val="single"/>
                </w:rPr>
                <w:t>Certification of Principal Financial Officer under Section 302 of the Sarbanes-Oxley Act.</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2_1.htm">
              <w:r>
                <w:rPr>
                  <w:rStyle w:val="InternetLink"/>
                  <w:rFonts w:ascii="Times New Roman" w:hAnsi="Times New Roman"/>
                  <w:color w:val="0000FF"/>
                  <w:sz w:val="20"/>
                  <w:u w:val="single"/>
                </w:rPr>
                <w:t>Certifications of Principal Executive Officer and Principal Financial Officer under Section 906 of the Sarbanes-Oxley Act.</w:t>
              </w:r>
            </w:hyperlink>
            <w:r>
              <w:rPr>
                <w:rFonts w:ascii="Times New Roman" w:hAnsi="Times New Roman"/>
                <w:color w:val="000000"/>
                <w:sz w:val="20"/>
              </w:rPr>
              <w:t xml:space="preserve"> </w:t>
            </w:r>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Exhibits 101)</w:t>
            </w:r>
          </w:p>
        </w:tc>
      </w:tr>
    </w:tbl>
    <w:p>
      <w:pPr>
        <w:pStyle w:val="TextBody"/>
        <w:pBdr>
          <w:bottom w:val="single" w:sz="4" w:space="1" w:color="000000"/>
        </w:pBdr>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
        <w:gridCol w:w="9951"/>
      </w:tblGrid>
      <w:tr>
        <w:trPr/>
        <w:tc>
          <w:tcPr>
            <w:tcW w:w="254" w:type="dxa"/>
            <w:tcBorders/>
            <w:vAlign w:val="center"/>
          </w:tcPr>
          <w:p>
            <w:pPr>
              <w:pStyle w:val="TableContents"/>
              <w:bidi w:val="0"/>
              <w:spacing w:before="0" w:after="283"/>
              <w:jc w:val="left"/>
              <w:rPr>
                <w:sz w:val="4"/>
                <w:szCs w:val="4"/>
              </w:rPr>
            </w:pPr>
            <w:r>
              <w:rPr>
                <w:sz w:val="4"/>
                <w:szCs w:val="4"/>
              </w:rPr>
            </w:r>
          </w:p>
        </w:tc>
        <w:tc>
          <w:tcPr>
            <w:tcW w:w="9951" w:type="dxa"/>
            <w:tcBorders/>
            <w:vAlign w:val="center"/>
          </w:tcPr>
          <w:p>
            <w:pPr>
              <w:pStyle w:val="TableContents"/>
              <w:bidi w:val="0"/>
              <w:spacing w:before="0" w:after="283"/>
              <w:jc w:val="left"/>
              <w:rPr>
                <w:sz w:val="4"/>
                <w:szCs w:val="4"/>
              </w:rPr>
            </w:pPr>
            <w:r>
              <w:rPr>
                <w:sz w:val="4"/>
                <w:szCs w:val="4"/>
              </w:rPr>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257" w:type="dxa"/>
        <w:jc w:val="left"/>
        <w:tblInd w:w="0" w:type="dxa"/>
        <w:tblLayout w:type="fixed"/>
        <w:tblCellMar>
          <w:top w:w="28" w:type="dxa"/>
          <w:left w:w="28" w:type="dxa"/>
          <w:bottom w:w="28" w:type="dxa"/>
          <w:right w:w="28" w:type="dxa"/>
        </w:tblCellMar>
      </w:tblPr>
      <w:tblGrid>
        <w:gridCol w:w="1741"/>
        <w:gridCol w:w="109"/>
        <w:gridCol w:w="406"/>
        <w:gridCol w:w="300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Clearside Biomedical,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Charles A. Deignan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Charles A. Deignan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(On behalf of the Registrant and as </w:t>
              <w:b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7" w:name="clsd-ex31_1.htm"/>
      <w:bookmarkStart w:id="18" w:name="ksclsdex31_1"/>
      <w:bookmarkEnd w:id="17"/>
      <w:bookmarkEnd w:id="18"/>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Lasezkay,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March 31, 2025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15, 2025</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Pharm.D., J.D.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 D., J.D.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clsd-ex31_2.htm"/>
      <w:bookmarkStart w:id="20" w:name="ksclsdex31_2"/>
      <w:bookmarkEnd w:id="19"/>
      <w:bookmarkEnd w:id="20"/>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A. Deignan,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March 31, 2025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15, 2025</w:t>
      </w:r>
    </w:p>
    <w:tbl>
      <w:tblPr>
        <w:tblW w:w="2465" w:type="dxa"/>
        <w:jc w:val="left"/>
        <w:tblInd w:w="0" w:type="dxa"/>
        <w:tblLayout w:type="fixed"/>
        <w:tblCellMar>
          <w:top w:w="28" w:type="dxa"/>
          <w:left w:w="28" w:type="dxa"/>
          <w:bottom w:w="28" w:type="dxa"/>
          <w:right w:w="28" w:type="dxa"/>
        </w:tblCellMar>
      </w:tblPr>
      <w:tblGrid>
        <w:gridCol w:w="124"/>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lsd-ex32_1.htm"/>
      <w:bookmarkStart w:id="22" w:name="ksclsdex32_1"/>
      <w:bookmarkEnd w:id="21"/>
      <w:bookmarkEnd w:id="22"/>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set their hands hereto as of the 15th day of May, 2025.</w:t>
      </w:r>
    </w:p>
    <w:tbl>
      <w:tblPr>
        <w:tblW w:w="5676" w:type="dxa"/>
        <w:jc w:val="left"/>
        <w:tblInd w:w="0" w:type="dxa"/>
        <w:tblLayout w:type="fixed"/>
        <w:tblCellMar>
          <w:top w:w="28" w:type="dxa"/>
          <w:left w:w="28" w:type="dxa"/>
          <w:bottom w:w="28" w:type="dxa"/>
          <w:right w:w="28" w:type="dxa"/>
        </w:tblCellMar>
      </w:tblPr>
      <w:tblGrid>
        <w:gridCol w:w="3226"/>
        <w:gridCol w:w="109"/>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 D., J.D.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 D., J.D.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w:t>
              <w:b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br/>
              <w:t>(principal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39029/000119312516615374/d208521dex31.htm" TargetMode="External"/><Relationship Id="rId5" Type="http://schemas.openxmlformats.org/officeDocument/2006/relationships/hyperlink" Target="https://www.sec.gov/Archives/edgar/data/1539029/000095017022012039/clsd-ex3_1.htm" TargetMode="External"/><Relationship Id="rId6" Type="http://schemas.openxmlformats.org/officeDocument/2006/relationships/hyperlink" Target="https://www.sec.gov/Archives/edgar/data/1539029/000119312516615374/d208521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17008</Words>
  <Characters>94043</Characters>
  <CharactersWithSpaces>111298</CharactersWithSpaces>
  <Paragraphs>2695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