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820" w:right="1720" w:hanging="3812"/>
        <w:spacing w:after="0" w:line="318" w:lineRule="auto"/>
        <w:tabs>
          <w:tab w:leader="none" w:pos="37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200" w:right="1720" w:hanging="4192"/>
        <w:spacing w:after="0" w:line="365" w:lineRule="auto"/>
        <w:tabs>
          <w:tab w:leader="none" w:pos="3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Clearside Biomedical, Inc.</w:t>
      </w:r>
    </w:p>
    <w:p>
      <w:pPr>
        <w:sectPr>
          <w:pgSz w:w="11900" w:h="16838" w:orient="portrait"/>
          <w:cols w:equalWidth="0" w:num="1">
            <w:col w:w="11240"/>
          </w:cols>
          <w:pgMar w:left="320" w:top="1193" w:right="339" w:bottom="1440" w:gutter="0" w:footer="0" w:header="0"/>
        </w:sectPr>
      </w:pPr>
    </w:p>
    <w:p>
      <w:pPr>
        <w:spacing w:after="0" w:line="16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45-2437375</w:t>
      </w:r>
    </w:p>
    <w:p>
      <w:pPr>
        <w:spacing w:after="0" w:line="4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2">
            <w:col w:w="7700" w:space="160"/>
            <w:col w:w="3380"/>
          </w:cols>
          <w:pgMar w:left="320" w:top="1193"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8"/>
          <w:szCs w:val="18"/>
          <w:b w:val="1"/>
          <w:bCs w:val="1"/>
          <w:color w:val="auto"/>
        </w:rPr>
        <w:t>900 North Point Parkway, Suite 200</w:t>
      </w:r>
    </w:p>
    <w:p>
      <w:pPr>
        <w:spacing w:after="0" w:line="19" w:lineRule="exact"/>
        <w:rPr>
          <w:sz w:val="24"/>
          <w:szCs w:val="24"/>
          <w:color w:val="auto"/>
        </w:rPr>
      </w:pPr>
    </w:p>
    <w:p>
      <w:pPr>
        <w:ind w:left="222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Alpharetta, GA</w:t>
      </w:r>
      <w:r>
        <w:rPr>
          <w:sz w:val="20"/>
          <w:szCs w:val="20"/>
          <w:color w:val="auto"/>
        </w:rPr>
        <w:tab/>
      </w:r>
      <w:r>
        <w:rPr>
          <w:rFonts w:ascii="Times New Roman" w:cs="Times New Roman" w:eastAsia="Times New Roman" w:hAnsi="Times New Roman"/>
          <w:sz w:val="18"/>
          <w:szCs w:val="18"/>
          <w:b w:val="1"/>
          <w:bCs w:val="1"/>
          <w:color w:val="auto"/>
        </w:rPr>
        <w:t>30005</w:t>
      </w:r>
    </w:p>
    <w:p>
      <w:pPr>
        <w:spacing w:after="0" w:line="11" w:lineRule="exact"/>
        <w:rPr>
          <w:sz w:val="24"/>
          <w:szCs w:val="24"/>
          <w:color w:val="auto"/>
        </w:rPr>
      </w:pPr>
    </w:p>
    <w:p>
      <w:pPr>
        <w:ind w:left="162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270-3631</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p>
      <w:pPr>
        <w:ind w:left="1460"/>
        <w:spacing w:after="0"/>
        <w:tabs>
          <w:tab w:leader="none" w:pos="4660" w:val="left"/>
          <w:tab w:leader="none" w:pos="7300" w:val="left"/>
        </w:tabs>
        <w:rPr>
          <w:sz w:val="20"/>
          <w:szCs w:val="20"/>
          <w:color w:val="auto"/>
        </w:rPr>
      </w:pPr>
      <w:r>
        <w:rPr>
          <w:rFonts w:ascii="Times New Roman" w:cs="Times New Roman" w:eastAsia="Times New Roman" w:hAnsi="Times New Roman"/>
          <w:sz w:val="18"/>
          <w:szCs w:val="18"/>
          <w:color w:val="auto"/>
        </w:rPr>
        <w:t>Title of each class</w:t>
      </w:r>
      <w:r>
        <w:rPr>
          <w:sz w:val="20"/>
          <w:szCs w:val="20"/>
          <w:color w:val="auto"/>
        </w:rPr>
        <w:tab/>
      </w:r>
      <w:r>
        <w:rPr>
          <w:rFonts w:ascii="Times New Roman" w:cs="Times New Roman" w:eastAsia="Times New Roman" w:hAnsi="Times New Roman"/>
          <w:sz w:val="18"/>
          <w:szCs w:val="18"/>
          <w:color w:val="auto"/>
        </w:rPr>
        <w:t>Trading Symbol(s)</w:t>
      </w:r>
      <w:r>
        <w:rPr>
          <w:sz w:val="20"/>
          <w:szCs w:val="20"/>
          <w:color w:val="auto"/>
        </w:rPr>
        <w:tab/>
      </w:r>
      <w:r>
        <w:rPr>
          <w:rFonts w:ascii="Times New Roman" w:cs="Times New Roman" w:eastAsia="Times New Roman" w:hAnsi="Times New Roman"/>
          <w:sz w:val="18"/>
          <w:szCs w:val="18"/>
          <w:color w:val="auto"/>
        </w:rPr>
        <w:t>Name of each exchange on which registered</w:t>
      </w:r>
    </w:p>
    <w:p>
      <w:pPr>
        <w:spacing w:after="0" w:line="36" w:lineRule="exact"/>
        <w:rPr>
          <w:sz w:val="24"/>
          <w:szCs w:val="24"/>
          <w:color w:val="auto"/>
        </w:rPr>
      </w:pPr>
    </w:p>
    <w:p>
      <w:pPr>
        <w:ind w:left="560"/>
        <w:spacing w:after="0"/>
        <w:tabs>
          <w:tab w:leader="none" w:pos="5100" w:val="left"/>
          <w:tab w:leader="none" w:pos="7760" w:val="left"/>
        </w:tabs>
        <w:rPr>
          <w:sz w:val="20"/>
          <w:szCs w:val="20"/>
          <w:color w:val="auto"/>
        </w:rPr>
      </w:pPr>
      <w:r>
        <w:rPr>
          <w:rFonts w:ascii="Times New Roman" w:cs="Times New Roman" w:eastAsia="Times New Roman" w:hAnsi="Times New Roman"/>
          <w:sz w:val="18"/>
          <w:szCs w:val="18"/>
          <w:color w:val="auto"/>
        </w:rPr>
        <w:t>Common Stock, par value $0.001 per share</w:t>
      </w:r>
      <w:r>
        <w:rPr>
          <w:sz w:val="20"/>
          <w:szCs w:val="20"/>
          <w:color w:val="auto"/>
        </w:rPr>
        <w:tab/>
      </w:r>
      <w:r>
        <w:rPr>
          <w:rFonts w:ascii="Times New Roman" w:cs="Times New Roman" w:eastAsia="Times New Roman" w:hAnsi="Times New Roman"/>
          <w:sz w:val="18"/>
          <w:szCs w:val="18"/>
          <w:color w:val="auto"/>
        </w:rPr>
        <w:t>CLSD</w:t>
      </w:r>
      <w:r>
        <w:rPr>
          <w:sz w:val="20"/>
          <w:szCs w:val="20"/>
          <w:color w:val="auto"/>
        </w:rPr>
        <w:tab/>
      </w:r>
      <w:r>
        <w:rPr>
          <w:rFonts w:ascii="Times New Roman" w:cs="Times New Roman" w:eastAsia="Times New Roman" w:hAnsi="Times New Roman"/>
          <w:sz w:val="18"/>
          <w:szCs w:val="18"/>
          <w:color w:val="auto"/>
        </w:rPr>
        <w:t>The Nasdaq Stock Market LLC</w:t>
      </w:r>
    </w:p>
    <w:p>
      <w:pPr>
        <w:spacing w:after="0" w:line="9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8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8, 2024, the registrant had 74,731,139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80" w:type="dxa"/>
            <w:vAlign w:val="bottom"/>
            <w:gridSpan w:val="9"/>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520" w:type="dxa"/>
            <w:vAlign w:val="bottom"/>
          </w:tcPr>
          <w:p>
            <w:pPr>
              <w:spacing w:after="0"/>
              <w:rPr>
                <w:sz w:val="20"/>
                <w:szCs w:val="20"/>
                <w:color w:val="auto"/>
              </w:rPr>
            </w:pPr>
          </w:p>
        </w:tc>
      </w:tr>
      <w:tr>
        <w:trPr>
          <w:trHeight w:val="257"/>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520" w:type="dxa"/>
            <w:vAlign w:val="bottom"/>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6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 as of March 31, 2024 and December 31, 2023</w:t>
            </w:r>
          </w:p>
        </w:tc>
        <w:tc>
          <w:tcPr>
            <w:tcW w:w="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7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2024 and 2023</w:t>
            </w:r>
          </w:p>
        </w:tc>
        <w:tc>
          <w:tcPr>
            <w:tcW w:w="2820" w:type="dxa"/>
            <w:vAlign w:val="bottom"/>
            <w:gridSpan w:val="3"/>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(Deficit) Equity for the three months ended March 31, 2024 and 2023</w:t>
            </w: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2023</w:t>
            </w:r>
          </w:p>
        </w:tc>
        <w:tc>
          <w:tcPr>
            <w:tcW w:w="2760" w:type="dxa"/>
            <w:vAlign w:val="bottom"/>
            <w:gridSpan w:val="2"/>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9"/>
                <w:szCs w:val="19"/>
                <w:color w:val="auto"/>
              </w:rPr>
            </w:pPr>
          </w:p>
        </w:tc>
        <w:tc>
          <w:tcPr>
            <w:tcW w:w="3100" w:type="dxa"/>
            <w:vAlign w:val="bottom"/>
            <w:gridSpan w:val="4"/>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7780" w:type="dxa"/>
            <w:vAlign w:val="bottom"/>
            <w:gridSpan w:val="9"/>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PART II - OTHER INFORMATION</w:t>
            </w:r>
          </w:p>
        </w:tc>
        <w:tc>
          <w:tcPr>
            <w:tcW w:w="520" w:type="dxa"/>
            <w:vAlign w:val="bottom"/>
          </w:tcPr>
          <w:p>
            <w:pPr>
              <w:spacing w:after="0"/>
              <w:rPr>
                <w:sz w:val="24"/>
                <w:szCs w:val="24"/>
                <w:color w:val="auto"/>
              </w:rPr>
            </w:pPr>
          </w:p>
        </w:tc>
      </w:tr>
      <w:tr>
        <w:trPr>
          <w:trHeight w:val="216"/>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2"/>
          </w:tcPr>
          <w:p>
            <w:pPr>
              <w:spacing w:after="0"/>
              <w:rPr>
                <w:sz w:val="19"/>
                <w:szCs w:val="19"/>
                <w:color w:val="auto"/>
              </w:rPr>
            </w:pPr>
          </w:p>
        </w:tc>
        <w:tc>
          <w:tcPr>
            <w:tcW w:w="8220" w:type="dxa"/>
            <w:vAlign w:val="bottom"/>
            <w:gridSpan w:val="10"/>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00" w:type="dxa"/>
            <w:vAlign w:val="bottom"/>
            <w:gridSpan w:val="7"/>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5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1"/>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661"/>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30,123</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 equity</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(includes $17 and $331 to a related party as of</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Pr>
          <w:p>
            <w:pPr>
              <w:spacing w:after="0"/>
              <w:rPr>
                <w:sz w:val="20"/>
                <w:szCs w:val="20"/>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 (includes $198 and $215 to a related party as of</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respectively)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Liability related to the sales of future royalties, net</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61,952</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49,930</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and no</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at March 31, 2024 and December 31, 2023</w:t>
            </w:r>
          </w:p>
        </w:tc>
        <w:tc>
          <w:tcPr>
            <w:tcW w:w="26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shares authorized at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March 31, 2024 and December 31, 2023; 74,731,139 and</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62,850,841 shares issued and outstanding at March 31, 2024</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310,802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304,948</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(332,686 )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(320,923 )</w:t>
            </w:r>
          </w:p>
        </w:tc>
      </w:tr>
      <w:tr>
        <w:trPr>
          <w:trHeight w:val="20"/>
        </w:trPr>
        <w:tc>
          <w:tcPr>
            <w:tcW w:w="77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(21,810 )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(15,912 )</w:t>
            </w:r>
          </w:p>
        </w:tc>
      </w:tr>
      <w:tr>
        <w:trPr>
          <w:trHeight w:val="276"/>
        </w:trPr>
        <w:tc>
          <w:tcPr>
            <w:tcW w:w="772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40,142</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-3994150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-3977005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-3977005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-2767965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License and other revenue (includes $75 from a related party</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 the three months ended March 31, 2024)</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(includes $256 to a related party</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2024)</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(8,209 )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(7,605 )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w:t>
            </w:r>
          </w:p>
        </w:tc>
        <w:tc>
          <w:tcPr>
            <w:tcW w:w="380" w:type="dxa"/>
            <w:vAlign w:val="bottom"/>
            <w:shd w:val="clear" w:color="auto" w:fill="CFF0FC"/>
          </w:tcPr>
          <w:p>
            <w:pPr>
              <w:spacing w:after="0"/>
              <w:rPr>
                <w:sz w:val="18"/>
                <w:szCs w:val="18"/>
                <w:color w:val="auto"/>
              </w:rPr>
            </w:pPr>
          </w:p>
        </w:tc>
        <w:tc>
          <w:tcPr>
            <w:tcW w:w="14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(2,403 )</w:t>
            </w:r>
          </w:p>
        </w:tc>
        <w:tc>
          <w:tcPr>
            <w:tcW w:w="36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(2,167 )</w:t>
            </w: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38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(9,280 )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(0.15 )</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69,853,227</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61,169,486</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-1302385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-548005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12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0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(Deficit) 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62,850,841</w:t>
            </w:r>
          </w:p>
        </w:tc>
        <w:tc>
          <w:tcPr>
            <w:tcW w:w="10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304,948</w:t>
            </w:r>
          </w:p>
        </w:tc>
        <w:tc>
          <w:tcPr>
            <w:tcW w:w="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(320,923 )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(15,912 )</w:t>
            </w:r>
          </w:p>
        </w:tc>
        <w:tc>
          <w:tcPr>
            <w:tcW w:w="0" w:type="dxa"/>
            <w:vAlign w:val="bottom"/>
          </w:tcPr>
          <w:p>
            <w:pPr>
              <w:spacing w:after="0"/>
              <w:rPr>
                <w:sz w:val="1"/>
                <w:szCs w:val="1"/>
                <w:color w:val="auto"/>
              </w:rPr>
            </w:pPr>
          </w:p>
        </w:tc>
      </w:tr>
      <w:tr>
        <w:trPr>
          <w:trHeight w:val="202"/>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registered direct</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offering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11,111,111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at-the-market</w:t>
            </w: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sales agreement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339,912</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and settlement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397,594</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21,681</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(11,763 )</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(11,763 )</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74,731,139</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310,802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(332,686 )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(21,810 )</w:t>
            </w: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5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8"/>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40" w:type="dxa"/>
            <w:vAlign w:val="bottom"/>
          </w:tcPr>
          <w:p>
            <w:pPr>
              <w:spacing w:after="0"/>
              <w:rPr>
                <w:sz w:val="17"/>
                <w:szCs w:val="17"/>
                <w:color w:val="auto"/>
              </w:rPr>
            </w:pPr>
          </w:p>
        </w:tc>
        <w:tc>
          <w:tcPr>
            <w:tcW w:w="212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212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5"/>
                <w:szCs w:val="15"/>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10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60,639,827</w:t>
            </w:r>
          </w:p>
        </w:tc>
        <w:tc>
          <w:tcPr>
            <w:tcW w:w="106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298,984</w:t>
            </w:r>
          </w:p>
        </w:tc>
        <w:tc>
          <w:tcPr>
            <w:tcW w:w="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(288,438 )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at-the-market</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agreement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214,128</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Vesting and settlement of restricted stock units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471,390</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38,954</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(9,280 )</w:t>
            </w: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(9,280 )</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61,364,299</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300,357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(297,718 )</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-1962150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-1945640</wp:posOffset>
            </wp:positionV>
            <wp:extent cx="768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-1962150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-1945640</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-1962150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-1945640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-1962150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-1945640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-24765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(11,763 )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(9,280 )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interest expense on liability related to the sales of</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future royalties, net of issuance costs accretion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costs allocated to warrant liabilities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(165 )</w:t>
            </w:r>
          </w:p>
        </w:tc>
      </w:tr>
      <w:tr>
        <w:trPr>
          <w:trHeight w:val="247"/>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11"/>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 (includes $(310) to a related party</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 the three months ended March 31, 2024)</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(1,067 )</w:t>
            </w:r>
          </w:p>
        </w:tc>
      </w:tr>
      <w:tr>
        <w:trPr>
          <w:trHeight w:val="245"/>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(7,216 )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warrants under</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registered direct offering, net of issuance costs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at-the-market sales agreement, net of issuance costs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shares issued under employee stock purchase plan</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(6,999 )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28,920</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 end of period</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35,355</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of property and equipment included in accrued liabilities</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-2513965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-2513965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-808355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-808355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-490855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CLEARSIDE BIOMEDICAL,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21"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8"/>
          <w:szCs w:val="18"/>
          <w:color w:val="auto"/>
        </w:rPr>
        <w:t>Clearside Biomedical, Inc. (the “Company”) is a biopharmaceutical company focused on revolutionizing the delivery of therapies to the back of the eye through the suprachoroidal space (SCS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Incorporated in the State of Delaware on May 26, 2011, the Company has its corporate headquarters in Alpharetta, Georgia.</w:t>
      </w:r>
    </w:p>
    <w:p>
      <w:pPr>
        <w:spacing w:after="0" w:line="9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cash and cash equivalents of $35.4 million as of March 31, 2024.</w:t>
      </w:r>
    </w:p>
    <w:p>
      <w:pPr>
        <w:spacing w:after="0" w:line="11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Historically, the Company has funded its operations primarily through the sale of common stock and convertible preferred stock, the issuance of long-term debt, and license agreements.</w:t>
      </w:r>
    </w:p>
    <w:p>
      <w:pPr>
        <w:spacing w:after="0" w:line="5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with institutional investors and an existing stockholder, pursuant to which the Company issued and sold, in a registered direct offering (the “Registered Direct Offering”): (i) an aggregate of 11,111,111 shares of its common stock; and (ii) warrants to purchase up to 11,111,111 shares of common stock (the “Warrants”). The combined purchase price of each share and accompanying Warrant was $1.35. The exercise price for the Warrants is $1.62 per share. The Warrants will be exercisable from August 9, 2024 and will expire on August 9, 2029. The net proceeds to the Company from the Registered Direct Offering were $13.9 million.</w:t>
      </w:r>
    </w:p>
    <w:p>
      <w:pPr>
        <w:spacing w:after="0" w:line="75"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January 31, 2024 (the “Amendment Effective Date”), the Company entered into a fourth amendment to the license agreement (as amended, the “Emory License Agreement”) with Emory University and Georgia Tech Research Corporation (collectively, the “Licensor”) pursuant to which the parties agreed to reduce the Sublicense Percentage (as defined in the Emory License Agreement) from a low double digit percentage to a high single digit percentage that the Company will pay the Licensor applicable to any fees or payments paid to the Company by any Sublicensee (as defined in the Emory License Agreement) of the Licensed Patents and/or Licensed Technology (each as defined in the Emory License Agreement), excluding (i) amounts paid to the Company by a Sublicensee to reimburse the Company for certain research and development costs pursuant to a written agreement between the Company and such Sublicensee, (ii) the value of intellectual property transferred or granted to the Company if necessary or helpful to the development or commercialization of Licensed Products (as defined in the Emory License Agreement) and (iii) amounts paid for shares of the Company’s stock. The payment to Licensor of any such Sublicense Percentage is due within 30 days of receipt by the Company of a qualifying payment from a Sublicensee, provided however, with respect to any qualifying payments received by the Company from a Sublicensee prior to January 1, 2025, the payment to Licensor of any such Sublicensee Percentage is due to Licensor by March 31, 2025. The parties also agreed to a revised annual license maintenance fee due each year (the “Maintenance Fee”) starting in 2023 through 2028, as follows: $250,000 for 2023 through 2025, $350,000 for 2026, $400,000 for 2027 and $500,000 for 2028. The Company paid the Maintenance Fee for 2023 in February 2024. The remaining annual Maintenance Fee payments are due on October 1st of each year.</w:t>
      </w:r>
    </w:p>
    <w:p>
      <w:pPr>
        <w:spacing w:after="0" w:line="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December 22, 2023, Clearside Biomedical, Inc., through its wholly owned subsidiary Royalty Sub, entered into a letter agreement (the “Letter Agreement”) with HCR (as defined below) and HCR Clearside SPV, LLC (as assignee of HCR Collateral Management, LLC) (“Agent”) amending that certain Purchase and Sale Agreement, dated as of August 8, 2022, by and among Royalty Sub, HCR and Agent ("Purchase and Sale Agreement"). Pursuant to the terms of the Letter Agreement, Royalty Sub and Agent mutually agreed that Royalty Sub waived any and all rights to the $12.5 million milestone payment which was deposited in an escrow account (“First Milestone Payment") in connection with the closing of the transactions contemplated by the Purchase and Sale Agreement and agreed to the release of the First Milestone Payment to Agent.</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November 1, 2023, the Company, entered into a license agreement (the “BioCryst License Agreement”) with BioCryst Pharmaceuticals, Inc. (“BioCryst”) pursuant to which the Company granted BioCryst an exclusive, worldwide and sublicensable license to the Company’s SCS Microinjector for the delivery of BioCryst’s proprietary plasma kallikrein inhibitor known as avoralstat for the treatment and prevention of diabetic macular edema (“DME”). 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right="540"/>
        <w:spacing w:after="0" w:line="282" w:lineRule="auto"/>
        <w:rPr>
          <w:sz w:val="20"/>
          <w:szCs w:val="20"/>
          <w:color w:val="auto"/>
        </w:rPr>
      </w:pPr>
      <w:r>
        <w:rPr>
          <w:rFonts w:ascii="Times New Roman" w:cs="Times New Roman" w:eastAsia="Times New Roman" w:hAnsi="Times New Roman"/>
          <w:sz w:val="18"/>
          <w:szCs w:val="18"/>
          <w:color w:val="auto"/>
        </w:rPr>
        <w:t>sales, with the highest royalty rate applied to sales over $1.5 billion, subject to reductions in specified circumstances. The Company’s rights to these royalties and milestone payments have been sold pursuant to the terms and conditions of the Purchase and Sale Agreement as described in Note 5.</w:t>
      </w:r>
    </w:p>
    <w:p>
      <w:pPr>
        <w:spacing w:after="0" w:line="54"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In May 2023, the Company terminated its at-the-market sales agreement with Cowen and Company, LLC (the "ATM Agreement"). The Company sold 214,128 shares of its common stock for net proceeds of $0.3 million under its ATM Agreement with Cowen and Company, LLC during the three months ended March 31, 2023, prior to the termination of the ATM Agreement.</w:t>
      </w:r>
    </w:p>
    <w:p>
      <w:pPr>
        <w:spacing w:after="0" w:line="75" w:lineRule="exact"/>
        <w:rPr>
          <w:sz w:val="20"/>
          <w:szCs w:val="20"/>
          <w:color w:val="auto"/>
        </w:rPr>
      </w:pPr>
    </w:p>
    <w:p>
      <w:pPr>
        <w:ind w:right="120" w:firstLine="509"/>
        <w:spacing w:after="0" w:line="237" w:lineRule="auto"/>
        <w:rPr>
          <w:sz w:val="20"/>
          <w:szCs w:val="20"/>
          <w:color w:val="auto"/>
        </w:rPr>
      </w:pPr>
      <w:r>
        <w:rPr>
          <w:rFonts w:ascii="Times New Roman" w:cs="Times New Roman" w:eastAsia="Times New Roman" w:hAnsi="Times New Roman"/>
          <w:sz w:val="18"/>
          <w:szCs w:val="18"/>
          <w:color w:val="auto"/>
        </w:rPr>
        <w:t>In May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("Cantor") under which the Company may offer and sell, from time to time at its sole discretion, shares of its common stock, having an aggregate offering price of up to $50.0 million through Cantor as its sales agent. During the three months ended March 31, 2024, the Company sold 339,912 shares of its common stock for net proceeds of $0.5 million under the Sales Agreement.</w:t>
      </w:r>
    </w:p>
    <w:p>
      <w:pPr>
        <w:spacing w:after="0" w:line="9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spacing w:after="0" w:line="7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Based on its current plans and forecasted expenses, the Company expects that its cash and cash equivalents as of the filing date, May 10, 2024 will enable the Company to fund its planned operating expenses and capital expenditure requirements into the third quarter of 2025.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results of the financial operations of Clearside Biomedical, Inc. and its wholly-owned subsidiary, Clearside Royalty, LLC. a Delaware limited liability company, which was formed for the purposes of the transactions contemplated by the Purchase and Sale Agreement described in Note 5. All intercompany balances and transactions have been eliminated.</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accounting principles generally accepted in the United States of America (“U.S. GAAP”). In the opinion of management, the Company has made all necessary adjustments, which include normal recurring adjustments necessary for a fair statement of the Company’s consolidated financial position and results of operations for the interim periods presented. The results for the three months ended March 31, 2024 are not indicative of results to be expected for the year ending December 31, 2024, any other interim periods or any future year or period. These unaudited financial statements should be read in conjunction with the audited financial statements and related footnotes, which are included in the Company’s Annual Report on Form 10-K for the year ended December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income and expenses during the reporting periods. Significant items subject to such estimates and assumptions include the estimate of the total amount of future royalty revenue and milestone payments to be generated over the life of the Purchase and Sale Agreement, revenue recognition, the accounting for useful lives to calculate depreciation and amortization, clinical trial expense accruals, share-based compensation expense and income tax valuation allowance. Actual results could differ from these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8" w:name="page9"/>
    <w:bookmarkEnd w:id="8"/>
    <w:p>
      <w:pPr>
        <w:ind w:firstLine="509"/>
        <w:spacing w:after="0" w:line="255" w:lineRule="auto"/>
        <w:rPr>
          <w:sz w:val="20"/>
          <w:szCs w:val="20"/>
          <w:color w:val="auto"/>
        </w:rPr>
      </w:pPr>
      <w:r>
        <w:rPr>
          <w:rFonts w:ascii="Times New Roman" w:cs="Times New Roman" w:eastAsia="Times New Roman" w:hAnsi="Times New Roman"/>
          <w:sz w:val="18"/>
          <w:szCs w:val="18"/>
          <w:color w:val="212529"/>
        </w:rPr>
        <w:t xml:space="preserve">The Company recognizes revenue from its contracts with customers under Financial Accounting Standards Board Accounting Standards Codification (“ASC”) Topic 606, </w:t>
      </w:r>
      <w:r>
        <w:rPr>
          <w:rFonts w:ascii="Times New Roman" w:cs="Times New Roman" w:eastAsia="Times New Roman" w:hAnsi="Times New Roman"/>
          <w:sz w:val="18"/>
          <w:szCs w:val="18"/>
          <w:i w:val="1"/>
          <w:iCs w:val="1"/>
          <w:color w:val="212529"/>
        </w:rPr>
        <w:t>Revenue from Contracts with Customers.</w:t>
      </w:r>
      <w:r>
        <w:rPr>
          <w:rFonts w:ascii="Times New Roman" w:cs="Times New Roman" w:eastAsia="Times New Roman" w:hAnsi="Times New Roman"/>
          <w:sz w:val="18"/>
          <w:szCs w:val="18"/>
          <w:color w:val="212529"/>
        </w:rPr>
        <w:t xml:space="preserve">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81" w:lineRule="exact"/>
        <w:rPr>
          <w:sz w:val="20"/>
          <w:szCs w:val="20"/>
          <w:color w:val="auto"/>
        </w:rPr>
      </w:pPr>
    </w:p>
    <w:p>
      <w:pPr>
        <w:ind w:right="420" w:firstLine="578"/>
        <w:spacing w:after="0" w:line="258"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are charged to expense as incurred and include:</w:t>
      </w:r>
    </w:p>
    <w:p>
      <w:pPr>
        <w:spacing w:after="0" w:line="117" w:lineRule="exact"/>
        <w:rPr>
          <w:sz w:val="20"/>
          <w:szCs w:val="20"/>
          <w:color w:val="auto"/>
        </w:rPr>
      </w:pPr>
    </w:p>
    <w:p>
      <w:pPr>
        <w:ind w:left="1020" w:right="7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contract manufacturing organizations and consultants that conduct preclinical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the Company’s product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the Company’s research and development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11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Costs for certain development activities, such as clinical trial activities, are recognized based on an evaluation of the estimated total costs for the clinical trial, progress to completion of specific tasks using data such as patient enrollment, pass-through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financial statements as prepaid or accrued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80" w:firstLine="562"/>
        <w:spacing w:after="0" w:line="261" w:lineRule="auto"/>
        <w:rPr>
          <w:sz w:val="20"/>
          <w:szCs w:val="20"/>
          <w:color w:val="auto"/>
        </w:rPr>
      </w:pPr>
      <w:r>
        <w:rPr>
          <w:rFonts w:ascii="Times New Roman" w:cs="Times New Roman" w:eastAsia="Times New Roman" w:hAnsi="Times New Roman"/>
          <w:sz w:val="18"/>
          <w:szCs w:val="18"/>
          <w:color w:val="auto"/>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look-back period. The Company estimates the fair value of the shares using a Black-Scholes option pricing model. Compensation expense is recognized over the six-month withholding period prior to the purchase date.</w:t>
      </w:r>
    </w:p>
    <w:p>
      <w:pPr>
        <w:spacing w:after="0" w:line="72"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All share-based compensation costs are recorded in general and administrative or research and development costs in the statements of operations based upon the recipient's underlying role within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580" w:right="1080" w:hanging="5061"/>
        <w:spacing w:after="0" w:line="282" w:lineRule="auto"/>
        <w:rPr>
          <w:sz w:val="20"/>
          <w:szCs w:val="20"/>
          <w:color w:val="auto"/>
        </w:rPr>
      </w:pPr>
      <w:r>
        <w:rPr>
          <w:rFonts w:ascii="Times New Roman" w:cs="Times New Roman" w:eastAsia="Times New Roman" w:hAnsi="Times New Roman"/>
          <w:sz w:val="18"/>
          <w:szCs w:val="18"/>
          <w:color w:val="auto"/>
        </w:rPr>
        <w:t>Cash equivalents consist of short-term, highly liquid investments with an original term of three months or less at the date of purchase.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Arising From Cash Deposits in Excess of Insured Limits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Related to the Sales of Future Royalties and Non-Cash Interest Expense</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Purchase and Sale Agreement, the Company recognizes a liability related to the sales of future royalties under ASC 470-10 Debt and ASC 835-30 Interest - Imputation of Interest. The initial funds received by the Company pursuant to the terms of the Purchase and Sale Agreement were recorded as a liability and are accreted under the effective interest method up to the estimated amount of future royalties and milestone payments to be made under the Purchase and Sale Agreement. The issuance costs were recorded as a direct deduction to the carrying amount of the liability and are amortized under the effective interest method over the estimated period the liability will be repaid. The Company estimates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FASB ASC Topic 480, Distinguishing Liabilities from Equity (ASC 480) and FASB ASC Topic 815, Derivatives and Hedging (ASC 815). The assessment considers whether the warrants (i) are freestanding financial instruments pursuant to ASC 480, (ii) meet the definition of a liability pursuant to ASC 480, and (iii)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8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balance sheet date thereafter.</w:t>
      </w:r>
    </w:p>
    <w:p>
      <w:pPr>
        <w:spacing w:after="0" w:line="6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Company’s warrant liabilities are measured at fair value using a simulation model which takes into account, as of the valuation date, factors including the current exercise price, the expected life of the warrant, the current price of the Company's common stock, the expected volatility, holding cost, the risk-free interest rate for the term of the warrant and the likelihood of achieving certain future milestone events and the related impact to the price of the Company's common stock. The warrant liability is revalued at each reporting period and changes in fair value are recognized in other expense in the consolidated statements of operations. The selection of the appropriate valuation model and the inputs and assumptions that are required to determine the valuation requires significant judgment and requires management to make estimates and assumptions that affect the reported amount of the related liability and reported amounts of the change in fair value. Actual results could differ from those estimates, and changes in these estimates are recorded when 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(dollar amounts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Lives</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760" w:type="dxa"/>
            <w:vAlign w:val="bottom"/>
            <w:gridSpan w:val="2"/>
            <w:shd w:val="clear" w:color="auto" w:fill="CFF0FC"/>
          </w:tcPr>
          <w:p>
            <w:pPr>
              <w:jc w:val="center"/>
              <w:ind w:left="2290"/>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760" w:type="dxa"/>
            <w:vAlign w:val="bottom"/>
            <w:gridSpan w:val="2"/>
          </w:tcPr>
          <w:p>
            <w:pPr>
              <w:jc w:val="center"/>
              <w:ind w:left="229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760" w:type="dxa"/>
            <w:vAlign w:val="bottom"/>
            <w:gridSpan w:val="2"/>
            <w:shd w:val="clear" w:color="auto" w:fill="CFF0FC"/>
          </w:tcPr>
          <w:p>
            <w:pPr>
              <w:jc w:val="center"/>
              <w:ind w:left="229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3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Lesser of</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useful life or</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9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 term</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3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5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3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(948 )</w:t>
            </w: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(920 )</w:t>
            </w:r>
          </w:p>
        </w:tc>
        <w:tc>
          <w:tcPr>
            <w:tcW w:w="0" w:type="dxa"/>
            <w:vAlign w:val="bottom"/>
          </w:tcPr>
          <w:p>
            <w:pPr>
              <w:spacing w:after="0"/>
              <w:rPr>
                <w:sz w:val="1"/>
                <w:szCs w:val="1"/>
                <w:color w:val="auto"/>
              </w:rPr>
            </w:pPr>
          </w:p>
        </w:tc>
      </w:tr>
      <w:tr>
        <w:trPr>
          <w:trHeight w:val="234"/>
        </w:trPr>
        <w:tc>
          <w:tcPr>
            <w:tcW w:w="39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380" w:type="dxa"/>
            <w:vAlign w:val="bottom"/>
            <w:tcBorders>
              <w:top w:val="single" w:sz="8" w:color="CFF0FC"/>
            </w:tcBorders>
          </w:tcPr>
          <w:p>
            <w:pPr>
              <w:spacing w:after="0"/>
              <w:rPr>
                <w:sz w:val="20"/>
                <w:szCs w:val="20"/>
                <w:color w:val="auto"/>
              </w:rPr>
            </w:pPr>
          </w:p>
        </w:tc>
        <w:tc>
          <w:tcPr>
            <w:tcW w:w="138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50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0"/>
        </w:trPr>
        <w:tc>
          <w:tcPr>
            <w:tcW w:w="39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-1268095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-950595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4. 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43"/>
        </w:trPr>
        <w:tc>
          <w:tcPr>
            <w:tcW w:w="7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1"/>
                <w:szCs w:val="21"/>
                <w:color w:val="auto"/>
              </w:rPr>
            </w:pPr>
          </w:p>
        </w:tc>
      </w:tr>
      <w:tr>
        <w:trPr>
          <w:trHeight w:val="243"/>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costs</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20"/>
                <w:szCs w:val="20"/>
                <w:color w:val="auto"/>
              </w:rPr>
            </w:pPr>
          </w:p>
        </w:tc>
      </w:tr>
      <w:tr>
        <w:trPr>
          <w:trHeight w:val="247"/>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FF0FC"/>
          </w:tcPr>
          <w:p>
            <w:pPr>
              <w:spacing w:after="0"/>
              <w:rPr>
                <w:sz w:val="21"/>
                <w:szCs w:val="21"/>
                <w:color w:val="auto"/>
              </w:rPr>
            </w:pPr>
          </w:p>
        </w:tc>
      </w:tr>
      <w:tr>
        <w:trPr>
          <w:trHeight w:val="23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r>
      <w:tr>
        <w:trPr>
          <w:trHeight w:val="277"/>
        </w:trPr>
        <w:tc>
          <w:tcPr>
            <w:tcW w:w="75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6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Royalty Purchase and Sale Agreement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August 8, 2022 (the “Closing Date”), the Company, through its wholly owned subsidiary Clearside Royalty LLC, a Delaware limited liability company ("Royalty Sub"), entered into the Purchase and Sale Agreement with entities managed by HealthCare Royalty Management, LLC ("HCR"), pursuant to which Royalty Sub sold to HCR certain of its rights to receive royalty and milestone payments payable to Royalty Sub under the Arctic Vision License Agreement, the Bausch License Agreement,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w:t>
      </w:r>
    </w:p>
    <w:p>
      <w:pPr>
        <w:spacing w:after="0" w:line="84"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of $30.6 million. An additional $12.5 million was deposited by HCR in an escrow account which was released to HCR pursuant to the Letter Agreement described below. The terms of the Purchase and Sale Agreement also provide for an additional $20 million milestone payment to Royalty Sub upon attainment of a second pre-specified sales milestone related to 2024 XIPERE sales (the "Second Milestone Event").</w:t>
      </w:r>
    </w:p>
    <w:p>
      <w:pPr>
        <w:spacing w:after="0" w:line="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Purchase and Sale Agreement will automatically expire, and the payment of Royalties from the Royalty Sub to HCR will cease, when HCR has received payments of the Royalties equal to 2.5 times the aggregate amount of payments made by HCR under the Purchase and Sale Agreement if the Second Milestone Event is achieved on or prior to December 31, 2024 (the “Initial Cap”). If the Second Milestone Event is not achieved on or prior to December 31, 2024, payment of Royalties from Royalty Sub to HCR will cease when HCR has received Royalties payments equal to 3.4 times the aggregate amount of payments under the Purchase and Sale Agreement (the “Alternative Cap”, and together with the Initial Cap, the “Cap Amount”). In the event of a change in control, acquiror will have the option to make a payment to HCR of the Cap Amount then in effect,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Alternative Cap. After the Purchase and Sale Agreement expires, all rights to receive the Royalties return to Royalty Sub.</w:t>
      </w:r>
    </w:p>
    <w:p>
      <w:pPr>
        <w:spacing w:after="0" w:line="84" w:lineRule="exact"/>
        <w:rPr>
          <w:sz w:val="20"/>
          <w:szCs w:val="20"/>
          <w:color w:val="auto"/>
        </w:rPr>
      </w:pPr>
    </w:p>
    <w:p>
      <w:pPr>
        <w:ind w:right="420" w:firstLine="509"/>
        <w:spacing w:after="0" w:line="261" w:lineRule="auto"/>
        <w:rPr>
          <w:sz w:val="20"/>
          <w:szCs w:val="20"/>
          <w:color w:val="auto"/>
        </w:rPr>
      </w:pPr>
      <w:r>
        <w:rPr>
          <w:rFonts w:ascii="Times New Roman" w:cs="Times New Roman" w:eastAsia="Times New Roman" w:hAnsi="Times New Roman"/>
          <w:sz w:val="18"/>
          <w:szCs w:val="18"/>
          <w:color w:val="auto"/>
        </w:rPr>
        <w:t>On December 22, 2023, the Company, through its wholly owned subsidiary Royalty Sub, entered into the Letter Agreement with the Agent amending the Purchase and Sale Agreement. Pursuant to the terms of the Letter Agreement, Royalty Sub and Agent mutually agreed that Royalty Sub waived any and all rights to the First Milestone Payment in connection with the closing of the transactions contemplated by the Purchase and Sale Agreement and agreed to the release of the First Milestone Payment to Agent.</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Issuance costs pursuant to the Purchase and Sale Agreement consisting primarily of advisory and legal fees, totaled $1.9 million including the amount of HCR's transaction-related expenses that the Company reimbursed. The effective interest rate includes cash flow projections for future royalty and milestone payments, which are sensitive to certain assumptions, including market size, market penetration and sales price, that are forward looking and could be affected by future market conditions.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of the Purchase and Sale Agreement for the three months ended March 31, 2024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Purchase and Sale Agreement balance at December 31, 2023</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41,988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44,391</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7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Company to issue 200,000,000 shares of $0.001 par value common stock. As of March 31, 2024 and December 31, 2023, there were 74,731,139 and 62,850,841 shares of common stock outstanding,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 Warrants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Times New Roman" w:cs="Times New Roman" w:eastAsia="Times New Roman" w:hAnsi="Times New Roman"/>
          <w:sz w:val="18"/>
          <w:szCs w:val="18"/>
          <w:color w:val="1F497D"/>
        </w:rPr>
        <w:t>.</w:t>
      </w:r>
      <w:r>
        <w:rPr>
          <w:rFonts w:ascii="Times New Roman" w:cs="Times New Roman" w:eastAsia="Times New Roman" w:hAnsi="Times New Roman"/>
          <w:sz w:val="18"/>
          <w:szCs w:val="18"/>
          <w:color w:val="auto"/>
        </w:rPr>
        <w:t xml:space="preserve"> The warrants were recorded in equity at the time of issuance and as of March 31, 2024 had a weighted average remaining life of 2.5 years.</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February 6, 2024, the Company entered into a securities purchase agreement with institutional investors and an existing stockholder, pursuant to which the Company issued and sold, in a registered direct offering (i) an aggregate of 11,111,111 Shares of its common stock; and (ii) Warrants to purchase up to 11,111,111 shares of common stock. The combined purchase price of each Share and accompanying Warrant was $1.35. The exercise price for the Warrants is $1.62 per share. The Warrants will be exercisable beginning August 9, 2024 and will expire on August 9, 2029. The Company recorded the initial fair value of the Warrants of $10.3 million as warrant liabilities and $4.7 million attributable to common stock as additional paid in capital in the consolidated balance sheets. The issuance costs were allocated among the warrants and common stock consistent with the allocation between amounts recorded as warrant liabilities and common stock. The issuance costs allocated to the Warrants as well as the change in the fair value of the Warrants during the period are recorded in other expense in the consolidated statements of operations. The issuance costs allocated to common stock were recorded as a reduction to additional paid in capital.</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warrant liabilities during the three months ended March 31, 2024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at issuance February 9, 2024</w:t>
            </w:r>
          </w:p>
        </w:tc>
        <w:tc>
          <w:tcPr>
            <w:tcW w:w="14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00" w:type="dxa"/>
            <w:vAlign w:val="bottom"/>
            <w:shd w:val="clear" w:color="auto" w:fill="CFF0FC"/>
          </w:tcPr>
          <w:p>
            <w:pPr>
              <w:spacing w:after="0"/>
              <w:rPr>
                <w:sz w:val="21"/>
                <w:szCs w:val="21"/>
                <w:color w:val="auto"/>
              </w:rPr>
            </w:pPr>
          </w:p>
        </w:tc>
      </w:tr>
      <w:tr>
        <w:trPr>
          <w:trHeight w:val="243"/>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during the period</w:t>
            </w:r>
          </w:p>
        </w:tc>
        <w:tc>
          <w:tcPr>
            <w:tcW w:w="8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1"/>
                <w:szCs w:val="21"/>
                <w:color w:val="auto"/>
              </w:rPr>
            </w:pPr>
          </w:p>
        </w:tc>
      </w:tr>
      <w:tr>
        <w:trPr>
          <w:trHeight w:val="277"/>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warrants at March 31, 2024</w:t>
            </w:r>
          </w:p>
        </w:tc>
        <w:tc>
          <w:tcPr>
            <w:tcW w:w="14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FF0FC"/>
          </w:tcPr>
          <w:p>
            <w:pPr>
              <w:spacing w:after="0"/>
              <w:rPr>
                <w:sz w:val="24"/>
                <w:szCs w:val="24"/>
                <w:color w:val="auto"/>
              </w:rPr>
            </w:pPr>
          </w:p>
        </w:tc>
      </w:tr>
      <w:tr>
        <w:trPr>
          <w:trHeight w:val="305"/>
        </w:trPr>
        <w:tc>
          <w:tcPr>
            <w:tcW w:w="8460" w:type="dxa"/>
            <w:vAlign w:val="bottom"/>
            <w:tcBorders>
              <w:top w:val="single" w:sz="8" w:color="CFF0FC"/>
            </w:tcBorders>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certain key inputs for the valuation of the Warrants at March 31, 2024:</w:t>
            </w:r>
          </w:p>
        </w:tc>
        <w:tc>
          <w:tcPr>
            <w:tcW w:w="80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8"/>
        </w:trPr>
        <w:tc>
          <w:tcPr>
            <w:tcW w:w="8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8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 per share</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8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8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8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-1219835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-1202690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Share-based compensation is accounted for in accordance with the provisions of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3" w:right="27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Share-based compensation expense for options granted under the 2016 Plan is reflected in the statements of operations as follows (in thousands):</w:t>
      </w:r>
    </w:p>
    <w:p>
      <w:pPr>
        <w:spacing w:after="0" w:line="13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options granted under the 2011 Plan and the 2016 Plan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43"/>
        </w:trPr>
        <w:tc>
          <w:tcPr>
            <w:tcW w:w="7680" w:type="dxa"/>
            <w:vAlign w:val="bottom"/>
          </w:tcPr>
          <w:p>
            <w:pPr>
              <w:spacing w:after="0"/>
              <w:rPr>
                <w:sz w:val="21"/>
                <w:szCs w:val="21"/>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50"/>
        </w:trPr>
        <w:tc>
          <w:tcPr>
            <w:tcW w:w="7680" w:type="dxa"/>
            <w:vAlign w:val="bottom"/>
          </w:tcPr>
          <w:p>
            <w:pPr>
              <w:spacing w:after="0"/>
              <w:rPr>
                <w:sz w:val="21"/>
                <w:szCs w:val="21"/>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9,865,770</w:t>
            </w:r>
          </w:p>
        </w:tc>
        <w:tc>
          <w:tcPr>
            <w:tcW w:w="28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21"/>
                <w:szCs w:val="21"/>
                <w:color w:val="auto"/>
              </w:rPr>
            </w:pPr>
          </w:p>
        </w:tc>
      </w:tr>
      <w:tr>
        <w:trPr>
          <w:trHeight w:val="239"/>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2,606,875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0"/>
                <w:szCs w:val="20"/>
                <w:color w:val="auto"/>
              </w:rPr>
            </w:pPr>
          </w:p>
        </w:tc>
      </w:tr>
      <w:tr>
        <w:trPr>
          <w:trHeight w:val="247"/>
        </w:trPr>
        <w:tc>
          <w:tcPr>
            <w:tcW w:w="7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(10,000 )</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(122,815 )</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12,339,830</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5,494,746</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6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March 31, 2024</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6,174,281</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-693420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-676275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-359410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-342265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$6.2 million of unrecognized compensation expense related to unvested stock options, which is expected to be recognized over a weighted average period of 2.8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has granted restricted stock units (“RSUs”) to employees under the 2016 Plan. The shares underlying the RSU awards have vesting terms of four years from the date of grant subject to the employees’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share-based compensation expense related to RSUs is reflected in the statements of operations as follows (in thousands):</w:t>
      </w:r>
    </w:p>
    <w:p>
      <w:pPr>
        <w:spacing w:after="0" w:line="14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RSUs during the three months ended March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43"/>
        </w:trPr>
        <w:tc>
          <w:tcPr>
            <w:tcW w:w="7680" w:type="dxa"/>
            <w:vAlign w:val="bottom"/>
          </w:tcPr>
          <w:p>
            <w:pPr>
              <w:spacing w:after="0"/>
              <w:rPr>
                <w:sz w:val="21"/>
                <w:szCs w:val="21"/>
                <w:color w:val="auto"/>
              </w:rPr>
            </w:pPr>
          </w:p>
        </w:tc>
        <w:tc>
          <w:tcPr>
            <w:tcW w:w="19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50"/>
        </w:trPr>
        <w:tc>
          <w:tcPr>
            <w:tcW w:w="7680" w:type="dxa"/>
            <w:vAlign w:val="bottom"/>
          </w:tcPr>
          <w:p>
            <w:pPr>
              <w:spacing w:after="0"/>
              <w:rPr>
                <w:sz w:val="21"/>
                <w:szCs w:val="21"/>
                <w:color w:val="auto"/>
              </w:rPr>
            </w:pPr>
          </w:p>
        </w:tc>
        <w:tc>
          <w:tcPr>
            <w:tcW w:w="19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43"/>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834,899</w:t>
            </w:r>
          </w:p>
        </w:tc>
        <w:tc>
          <w:tcPr>
            <w:tcW w:w="28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FF0FC"/>
          </w:tcPr>
          <w:p>
            <w:pPr>
              <w:spacing w:after="0"/>
              <w:rPr>
                <w:sz w:val="21"/>
                <w:szCs w:val="21"/>
                <w:color w:val="auto"/>
              </w:rPr>
            </w:pPr>
          </w:p>
        </w:tc>
      </w:tr>
      <w:tr>
        <w:trPr>
          <w:trHeight w:val="243"/>
        </w:trPr>
        <w:tc>
          <w:tcPr>
            <w:tcW w:w="7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(397,594 )</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1"/>
                <w:szCs w:val="21"/>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RSUs outstanding at March 31,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437,305</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740" w:firstLine="569"/>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had $1.1 million of unrecognized compensation expense related to the RSUs which is expected to be recognized over a weighted average period of 1.3 years.</w:t>
      </w: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share-based compensation expense recognized for the 2016 ESPP is reflected in the statements of operations as follows (in thousands):</w:t>
      </w:r>
    </w:p>
    <w:p>
      <w:pPr>
        <w:spacing w:after="0" w:line="14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shd w:val="clear" w:color="auto" w:fill="CFF0FC"/>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issued 21,681 shares of common stock purchased under the 2016 ESPP.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 Summary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 signed an amended office lease agreement to lease approximately 14,000 square feet of office space in Alpharetta, Georgia for its corporate headquarters. The amended office lease agreement is for a four year term with a renewal option for an additional 38 months. Rental payments are $30,747 per month subject to an increase of 3% per year. Rent expense under this lease is recognized on a straight-line basis over the term of the lease. In addition, the office lease agreement requires payment of the pro-rata share of the annual operating expenses associated with the premises.</w:t>
      </w:r>
    </w:p>
    <w:p>
      <w:pPr>
        <w:spacing w:after="0" w:line="75" w:lineRule="exact"/>
        <w:rPr>
          <w:sz w:val="20"/>
          <w:szCs w:val="20"/>
          <w:color w:val="auto"/>
        </w:rPr>
      </w:pPr>
    </w:p>
    <w:p>
      <w:pPr>
        <w:jc w:val="both"/>
        <w:ind w:right="180" w:firstLine="562"/>
        <w:spacing w:after="0" w:line="266" w:lineRule="auto"/>
        <w:rPr>
          <w:sz w:val="20"/>
          <w:szCs w:val="20"/>
          <w:color w:val="auto"/>
        </w:rPr>
      </w:pPr>
      <w:r>
        <w:rPr>
          <w:rFonts w:ascii="Times New Roman" w:cs="Times New Roman" w:eastAsia="Times New Roman" w:hAnsi="Times New Roman"/>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w:t>
      </w:r>
    </w:p>
    <w:p>
      <w:pPr>
        <w:spacing w:after="0" w:line="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Georgia Tech License Agreement</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described in Note 1, the Company entered into a fourth amendment to the Georgia Tech License Agreement pursuant to which the parties agreed to revised Maintenance Fee payments. The Company paid the Maintenance Fee for 2023 in February 2024. The remaining annual Maintenance Fee payments are due on October 1st of each year from 2024 through 2028, as show in the table below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80" w:type="dxa"/>
            <w:vAlign w:val="bottom"/>
          </w:tcPr>
          <w:p>
            <w:pPr>
              <w:spacing w:after="0"/>
              <w:rPr>
                <w:sz w:val="19"/>
                <w:szCs w:val="19"/>
                <w:color w:val="auto"/>
              </w:rPr>
            </w:pPr>
          </w:p>
        </w:tc>
        <w:tc>
          <w:tcPr>
            <w:tcW w:w="16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6"/>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FF0FC"/>
          </w:tcPr>
          <w:p>
            <w:pPr>
              <w:spacing w:after="0"/>
              <w:rPr>
                <w:sz w:val="19"/>
                <w:szCs w:val="19"/>
                <w:color w:val="auto"/>
              </w:rPr>
            </w:pP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9"/>
                <w:szCs w:val="19"/>
                <w:color w:val="auto"/>
              </w:rPr>
            </w:pPr>
          </w:p>
        </w:tc>
      </w:tr>
      <w:tr>
        <w:trPr>
          <w:trHeight w:val="239"/>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8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FF0FC"/>
          </w:tcPr>
          <w:p>
            <w:pPr>
              <w:spacing w:after="0"/>
              <w:rPr>
                <w:sz w:val="20"/>
                <w:szCs w:val="20"/>
                <w:color w:val="auto"/>
              </w:rPr>
            </w:pP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9"/>
                <w:szCs w:val="19"/>
                <w:color w:val="auto"/>
              </w:rPr>
            </w:pPr>
          </w:p>
        </w:tc>
      </w:tr>
      <w:tr>
        <w:trPr>
          <w:trHeight w:val="23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5"/>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Service Providers</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Other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Bausch + Lomb</w:t>
      </w:r>
    </w:p>
    <w:p>
      <w:pPr>
        <w:spacing w:after="0" w:line="119" w:lineRule="exact"/>
        <w:rPr>
          <w:sz w:val="20"/>
          <w:szCs w:val="20"/>
          <w:color w:val="auto"/>
        </w:rPr>
      </w:pPr>
    </w:p>
    <w:p>
      <w:pPr>
        <w:ind w:right="460" w:firstLine="509"/>
        <w:spacing w:after="0" w:line="255" w:lineRule="auto"/>
        <w:rPr>
          <w:sz w:val="20"/>
          <w:szCs w:val="20"/>
          <w:color w:val="auto"/>
        </w:rPr>
      </w:pPr>
      <w:r>
        <w:rPr>
          <w:rFonts w:ascii="Times New Roman" w:cs="Times New Roman" w:eastAsia="Times New Roman" w:hAnsi="Times New Roman"/>
          <w:sz w:val="18"/>
          <w:szCs w:val="18"/>
          <w:color w:val="auto"/>
        </w:rPr>
        <w:t>On October 22, 2019, the Company entered into a License Agreement (as amended, the "Bausch License Agreement") with Bausch + Lomb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(together with</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4" w:name="page15"/>
    <w:bookmarkEnd w:id="14"/>
    <w:p>
      <w:pPr>
        <w:ind w:right="40"/>
        <w:spacing w:after="0" w:line="282" w:lineRule="auto"/>
        <w:rPr>
          <w:sz w:val="20"/>
          <w:szCs w:val="20"/>
          <w:color w:val="auto"/>
        </w:rPr>
      </w:pPr>
      <w:r>
        <w:rPr>
          <w:rFonts w:ascii="Times New Roman" w:cs="Times New Roman" w:eastAsia="Times New Roman" w:hAnsi="Times New Roman"/>
          <w:sz w:val="18"/>
          <w:szCs w:val="18"/>
          <w:color w:val="auto"/>
        </w:rPr>
        <w:t>XIPERE, the “Products”), subject to specified exceptions, in the United States and Canada (the “Territory”) for the treatment of ophthalmology indications, including non-infectious uveitis.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Bausch License Agreement, Bausch paid the Company an aggregate of $20.0 million in upfront and milestone payments.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Arctic Vision (Hong Kong) Limited</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subject to specified exceptions, in China, Hong Kong, Macau, Taiwan and South Korea (the “Arctic Territory”). Under the terms of the Arctic License Agreement, neither party may commercialize XIPERE in the other party’s territory. Arctic Vision has agreed to use commercially reasonable efforts to pursue the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Arctic License Agreement, Arctic Vision has paid the Company an aggregate of $9.0 million in upfront and milestone payments. In addition, Arctic Vision has agreed to pay the Company up to $22.5 million in development and sales milestones.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Arctic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BioCryst Pharmaceuticals, Inc.</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November 1, 2023, the Company entered into the BioCryst License Agreement pursuant to which the Company granted BioCryst an exclusive, worldwide and sublicensable license to the Company’s SCS Microinjector for the delivery of BioCryst’s proprietary plasma kallikrein inhibitor known as avoralstat for the treatment and prevention of DME.</w:t>
      </w:r>
    </w:p>
    <w:p>
      <w:pPr>
        <w:spacing w:after="0" w:line="68" w:lineRule="exact"/>
        <w:rPr>
          <w:sz w:val="20"/>
          <w:szCs w:val="20"/>
          <w:color w:val="auto"/>
        </w:rPr>
      </w:pPr>
    </w:p>
    <w:p>
      <w:pPr>
        <w:ind w:right="120" w:firstLine="509"/>
        <w:spacing w:after="0" w:line="263" w:lineRule="auto"/>
        <w:rPr>
          <w:sz w:val="20"/>
          <w:szCs w:val="20"/>
          <w:color w:val="auto"/>
        </w:rPr>
      </w:pPr>
      <w:r>
        <w:rPr>
          <w:rFonts w:ascii="Times New Roman" w:cs="Times New Roman" w:eastAsia="Times New Roman" w:hAnsi="Times New Roman"/>
          <w:sz w:val="18"/>
          <w:szCs w:val="18"/>
          <w:color w:val="auto"/>
        </w:rPr>
        <w:t>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 sales, with the highest royalty rate applied to sales over $1.5 billion, subject to reductions in specified circumstances. The Company's rights to these royalties and milestone payments have been sold pursuant to the terms and conditions of the Purchase and Sale Agreement described in Note 5.</w:t>
      </w:r>
    </w:p>
    <w:p>
      <w:pPr>
        <w:spacing w:after="0" w:line="7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BioCryst will be responsible for all development, regulatory and commercialization activities for avoralstat. The Company is responsible for supplying SCS Microinjectors to meet BioCryst’s reasonable needs.</w:t>
      </w: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Company’s material financial instruments at March 31, 2024 and December 31, 2023 consisted primarily of cash and cash equivalents. The fair values of cash and cash equivalents, other current assets and accounts payable approximate their respective carrying values due to the short term nature of these instruments and are classified as Level 1 in the fair value hierarchy. The fair value of the liability related to the sales of future royalties (see Note 5) approximates the carrying value and is classified as Level 1 in the fair value hierarchy. The fair value of the warrant liabilities (see Note 7) require significant unobservable inputs and is classified as Level 3 in the fair value hierarchy.</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Levels 1, 2 and 3 during the three months ended March 31, 2024 and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 member of the Company's Board of Directors is chief executive officer of a company that is a vendor of the Company. As of March 31, 2024, the Company has recorded $17,000 in accounts payable and $0.2 million in accrued expense with this vendor in the consolidated balance sheets. For the three months ended March 31, 2024, the Company has recorded $0.3 million of expense in the consolidated statements of operations.</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chair of the board of directors of BioCryst also serves on the Company’s Board of Directors. For the three months ended March 31, 2024, the Company has recorded $75,000 in license and other revenue in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common stock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80" w:type="dxa"/>
            <w:vAlign w:val="bottom"/>
            <w:gridSpan w:val="3"/>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9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480" w:type="dxa"/>
            <w:vAlign w:val="bottom"/>
            <w:tcBorders>
              <w:bottom w:val="single" w:sz="8" w:color="auto"/>
            </w:tcBorders>
            <w:gridSpan w:val="3"/>
          </w:tcPr>
          <w:p>
            <w:pPr>
              <w:jc w:val="center"/>
              <w:ind w:left="89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9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6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5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12,339,830</w:t>
            </w: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8,931,659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437,305</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37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11,140,907</w:t>
            </w:r>
          </w:p>
        </w:tc>
        <w:tc>
          <w:tcPr>
            <w:tcW w:w="22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23,918,042</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720" w:type="dxa"/>
            <w:vAlign w:val="bottom"/>
            <w:vMerge w:val="restart"/>
          </w:tcPr>
          <w:p>
            <w:pPr>
              <w:jc w:val="right"/>
              <w:ind w:right="1870"/>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-959485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8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2023 appearing in our Annual Report on Form 10-K filed with the SEC on March 12,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are a biopharmaceutical company focused on revolutionizing the delivery of therapies to the back of the eye through the suprachoroidal space, or SCS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Our novel SCS injection platform, utilizing our proprietary SCS Microinjector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spacing w:after="0" w:line="90"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We are leveraging our SCS injection platform by building an internal research and development pipeline targeting retinal diseases and by creating external collaborations with other companies. We are developing our own pipeline of small molecule product candidates for administration via our SCS Microinjector, and we also strategically partner with companies developing other ophthalmic therapeutic innovations to be administered using our SCS injection platform. Our first product, 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 We believe that we are creating a broad therapeutic platform for developing product candidates to treat serious eye diseases.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color w:val="auto"/>
        </w:rPr>
        <w:t>The current development status of our pipeline of internal product candidates and external collaborations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6172200" cy="3086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722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Pipeline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CLS-AX (axitinib injectable suspension)</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CLS-AX, our most advanced product candidate, is our proprietary suspension of the TKI axitinib for suprachoroidal injection delivered via our SCS Microinjector. We are developing CLS-AX for administration to the SCS as a long-acting therapy for neovascular age-related macular degeneration (wet AMD), a retinal degenerative disease that causes a progressive loss of central vision.</w:t>
      </w:r>
    </w:p>
    <w:p>
      <w:pPr>
        <w:spacing w:after="0" w:line="68"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February 2023, we announced the final, positive results from the OASIS Phase 1/2a clinical trial in wet AMD. CLS-AX was well-tolerated and demonstrated a favorable safety profile across all cohorts. The full extension data for Cohorts 3 and 4 showed promising durability and signs of biological effect.</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Based on the results from the OASIS trial, we are conducting a randomized, controlled, double-masked, Phase 2b clinical trial of CLS-AX for the treatment of wet AMD, which we refer to as ODYSSEY. ODYSSEY will compare CLS-AX suprachoroidal injection and aflibercept intravitreal injection over 36 weeks and is expected to have 60 total participants with a 2:1 randomization. The primary outcome measure is a mean change in best-corrected visual acuity from baseline to week 36. The secondary outcome measures are changes in visual function and ocular anatomy, the need for supplemental treatment and treatment burden as measured by total injections over the trial duration. We began enrolling participants in May 2023 and randomized our first participants in July 2023. On October 31, 2023, we completed the recruitment of participants. The final participant was randomized to the CLS-AX treatment of the aflibercept comparator arm in December 2023. We expect to report topline data at the end of the third quarter of 2024.</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have an experienced team of scientists and researchers evaluating small molecules that may be utilized as potential treatment options for back of the eye diseases utilizing our SCS Microinjector for delivery in the suprachoroidal space.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Collaborations Pipeline</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order to expand the global reach of our suprachoroidal injection platform, we have strategically partnered some of our assets for development and/or commercialization and intend to continue partnering our assets. By entering into these partnerships, we have</w:t>
      </w: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8" w:name="page19"/>
    <w:bookmarkEnd w:id="18"/>
    <w:p>
      <w:pPr>
        <w:ind w:right="180"/>
        <w:spacing w:after="0" w:line="282" w:lineRule="auto"/>
        <w:rPr>
          <w:sz w:val="20"/>
          <w:szCs w:val="20"/>
          <w:color w:val="auto"/>
        </w:rPr>
      </w:pPr>
      <w:r>
        <w:rPr>
          <w:rFonts w:ascii="Times New Roman" w:cs="Times New Roman" w:eastAsia="Times New Roman" w:hAnsi="Times New Roman"/>
          <w:sz w:val="18"/>
          <w:szCs w:val="18"/>
          <w:color w:val="auto"/>
        </w:rPr>
        <w:t>been able to expand the use of our suprachoroidal injection platform to other indications and geographies globally. We currently have collaborations with Bausch Health, Arctic Vision, REGENXBIO, Inc., Aura Biosciences and BioCryst Pharmaceuticals, Inc.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w:t>
      </w:r>
    </w:p>
    <w:p>
      <w:pPr>
        <w:spacing w:after="0" w:line="128" w:lineRule="exact"/>
        <w:rPr>
          <w:sz w:val="20"/>
          <w:szCs w:val="20"/>
          <w:color w:val="auto"/>
        </w:rPr>
      </w:pPr>
    </w:p>
    <w:p>
      <w:pPr>
        <w:ind w:right="80" w:firstLine="509"/>
        <w:spacing w:after="0" w:line="234" w:lineRule="auto"/>
        <w:rPr>
          <w:sz w:val="20"/>
          <w:szCs w:val="20"/>
          <w:color w:val="auto"/>
        </w:rPr>
      </w:pPr>
      <w:r>
        <w:rPr>
          <w:rFonts w:ascii="Times New Roman" w:cs="Times New Roman" w:eastAsia="Times New Roman" w:hAnsi="Times New Roman"/>
          <w:sz w:val="18"/>
          <w:szCs w:val="18"/>
          <w:color w:val="auto"/>
        </w:rPr>
        <w:t>XIPERE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(triamcinolone acetonide injectable suspension) for suprachoroidal use, was approved by the FDA in October 2021. XIPERE is the first approved therapeutic delivered into the SCS, the first commercial product developed by us and the first therapy for macular edema associated with uveitis. XIPERE commercialization rights are licensed to Bausch + Lomb in the United States and Canada and Arctic Vision in Asia, not including Japan.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ISO and EC Certifications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have received the International Organization for Standardization (ISO) Certification EN ISO 13485:2016 for “The design, development, and manufacture of sterile piston syringes, needles, and associated accessories for the area of ophthalmology.” The certificate is available on our website. The information contained on our website is not incorporated by reference into this Quarterly Report on Form 10-Q.</w:t>
      </w:r>
    </w:p>
    <w:p>
      <w:pPr>
        <w:spacing w:after="0" w:line="68"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received European Community (EC) Certification for the SCS Microinjector from our Notified Body, Intertek Medical Notified Body, AB. The Certificate of Conformance with the Medical Device Regulation 2017/745, Annex IV was issued July 21, 2023, with the Intended Purpose of the SCS Microinjector as "delivery of triamcinolone acetonide injectable suspension, 40 mg/mL to the suprachoroidal space of the eye".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February 2024, we entered into a securities purchase agreement, or the Purchase Agreement, with institutional investors and an existing stockholder, pursuant to which we agreed to issue and sell, in a registered direct offering (i) an aggregate of 11,111,111 shares of common stock; and (ii) warrants to purchase up to 11,111,111 shares of common stock, or the Warrants, for net proceeds of $13.9 million.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March 14, 2024, we appointed Victor Chong, M.D., MBA to serve as our Chief Medical Officer. On April 15, 2024, we appointed Anthony 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Gibney to serve on our board of directors as a Class III director whose term will expire at our 2025 annual meeting of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Outlook</w:t>
      </w:r>
    </w:p>
    <w:p>
      <w:pPr>
        <w:spacing w:after="0" w:line="121" w:lineRule="exact"/>
        <w:rPr>
          <w:sz w:val="20"/>
          <w:szCs w:val="20"/>
          <w:color w:val="auto"/>
        </w:rPr>
      </w:pPr>
    </w:p>
    <w:p>
      <w:pPr>
        <w:ind w:firstLine="549"/>
        <w:spacing w:after="0" w:line="254" w:lineRule="auto"/>
        <w:rPr>
          <w:sz w:val="20"/>
          <w:szCs w:val="20"/>
          <w:color w:val="auto"/>
        </w:rPr>
      </w:pPr>
      <w:r>
        <w:rPr>
          <w:rFonts w:ascii="Times New Roman" w:cs="Times New Roman" w:eastAsia="Times New Roman" w:hAnsi="Times New Roman"/>
          <w:sz w:val="18"/>
          <w:szCs w:val="18"/>
          <w:color w:val="auto"/>
        </w:rPr>
        <w:t>We have incurred net losses since our inception. In recent years, our operations have consisted primarily of conducting preclinical studies and clinical trials, raising capital and undertaking other research and development initiatives. To date, we primarily generated revenue through upfront payments and milestone payments related to license agreements and from collaboration agreements, and we have primarily financed our operations through public offerings and private placements of our equity securities, issuances of convertible promissory notes and loan agreements. As of March 31, 2024, we had an accumulated deficit of $332.7 million. We recorded net losses of $11.8 million and $9.3 million for the three months ended March 31, 2024 and 2023,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8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and increasing operating losses at least for the next several years. We do not expect to generate significant product or license and other revenue unless and until XIPERE is successfully commercialized by our licensees or until we successfully complete the development of, obtain regulatory approval for and commercialize additional product candidates, either on our own or together with a third party. Our financial results may fluctuate significantly from quarter to quarter and year to year, depending on the timing of our clinical trials and our expenditures on other research and development activities. We expect clinical trial expenses to increase in the remainder of 2024 as a result of our Phase 2b clinical trial of CLS-AX, as well as continuing our pipeline development. We also will continue our efforts to discover, research and develop additional product candidates and obtain regulatory approvals in additional regions for XIPERE for the treatment of macular edema associated with uveitis.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Unfavorable conditions in the economy in the United States and abroad may negatively affect the growth of our business and our results of operations. For example, macroeconomic events, rising inflation, the U.S. Federal Reserve raising interest rates, and conflicts in Ukraine, Russia and the Middle East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 Item 1A of the Annual Report on Form 10-K filed with the SEC on March 12, 2024.</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Other Revenue</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 from the sale of XIPERE and we do not expect to generate any other product revenue unless or until we obtain regulatory approval for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are seeking to enter into additional licenses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research and development of our preclinical and clinical product candidates, which include:</w:t>
      </w:r>
    </w:p>
    <w:p>
      <w:pPr>
        <w:spacing w:after="0" w:line="54" w:lineRule="exact"/>
        <w:rPr>
          <w:sz w:val="20"/>
          <w:szCs w:val="20"/>
          <w:color w:val="auto"/>
        </w:rPr>
      </w:pPr>
    </w:p>
    <w:p>
      <w:pPr>
        <w:ind w:left="1020" w:right="7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share-based compensation expense for research and development personnel;</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activities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submitting regulatory approval applications for our product candidates;</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training physicians on the suprachoroidal injection procedure and educating and providing them with appropriate product candidate information;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our research and development facility;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expense for assets used in research and development activities.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to operations as incurred. These costs include preclinical activities, such as manufacturing and stability and toxicology studies, that are supportive of the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incurred.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research and development expenses by program for the three months ended March 31, 2024 and 2023 (in thousands).</w:t>
      </w:r>
    </w:p>
    <w:p>
      <w:pPr>
        <w:spacing w:after="0" w:line="13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XIPERE (uveitis program)</w:t>
            </w:r>
          </w:p>
        </w:tc>
        <w:tc>
          <w:tcPr>
            <w:tcW w:w="106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CLS-AX (wet AMD program)</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06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75"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w:t>
      </w: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ind w:right="20"/>
        <w:spacing w:after="0" w:line="261" w:lineRule="auto"/>
        <w:rPr>
          <w:sz w:val="20"/>
          <w:szCs w:val="20"/>
          <w:color w:val="auto"/>
        </w:rPr>
      </w:pPr>
      <w:r>
        <w:rPr>
          <w:rFonts w:ascii="Times New Roman" w:cs="Times New Roman" w:eastAsia="Times New Roman" w:hAnsi="Times New Roman"/>
          <w:sz w:val="18"/>
          <w:szCs w:val="18"/>
          <w:color w:val="auto"/>
        </w:rPr>
        <w:t>increased size and duration of later-stage clinical trials.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current or future product candidates.</w:t>
      </w:r>
    </w:p>
    <w:p>
      <w:pPr>
        <w:spacing w:after="0" w:line="7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clinical trials and development of our product candidates will depend on a variety of factors that may include, among others:</w:t>
      </w:r>
    </w:p>
    <w:p>
      <w:pPr>
        <w:spacing w:after="0" w:line="54" w:lineRule="exact"/>
        <w:rPr>
          <w:sz w:val="20"/>
          <w:szCs w:val="20"/>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process development, scale-up and manufacturing of our product candidates including the SCS Microinjector for clinical trials and for requirements associated with regulatory filings;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 and any requirement for extension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studies requested by regulatory agencies;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profiles of the product candidates.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the accrued interest and interest income earned on our cash and cash equivalents. Interest income is not considered significant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Other expense consists of expenses allocated to the warrants issued in connection with our registered direct offering in February 2024 and the change in fair value during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on Liability Related to the Sales of Future Royalties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Non-cash interest expense on liability related to the sales of future royalties consists of imputed interest on the carrying value of the liability and the amortization of the related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accounting principles generally accepted in the United States of America, or U.S. GAAP. The preparation of these consolidated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21" w:name="page22"/>
    <w:bookmarkEnd w:id="21"/>
    <w:p>
      <w:pPr>
        <w:ind w:right="180"/>
        <w:spacing w:after="0" w:line="266" w:lineRule="auto"/>
        <w:rPr>
          <w:sz w:val="20"/>
          <w:szCs w:val="20"/>
          <w:color w:val="auto"/>
        </w:rPr>
      </w:pPr>
      <w:r>
        <w:rPr>
          <w:rFonts w:ascii="Times New Roman" w:cs="Times New Roman" w:eastAsia="Times New Roman" w:hAnsi="Times New Roman"/>
          <w:sz w:val="18"/>
          <w:szCs w:val="18"/>
          <w:color w:val="auto"/>
        </w:rPr>
        <w:t>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68"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2024, there were no significant changes to our critical accounting policies disclosed in our audited financial statements for the year ended December 31, 2023, which are included in our Annual Report on Form 10-K, as filed with the SEC on March 12, 2024, other than the warrant liabilities discussed in Note 2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gridSpan w:val="5"/>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80" w:type="dxa"/>
            <w:vAlign w:val="bottom"/>
            <w:gridSpan w:val="5"/>
          </w:tcPr>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Period-to-Period</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1"/>
        </w:trPr>
        <w:tc>
          <w:tcPr>
            <w:tcW w:w="6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(334 )</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(8,209 )</w:t>
            </w:r>
          </w:p>
        </w:tc>
        <w:tc>
          <w:tcPr>
            <w:tcW w:w="1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(7,605 )</w:t>
            </w: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(604 )</w:t>
            </w: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(1,499 )</w:t>
            </w:r>
          </w:p>
        </w:tc>
        <w:tc>
          <w:tcPr>
            <w:tcW w:w="1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(1,499 )</w:t>
            </w:r>
          </w:p>
        </w:tc>
        <w:tc>
          <w:tcPr>
            <w:tcW w:w="0" w:type="dxa"/>
            <w:vAlign w:val="bottom"/>
          </w:tcPr>
          <w:p>
            <w:pPr>
              <w:spacing w:after="0"/>
              <w:rPr>
                <w:sz w:val="1"/>
                <w:szCs w:val="1"/>
                <w:color w:val="auto"/>
              </w:rPr>
            </w:pPr>
          </w:p>
        </w:tc>
      </w:tr>
      <w:tr>
        <w:trPr>
          <w:trHeight w:val="21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interest expense on liability</w:t>
            </w:r>
          </w:p>
        </w:tc>
        <w:tc>
          <w:tcPr>
            <w:tcW w:w="300" w:type="dxa"/>
            <w:vAlign w:val="bottom"/>
            <w:shd w:val="clear" w:color="auto" w:fill="CFF0FC"/>
          </w:tcPr>
          <w:p>
            <w:pPr>
              <w:spacing w:after="0"/>
              <w:rPr>
                <w:sz w:val="18"/>
                <w:szCs w:val="18"/>
                <w:color w:val="auto"/>
              </w:rPr>
            </w:pPr>
          </w:p>
        </w:tc>
        <w:tc>
          <w:tcPr>
            <w:tcW w:w="13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(2,403 )</w:t>
            </w:r>
          </w:p>
        </w:tc>
        <w:tc>
          <w:tcPr>
            <w:tcW w:w="120" w:type="dxa"/>
            <w:vAlign w:val="bottom"/>
            <w:shd w:val="clear" w:color="auto" w:fill="CFF0FC"/>
          </w:tcPr>
          <w:p>
            <w:pPr>
              <w:spacing w:after="0"/>
              <w:rPr>
                <w:sz w:val="18"/>
                <w:szCs w:val="18"/>
                <w:color w:val="auto"/>
              </w:rPr>
            </w:pPr>
          </w:p>
        </w:tc>
        <w:tc>
          <w:tcPr>
            <w:tcW w:w="1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(2,167 )</w:t>
            </w:r>
          </w:p>
        </w:tc>
        <w:tc>
          <w:tcPr>
            <w:tcW w:w="24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34"/>
        </w:trPr>
        <w:tc>
          <w:tcPr>
            <w:tcW w:w="6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related to the sales of future royalties</w:t>
            </w:r>
          </w:p>
        </w:tc>
        <w:tc>
          <w:tcPr>
            <w:tcW w:w="30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(9,280 )</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(2,483 )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-942340</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-942340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right="2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License and other revenue</w:t>
      </w:r>
      <w:r>
        <w:rPr>
          <w:rFonts w:ascii="Times New Roman" w:cs="Times New Roman" w:eastAsia="Times New Roman" w:hAnsi="Times New Roman"/>
          <w:sz w:val="18"/>
          <w:szCs w:val="18"/>
          <w:color w:val="auto"/>
        </w:rPr>
        <w:t>. In the three months ended March 31, 2024 and 2023, we recognized $0.2 million and $4,000, respectively, of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license agreements, which includes revenue for services and the sales of our SCS Microinjector kits to our licensees.</w:t>
      </w:r>
    </w:p>
    <w:p>
      <w:pPr>
        <w:spacing w:after="0" w:line="5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increased by $1.2 million from $4.5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to $5.6 million for the three months ended March 31, 2024. This increase was primarily due to a $0.9 million increase in costs related to the CLS-AX program, which includes costs for ODYSSEY, our Phase 2b clinical trial. In addition, there was a $0.4 million research and development tax credit received in the prior year.</w:t>
      </w:r>
    </w:p>
    <w:p>
      <w:pPr>
        <w:spacing w:after="0" w:line="72"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$0.3 million, from $3.2 million for the three months ended March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to $2.8 million for the three months ended March 31, 2024. This was primarily attributable to a $0.3 million decrease in professional fees.</w:t>
      </w:r>
    </w:p>
    <w:p>
      <w:pPr>
        <w:spacing w:after="0" w:line="50" w:lineRule="exact"/>
        <w:rPr>
          <w:sz w:val="20"/>
          <w:szCs w:val="20"/>
          <w:color w:val="auto"/>
        </w:rPr>
      </w:pPr>
    </w:p>
    <w:p>
      <w:pPr>
        <w:ind w:right="6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for the three months ended March 31, 2024 and 2023 was comprised of interest income from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The decrease is due to the lower balance of our cash and cash equivalents.</w:t>
      </w:r>
    </w:p>
    <w:p>
      <w:pPr>
        <w:spacing w:after="0" w:line="50" w:lineRule="exact"/>
        <w:rPr>
          <w:sz w:val="20"/>
          <w:szCs w:val="20"/>
          <w:color w:val="auto"/>
        </w:rPr>
      </w:pPr>
    </w:p>
    <w:p>
      <w:pPr>
        <w:ind w:right="620" w:firstLine="509"/>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Other expense. </w:t>
      </w:r>
      <w:r>
        <w:rPr>
          <w:rFonts w:ascii="Times New Roman" w:cs="Times New Roman" w:eastAsia="Times New Roman" w:hAnsi="Times New Roman"/>
          <w:sz w:val="17"/>
          <w:szCs w:val="17"/>
          <w:color w:val="auto"/>
        </w:rPr>
        <w:t>Other expense for the three months ended March 31, 2024 was due to the increase in fair value of the warrant liabilities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February 9, 2024, the issuance date of the warrants, to March 31, 2024 and the direct registered offering costs that were allocated to the warrants.</w:t>
      </w:r>
    </w:p>
    <w:p>
      <w:pPr>
        <w:spacing w:after="0" w:line="27"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Non-cash interest expense on liability related to the sales of future royalties</w:t>
      </w:r>
      <w:r>
        <w:rPr>
          <w:rFonts w:ascii="Times New Roman" w:cs="Times New Roman" w:eastAsia="Times New Roman" w:hAnsi="Times New Roman"/>
          <w:sz w:val="18"/>
          <w:szCs w:val="18"/>
          <w:color w:val="auto"/>
        </w:rPr>
        <w:t>. Non-cash interest expense on liability related to the sales of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royalties for the three months ended March 31, 2024 and 2023 was comprised of imputed interest on the liability related to the sales of future royalties and the amortization of the associated issuance costs.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funded our operations primarily through the proceeds of public offerings of our common stock, sales of convertible preferred stock and the issuance of long-term debt. As of March 31, 2024, we had cash and cash equivalents of $35.4 million. We</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120"/>
        <w:spacing w:after="0" w:line="282" w:lineRule="auto"/>
        <w:rPr>
          <w:sz w:val="20"/>
          <w:szCs w:val="20"/>
          <w:color w:val="auto"/>
        </w:rPr>
      </w:pPr>
      <w:r>
        <w:rPr>
          <w:rFonts w:ascii="Times New Roman" w:cs="Times New Roman" w:eastAsia="Times New Roman" w:hAnsi="Times New Roman"/>
          <w:sz w:val="18"/>
          <w:szCs w:val="18"/>
          <w:color w:val="auto"/>
        </w:rPr>
        <w:t>invest any cash in excess of our immediate requirements primarily with a view to liquidity and capital preservation. As of March 31, 2024, our funds were held in cash and money market funds.</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February 6, 2024, we entered into the Purchase Agreement, pursuant to which we issued and sold, in a registered direct offering: (i) an aggregate of 11,111,111 shares of our common stock; and (ii) 11,111,111 Warrants. The combined purchase price of each share and accompanying Warrant was $1.35. The exercise price for the Warrants is $1.62 per share. The Warrants will be exercisable from August 9, 2024 and will expire on August 9, 2029. The net proceeds to us from the Registered Direct Offering were $13.9 million.</w:t>
      </w:r>
    </w:p>
    <w:p>
      <w:pPr>
        <w:spacing w:after="0" w:line="72" w:lineRule="exact"/>
        <w:rPr>
          <w:sz w:val="20"/>
          <w:szCs w:val="20"/>
          <w:color w:val="auto"/>
        </w:rPr>
      </w:pPr>
    </w:p>
    <w:p>
      <w:pPr>
        <w:ind w:right="140" w:firstLine="509"/>
        <w:spacing w:after="0" w:line="268" w:lineRule="auto"/>
        <w:rPr>
          <w:sz w:val="20"/>
          <w:szCs w:val="20"/>
          <w:color w:val="auto"/>
        </w:rPr>
      </w:pPr>
      <w:r>
        <w:rPr>
          <w:rFonts w:ascii="Times New Roman" w:cs="Times New Roman" w:eastAsia="Times New Roman" w:hAnsi="Times New Roman"/>
          <w:sz w:val="17"/>
          <w:szCs w:val="17"/>
          <w:color w:val="auto"/>
        </w:rPr>
        <w:t>On January 31, 2024, or the Amendment Effective Date, we entered into a fourth amendment to the license agreement, or the Emory License Agreement, with Emory University and Georgia Tech Research Corporation, or, collectively, the Licensor, pursuant to which the parties agreed to reduce the Sublicense Percentage (as defined in the Emory License Agreement) from a low double digit percentage to a high single digit percentage that we will pay the Licensor applicable to any fees or payments paid to us by any Sublicensee (as defined in the Emory License Agreement) of the Licensed Patents and/or Licensed Technology (each as defined in the Emory License Agreement), excluding (i) amounts paid to us by a Sublicensee to reimburse us for certain research and development costs pursuant to a written agreement between us and such Sublicensee, (ii) the value of intellectual property transferred or granted to us if necessary or helpful to the development or commercialization of Licensed Products (as defined in the Emory License Agreement) and</w:t>
      </w:r>
    </w:p>
    <w:p>
      <w:pPr>
        <w:spacing w:after="0" w:line="2" w:lineRule="exact"/>
        <w:rPr>
          <w:sz w:val="20"/>
          <w:szCs w:val="20"/>
          <w:color w:val="auto"/>
        </w:rPr>
      </w:pPr>
    </w:p>
    <w:p>
      <w:pPr>
        <w:ind w:right="40" w:firstLine="8"/>
        <w:spacing w:after="0" w:line="252"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for shares of our stock. The payment to Licensor of any such Sublicense Percentage is due within 30 days of receipt by us of a qualifying payment from a Sublicensee, provided however, with respect to any qualifying payments received by us from a Sublicensee prior to January 1, 2025, the payment to Licensor of any such Sublicensee Percentage is due to Licensor by March 31, 2025. The parties also agreed to a revised annual license maintenance fee due each year, or the Maintenance Fee, starting in 2023 through 2028, as follows: $0.3 million for 2023 through 2025, $0.4 million for 2026, $400,000 for 2027 and $0.5 million for 2028. We paid the Maintenance Fee for 2023 in February 2024. The remaining annual Maintenance Fee payments are due on October 1st of each year.</w:t>
      </w:r>
    </w:p>
    <w:p>
      <w:pPr>
        <w:spacing w:after="0" w:line="8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December 22, 2023, we, through our wholly owned subsidiary Royalty Sub, entered into a letter agreement, or the Letter Agreement, with HCR and HCR Clearside SPV, LLC (as assignee of HCR Collateral Management, LLC), or the Agent, amending that certain Purchase and Sale Agreement, dated as of August 8, 2022, by and among Royalty Sub, HCR and Agent. Pursuant to the terms of the Letter Agreement, Royalty Sub and Agent mutually agreed that Royalty Sub waived any and all rights to the $12.5 million milestone payment which was deposited in an escrow account, or the First Milestone Payment, in connection with the closing of the transactions contemplated by the Purchase and Sale Agreement and agreed to the release of the First Milestone Payment to Agent.</w:t>
      </w:r>
    </w:p>
    <w:p>
      <w:pPr>
        <w:spacing w:after="0" w:line="7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November 2023, we entered into a license agreement, or the BioCryst License Agreement, with BioCryst Pharmaceuticals, Inc., or BioCryst, pursuant to which we granted BioCryst an exclusive, worldwide and sublicensable license to our SCS Microinjector for the delivery of BioCryst’s proprietary plasma kallikrein inhibitor known as avoralstat for the treatment and prevention of diabetic macular edema, or DME. We received an upfront license fee payment of $5.0 million in connection with signing of the BioCryst License Agreement. In addition, we are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us tiered mid-single digit royalties on annual global net product sales, with the highest royalty rate applied to sales over $1.5 billion, subject to reductions in specified circumstances. Our rights to these royalties and milestone payments have been sold pursuant to the terms and conditions of the Purchase and Sale Agreement described in Note 5 to our consolidated financial statements included in this Quarterly Report on Form 10-Q.</w:t>
      </w:r>
    </w:p>
    <w:p>
      <w:pPr>
        <w:spacing w:after="0" w:line="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May 2023, we terminated our at-the-market sales agreement with Cowen and Company, LLC (the "ATM Agreement"). During the three months ended March 31, 2023, prior to the termination of the ATM Agreement, we sold 214,128 shares of our common stock for net proceeds of $0.3 million under the ATM Agreement.</w:t>
      </w:r>
    </w:p>
    <w:p>
      <w:pPr>
        <w:spacing w:after="0" w:line="75" w:lineRule="exact"/>
        <w:rPr>
          <w:sz w:val="20"/>
          <w:szCs w:val="20"/>
          <w:color w:val="auto"/>
        </w:rPr>
      </w:pPr>
    </w:p>
    <w:p>
      <w:pPr>
        <w:ind w:firstLine="562"/>
        <w:spacing w:after="0" w:line="237" w:lineRule="auto"/>
        <w:rPr>
          <w:sz w:val="20"/>
          <w:szCs w:val="20"/>
          <w:color w:val="auto"/>
        </w:rPr>
      </w:pPr>
      <w:r>
        <w:rPr>
          <w:rFonts w:ascii="Times New Roman" w:cs="Times New Roman" w:eastAsia="Times New Roman" w:hAnsi="Times New Roman"/>
          <w:sz w:val="18"/>
          <w:szCs w:val="18"/>
          <w:color w:val="auto"/>
        </w:rPr>
        <w:t>In May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or Cantor, under which we may offer and sell, from time to time at our sole discretion, shares of our common stock, having an aggregate offering price of up to $50.0 million through Cantor as our sales agent. During the three months ended March 31, 2024, we sold 339,912 shares of our common stock for net proceeds of $0.5 million under the Sales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right="100" w:firstLine="509"/>
        <w:spacing w:after="0" w:line="257"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research and development costs to build our product candidate pipeline, legal and other regulatory expenses and general overhead costs. In addition, we have certain contractual obligations for future payments. Refer to Note 5 to our consolidated financial statements included in this Quarterly Report on Form 10-Q.</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Sales Agreement with Cantor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disruptions to, and volatility in, the credit and financial markets in the United States and worldwide and related macroeconomic changes, such as rising inflation.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79" w:lineRule="exact"/>
        <w:rPr>
          <w:sz w:val="20"/>
          <w:szCs w:val="20"/>
          <w:color w:val="auto"/>
        </w:rPr>
      </w:pPr>
    </w:p>
    <w:p>
      <w:pPr>
        <w:jc w:val="both"/>
        <w:ind w:right="620" w:firstLine="509"/>
        <w:spacing w:after="0" w:line="266" w:lineRule="auto"/>
        <w:rPr>
          <w:sz w:val="20"/>
          <w:szCs w:val="20"/>
          <w:color w:val="auto"/>
        </w:rPr>
      </w:pPr>
      <w:r>
        <w:rPr>
          <w:rFonts w:ascii="Times New Roman" w:cs="Times New Roman" w:eastAsia="Times New Roman" w:hAnsi="Times New Roman"/>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Based on our current plans and forecasted expenses, we expect that our cash and cash equivalents as of the filing date, May 10, 2024 will enable us to fund our planned operating expenses and capital expenditure requirements into the third quarter of 2025. We have based this estimate on assumptions that may prove to be wrong, and we could exhaust our capital resources sooner than we expect. We will require additional capital in order to complete the clinical development of CLS-AX.</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net cash flows (used in) provided by our operating, investing and financing activities (in thousands):</w:t>
      </w:r>
    </w:p>
    <w:p>
      <w:pPr>
        <w:spacing w:after="0" w:line="13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(7,851 )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(7,216 )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0"/>
                <w:szCs w:val="20"/>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2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28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(6,999 )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2023, our operating activities used net cash of $7.9 million and $7.2 million, respectively. The net cash used in operating activities for the three months ended March 31, 2024 was due to ongoing research and development expenses to develop our pipeline and ongoing costs for ODYSSEY, the Phase 2b clinical trial for CLS-AX, as well as the supporting general and administrative costs. The net cash used in operating activities for the three months ended March 31, 2023 was due to ongoing research and development expenses to develop our pipeline and startup costs for ODYSSEY, as well as the supporting general and administrative costs.</w:t>
      </w:r>
    </w:p>
    <w:p>
      <w:pPr>
        <w:spacing w:after="0" w:line="75"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and 2023, our investing activities used net cash of $57,000 and $0.1 million, respectively, and consisted of the acquisition of property and equipment.</w:t>
      </w:r>
    </w:p>
    <w:p>
      <w:pPr>
        <w:spacing w:after="0" w:line="5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2023 our net cash provided by financing activities was $14.3 million and $0.3 million, respectively. The cash provided by financing activities for the three months ended March 31, 2024 consisted primarily of $13.9 million of net proceeds from the sale of shares of our common stock under a registered direct offering and $0.5 million of net proceeds from the sale of shares of our common stock under the Sales Agreement. The cash provided by financing activities for the three months ended March 31, 2023 consisted primarily of $0.3 million of proceeds received from the sale of our common stock under the ATM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8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March 31, 2024 that has materially affected, or is reasonably likely to materially affect, our internal control over financial reporting. We have not experienced any material impact to our internal control over financial reporting.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below and in “Part I, Item 1A. Risk Factors” of our Annual Report on Form 10-K for the fiscal year ended December 31, 2023, filed with the Securities and Exchange Commission on March 12, 2024. There have been no material changes to the risk factors described in that report.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120" w:firstLine="509"/>
        <w:spacing w:after="0" w:line="312" w:lineRule="auto"/>
        <w:rPr>
          <w:sz w:val="20"/>
          <w:szCs w:val="20"/>
          <w:color w:val="auto"/>
        </w:rPr>
      </w:pPr>
      <w:r>
        <w:rPr>
          <w:rFonts w:ascii="Times New Roman" w:cs="Times New Roman" w:eastAsia="Times New Roman" w:hAnsi="Times New Roman"/>
          <w:sz w:val="17"/>
          <w:szCs w:val="17"/>
          <w:color w:val="auto"/>
        </w:rPr>
        <w:t>During the quarter ended March 31, 2024, none of our directors or officers (as defined in Rule 16a-1(f) under the Exchange Act) adopted, modified or terminated a “Rule 10b5-1 trading arrangement” or a “non-Rule 10b5-1 trading arrangement” (as each term is defined in Item 408 of Regulation S-K).</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338"/>
        </w:trPr>
        <w:tc>
          <w:tcPr>
            <w:tcW w:w="1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9940" w:type="dxa"/>
            <w:vAlign w:val="bottom"/>
            <w:tcBorders>
              <w:top w:val="single" w:sz="8" w:color="auto"/>
              <w:bottom w:val="single" w:sz="8" w:color="0000FF"/>
            </w:tcBorders>
            <w:gridSpan w:val="19"/>
          </w:tcPr>
          <w:p>
            <w:pPr>
              <w:ind w:left="2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Certificate of Incorporation (incorporated herein by reference to Exhibit 3.1 to the Registrant’s Current Report on</w:t>
              </w:r>
            </w:hyperlink>
          </w:p>
        </w:tc>
        <w:tc>
          <w:tcPr>
            <w:tcW w:w="60" w:type="dxa"/>
            <w:vAlign w:val="bottom"/>
            <w:tcBorders>
              <w:top w:val="single" w:sz="8" w:color="auto"/>
            </w:tcBorders>
            <w:gridSpan w:val="3"/>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Form 8-K (File No. 001-37783) filed with the SEC on June 7, 2016).</w:t>
              </w:r>
            </w:hyperlink>
          </w:p>
        </w:tc>
        <w:tc>
          <w:tcPr>
            <w:tcW w:w="20" w:type="dxa"/>
            <w:vAlign w:val="bottom"/>
            <w:tcBorders>
              <w:bottom w:val="single" w:sz="8" w:color="0000EE"/>
            </w:tcBorders>
          </w:tcPr>
          <w:p>
            <w:pPr>
              <w:spacing w:after="0"/>
              <w:rPr>
                <w:sz w:val="17"/>
                <w:szCs w:val="17"/>
                <w:color w:val="auto"/>
              </w:rPr>
            </w:pPr>
          </w:p>
        </w:tc>
        <w:tc>
          <w:tcPr>
            <w:tcW w:w="5000" w:type="dxa"/>
            <w:vAlign w:val="bottom"/>
            <w:gridSpan w:val="13"/>
          </w:tcPr>
          <w:p>
            <w:pPr>
              <w:spacing w:after="0"/>
              <w:rPr>
                <w:sz w:val="17"/>
                <w:szCs w:val="17"/>
                <w:color w:val="auto"/>
              </w:rPr>
            </w:pPr>
          </w:p>
        </w:tc>
      </w:tr>
      <w:tr>
        <w:trPr>
          <w:trHeight w:val="37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800" w:type="dxa"/>
            <w:vAlign w:val="bottom"/>
            <w:tcBorders>
              <w:bottom w:val="single" w:sz="8" w:color="0000FF"/>
            </w:tcBorders>
            <w:gridSpan w:val="17"/>
          </w:tcPr>
          <w:p>
            <w:pPr>
              <w:ind w:left="20"/>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Certificate of Amendment to Amended and Restated Certificate of Incorporation (incorporated herein by reference to Exhibit 3.1 to the</w:t>
              </w:r>
            </w:hyperlink>
          </w:p>
        </w:tc>
        <w:tc>
          <w:tcPr>
            <w:tcW w:w="20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2"/>
          </w:tcPr>
          <w:p>
            <w:pPr>
              <w:ind w:left="20"/>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Registrant's Current Report on Form 8-K (File No. 001-37783) filed with the SEC on June 23, 2022).</w:t>
              </w:r>
            </w:hyperlink>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996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Amended and Restated Bylaws (incorporated herein by reference to Exhibit 3.2 to the Registrant’s Current Report on Form 8-K (File No.</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Borders>
              <w:bottom w:val="single" w:sz="8" w:color="0000FF"/>
            </w:tcBorders>
            <w:gridSpan w:val="6"/>
          </w:tcPr>
          <w:p>
            <w:pPr>
              <w:ind w:left="20"/>
              <w:spacing w:after="0" w:line="19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001-37783) filed with the SEC on June 7, 2016).</w:t>
              </w:r>
            </w:hyperlink>
          </w:p>
        </w:tc>
        <w:tc>
          <w:tcPr>
            <w:tcW w:w="20" w:type="dxa"/>
            <w:vAlign w:val="bottom"/>
            <w:tcBorders>
              <w:bottom w:val="single" w:sz="8" w:color="0000EE"/>
            </w:tcBorders>
          </w:tcPr>
          <w:p>
            <w:pPr>
              <w:spacing w:after="0"/>
              <w:rPr>
                <w:sz w:val="17"/>
                <w:szCs w:val="17"/>
                <w:color w:val="auto"/>
              </w:rPr>
            </w:pPr>
          </w:p>
        </w:tc>
        <w:tc>
          <w:tcPr>
            <w:tcW w:w="6460" w:type="dxa"/>
            <w:vAlign w:val="bottom"/>
            <w:gridSpan w:val="15"/>
          </w:tcPr>
          <w:p>
            <w:pPr>
              <w:spacing w:after="0"/>
              <w:rPr>
                <w:sz w:val="17"/>
                <w:szCs w:val="17"/>
                <w:color w:val="auto"/>
              </w:rPr>
            </w:pPr>
          </w:p>
        </w:tc>
      </w:tr>
      <w:tr>
        <w:trPr>
          <w:trHeight w:val="37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9640" w:type="dxa"/>
            <w:vAlign w:val="bottom"/>
            <w:tcBorders>
              <w:bottom w:val="single" w:sz="8" w:color="0000FF"/>
            </w:tcBorders>
            <w:gridSpan w:val="16"/>
          </w:tcPr>
          <w:p>
            <w:pPr>
              <w:ind w:left="20"/>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Form of Warrant to Purchase Common Stock issued to investors in February 2024 in connection with Securities Purchase Agreement</w:t>
              </w:r>
            </w:hyperlink>
          </w:p>
        </w:tc>
        <w:tc>
          <w:tcPr>
            <w:tcW w:w="36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(incorporated herein by reference to Exhibit 4.1 to the Registrant’s Current Report on Form 8-K (File No. 001-37783), filed with the SEC</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0000FF"/>
            </w:tcBorders>
            <w:gridSpan w:val="3"/>
          </w:tcPr>
          <w:p>
            <w:pPr>
              <w:ind w:left="20"/>
              <w:spacing w:after="0" w:line="196"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on February 8, 2024).</w:t>
              </w:r>
            </w:hyperlink>
          </w:p>
        </w:tc>
        <w:tc>
          <w:tcPr>
            <w:tcW w:w="20" w:type="dxa"/>
            <w:vAlign w:val="bottom"/>
            <w:tcBorders>
              <w:bottom w:val="single" w:sz="8" w:color="0000EE"/>
            </w:tcBorders>
          </w:tcPr>
          <w:p>
            <w:pPr>
              <w:spacing w:after="0"/>
              <w:rPr>
                <w:sz w:val="17"/>
                <w:szCs w:val="17"/>
                <w:color w:val="auto"/>
              </w:rPr>
            </w:pPr>
          </w:p>
        </w:tc>
        <w:tc>
          <w:tcPr>
            <w:tcW w:w="8400" w:type="dxa"/>
            <w:vAlign w:val="bottom"/>
            <w:gridSpan w:val="18"/>
          </w:tcPr>
          <w:p>
            <w:pPr>
              <w:spacing w:after="0"/>
              <w:rPr>
                <w:sz w:val="17"/>
                <w:szCs w:val="17"/>
                <w:color w:val="auto"/>
              </w:rPr>
            </w:pPr>
          </w:p>
        </w:tc>
      </w:tr>
      <w:tr>
        <w:trPr>
          <w:trHeight w:val="371"/>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r>
              <w:rPr>
                <w:rFonts w:ascii="Wingdings" w:cs="Wingdings" w:eastAsia="Wingdings" w:hAnsi="Wingdings"/>
                <w:sz w:val="16"/>
                <w:szCs w:val="16"/>
                <w:b w:val="1"/>
                <w:bCs w:val="1"/>
                <w:color w:val="auto"/>
              </w:rPr>
              <w:t>w</w:t>
            </w:r>
            <w:r>
              <w:rPr>
                <w:rFonts w:ascii="Times New Roman" w:cs="Times New Roman" w:eastAsia="Times New Roman" w:hAnsi="Times New Roman"/>
                <w:sz w:val="18"/>
                <w:szCs w:val="18"/>
                <w:color w:val="auto"/>
              </w:rPr>
              <w:t>^</w:t>
            </w:r>
          </w:p>
        </w:tc>
        <w:tc>
          <w:tcPr>
            <w:tcW w:w="9960" w:type="dxa"/>
            <w:vAlign w:val="bottom"/>
            <w:tcBorders>
              <w:bottom w:val="single" w:sz="8" w:color="0000FF"/>
            </w:tcBorders>
            <w:gridSpan w:val="20"/>
          </w:tcPr>
          <w:p>
            <w:pPr>
              <w:ind w:left="2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Fourth Amendment to License Agreement, by and among the Registrant, Emory University and The Georgia Tech Research Corporation,</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2"/>
          </w:tcPr>
          <w:p>
            <w:pPr>
              <w:ind w:left="20"/>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dated January 31, 2024 (incorporated herein by reference to Exhibit 10.33 to the Registrant’s Annual Report on Form 10-K (File No. 001-</w:t>
              </w:r>
            </w:hyperlink>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FF"/>
            </w:tcBorders>
            <w:gridSpan w:val="19"/>
          </w:tcPr>
          <w:p>
            <w:pPr>
              <w:ind w:left="20"/>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37783)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 on March 12, 2024).</w:t>
              </w:r>
            </w:hyperlink>
          </w:p>
        </w:tc>
        <w:tc>
          <w:tcPr>
            <w:tcW w:w="60" w:type="dxa"/>
            <w:vAlign w:val="bottom"/>
            <w:gridSpan w:val="3"/>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740" w:type="dxa"/>
            <w:vAlign w:val="bottom"/>
            <w:tcBorders>
              <w:right w:val="single" w:sz="8" w:color="0000EE"/>
            </w:tcBorders>
            <w:gridSpan w:val="3"/>
            <w:shd w:val="clear" w:color="auto" w:fill="0000FF"/>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860" w:type="dxa"/>
            <w:vAlign w:val="bottom"/>
            <w:tcBorders>
              <w:bottom w:val="single" w:sz="8" w:color="0000FF"/>
            </w:tcBorders>
            <w:gridSpan w:val="18"/>
          </w:tcPr>
          <w:p>
            <w:pPr>
              <w:ind w:left="20"/>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First Amendment to Consulting Agreement, by and between Registrant and Thomas Ciulla, dated as of February 17, 2024 (incorporated</w:t>
              </w:r>
            </w:hyperlink>
          </w:p>
        </w:tc>
        <w:tc>
          <w:tcPr>
            <w:tcW w:w="140" w:type="dxa"/>
            <w:vAlign w:val="bottom"/>
            <w:gridSpan w:val="4"/>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gridSpan w:val="22"/>
          </w:tcPr>
          <w:p>
            <w:pPr>
              <w:ind w:left="20"/>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herein by reference to Exhibit 10.35 to the Registrant’s Annual Report on Form 10-K (File No. 001-37783), filed with the SEC on March</w:t>
              </w:r>
            </w:hyperlink>
          </w:p>
        </w:tc>
      </w:tr>
      <w:tr>
        <w:trPr>
          <w:trHeight w:val="196"/>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0000FF"/>
            </w:tcBorders>
            <w:gridSpan w:val="3"/>
          </w:tcPr>
          <w:p>
            <w:pPr>
              <w:ind w:left="20"/>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12, 2024).</w:t>
              </w:r>
            </w:hyperlink>
          </w:p>
        </w:tc>
        <w:tc>
          <w:tcPr>
            <w:tcW w:w="20" w:type="dxa"/>
            <w:vAlign w:val="bottom"/>
            <w:tcBorders>
              <w:top w:val="single" w:sz="8" w:color="0000FF"/>
            </w:tcBorders>
          </w:tcPr>
          <w:p>
            <w:pPr>
              <w:spacing w:after="0"/>
              <w:rPr>
                <w:sz w:val="17"/>
                <w:szCs w:val="17"/>
                <w:color w:val="auto"/>
              </w:rPr>
            </w:pPr>
          </w:p>
        </w:tc>
        <w:tc>
          <w:tcPr>
            <w:tcW w:w="18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5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r>
      <w:tr>
        <w:trPr>
          <w:trHeight w:val="37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510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Amended and Restated Non-Employee Director Compensation Policy.</w:t>
            </w:r>
          </w:p>
        </w:tc>
        <w:tc>
          <w:tcPr>
            <w:tcW w:w="20" w:type="dxa"/>
            <w:vAlign w:val="bottom"/>
            <w:tcBorders>
              <w:bottom w:val="single" w:sz="8" w:color="0000EE"/>
            </w:tcBorders>
          </w:tcPr>
          <w:p>
            <w:pPr>
              <w:spacing w:after="0"/>
              <w:rPr>
                <w:sz w:val="24"/>
                <w:szCs w:val="24"/>
                <w:color w:val="auto"/>
              </w:rPr>
            </w:pPr>
          </w:p>
        </w:tc>
        <w:tc>
          <w:tcPr>
            <w:tcW w:w="4880" w:type="dxa"/>
            <w:vAlign w:val="bottom"/>
            <w:gridSpan w:val="11"/>
          </w:tcPr>
          <w:p>
            <w:pPr>
              <w:spacing w:after="0"/>
              <w:rPr>
                <w:sz w:val="24"/>
                <w:szCs w:val="24"/>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650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under Section 302 of the Sarbanes-Oxley Act.</w:t>
            </w:r>
          </w:p>
        </w:tc>
        <w:tc>
          <w:tcPr>
            <w:tcW w:w="3500" w:type="dxa"/>
            <w:vAlign w:val="bottom"/>
            <w:gridSpan w:val="9"/>
          </w:tcPr>
          <w:p>
            <w:pPr>
              <w:spacing w:after="0"/>
              <w:rPr>
                <w:sz w:val="24"/>
                <w:szCs w:val="24"/>
                <w:color w:val="auto"/>
              </w:rPr>
            </w:pPr>
          </w:p>
        </w:tc>
      </w:tr>
      <w:tr>
        <w:trPr>
          <w:trHeight w:val="372"/>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0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under Section 302 of the Sarbanes-Oxley Act.</w:t>
            </w: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60" w:type="dxa"/>
            <w:vAlign w:val="bottom"/>
            <w:tcBorders>
              <w:right w:val="single" w:sz="8" w:color="0000EE"/>
            </w:tcBorders>
            <w:gridSpan w:val="12"/>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r>
      <w:tr>
        <w:trPr>
          <w:trHeight w:val="37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884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Certifications of Principal Executive Officer and Principal Financial Officer under Section 906 of the Sarbanes-Oxley Act.</w:t>
            </w:r>
          </w:p>
        </w:tc>
        <w:tc>
          <w:tcPr>
            <w:tcW w:w="1160" w:type="dxa"/>
            <w:vAlign w:val="bottom"/>
            <w:gridSpan w:val="7"/>
          </w:tcPr>
          <w:p>
            <w:pPr>
              <w:spacing w:after="0"/>
              <w:rPr>
                <w:sz w:val="24"/>
                <w:szCs w:val="24"/>
                <w:color w:val="auto"/>
              </w:rPr>
            </w:pPr>
          </w:p>
        </w:tc>
      </w:tr>
      <w:tr>
        <w:trPr>
          <w:trHeight w:val="41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2"/>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r>
        <w:trPr>
          <w:trHeight w:val="391"/>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0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48"/>
        </w:trPr>
        <w:tc>
          <w:tcPr>
            <w:tcW w:w="1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38" w:lineRule="exact"/>
        <w:rPr>
          <w:sz w:val="20"/>
          <w:szCs w:val="20"/>
          <w:color w:val="auto"/>
        </w:rPr>
      </w:pPr>
    </w:p>
    <w:p>
      <w:pPr>
        <w:ind w:left="600" w:hanging="464"/>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0" w:right="240" w:hanging="464"/>
        <w:spacing w:after="0" w:line="255" w:lineRule="auto"/>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 w:lineRule="exact"/>
        <w:rPr>
          <w:sz w:val="20"/>
          <w:szCs w:val="20"/>
          <w:color w:val="auto"/>
        </w:rPr>
      </w:pPr>
    </w:p>
    <w:p>
      <w:pPr>
        <w:ind w:left="600" w:hanging="464"/>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3" w:lineRule="exact"/>
        <w:rPr>
          <w:sz w:val="20"/>
          <w:szCs w:val="20"/>
          <w:color w:val="auto"/>
        </w:rPr>
      </w:pPr>
    </w:p>
    <w:p>
      <w:pPr>
        <w:ind w:left="600" w:right="280" w:hanging="464"/>
        <w:spacing w:after="0" w:line="254"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601(b)(10)(iv) of Regulation S-K promulgated by the Securities and Exchange Commission, certain portions of this exhibit (indicated by asterisks) have been omitted because they are not material and are the type that the Registrant treats as private or confidential. The Registrant hereby agrees to furnish supplementally to the Securities and Exchange Commission, upon its request, an unredacted copy of this exhibit.</w:t>
      </w:r>
    </w:p>
    <w:p>
      <w:pPr>
        <w:spacing w:after="0" w:line="1" w:lineRule="exact"/>
        <w:rPr>
          <w:sz w:val="20"/>
          <w:szCs w:val="20"/>
          <w:color w:val="auto"/>
        </w:rPr>
      </w:pPr>
    </w:p>
    <w:p>
      <w:pPr>
        <w:ind w:left="600" w:right="480" w:hanging="464"/>
        <w:spacing w:after="0" w:line="276" w:lineRule="auto"/>
        <w:tabs>
          <w:tab w:leader="none" w:pos="600" w:val="left"/>
        </w:tabs>
        <w:numPr>
          <w:ilvl w:val="0"/>
          <w:numId w:val="1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 The Registrant agrees to furnish a copy of all omitted exhibits and schedules to the SEC upon request.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Clearside Biomedical, Inc.</w:t>
      </w:r>
    </w:p>
    <w:p>
      <w:pPr>
        <w:sectPr>
          <w:pgSz w:w="11900" w:h="16838" w:orient="portrait"/>
          <w:cols w:equalWidth="0" w:num="1">
            <w:col w:w="10800"/>
          </w:cols>
          <w:pgMar w:left="320" w:top="981" w:right="779" w:bottom="1440" w:gutter="0" w:footer="0" w:header="0"/>
        </w:sectPr>
      </w:pP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27305</wp:posOffset>
            </wp:positionV>
            <wp:extent cx="25800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3">
            <w:col w:w="6060" w:space="720"/>
            <w:col w:w="880" w:space="720"/>
            <w:col w:w="2420"/>
          </w:cols>
          <w:pgMar w:left="320" w:top="981" w:right="779" w:bottom="1440" w:gutter="0" w:footer="0" w:header="0"/>
          <w:type w:val="continuous"/>
        </w:sectPr>
      </w:pPr>
    </w:p>
    <w:p>
      <w:pPr>
        <w:jc w:val="center"/>
        <w:ind w:left="716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23"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(On behalf of the Registrant and as</w:t>
      </w:r>
    </w:p>
    <w:p>
      <w:pPr>
        <w:spacing w:after="0" w:line="2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type w:val="continuous"/>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color w:val="auto"/>
        </w:rPr>
        <w:t>Exhibit 10.3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w:t>
      </w:r>
      <w:r>
        <w:rPr>
          <w:rFonts w:ascii="Times New Roman" w:cs="Times New Roman" w:eastAsia="Times New Roman" w:hAnsi="Times New Roman"/>
          <w:sz w:val="13"/>
          <w:szCs w:val="13"/>
          <w:b w:val="1"/>
          <w:bCs w:val="1"/>
          <w:color w:val="auto"/>
        </w:rPr>
        <w:t>learside</w:t>
      </w:r>
      <w:r>
        <w:rPr>
          <w:rFonts w:ascii="Times New Roman" w:cs="Times New Roman" w:eastAsia="Times New Roman" w:hAnsi="Times New Roman"/>
          <w:sz w:val="20"/>
          <w:szCs w:val="20"/>
          <w:b w:val="1"/>
          <w:bCs w:val="1"/>
          <w:color w:val="auto"/>
        </w:rPr>
        <w:t xml:space="preserve"> B</w:t>
      </w:r>
      <w:r>
        <w:rPr>
          <w:rFonts w:ascii="Times New Roman" w:cs="Times New Roman" w:eastAsia="Times New Roman" w:hAnsi="Times New Roman"/>
          <w:sz w:val="13"/>
          <w:szCs w:val="13"/>
          <w:b w:val="1"/>
          <w:bCs w:val="1"/>
          <w:color w:val="auto"/>
        </w:rPr>
        <w:t>iomedical</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on</w:t>
      </w: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mployee</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3"/>
          <w:szCs w:val="13"/>
          <w:b w:val="1"/>
          <w:bCs w:val="1"/>
          <w:color w:val="auto"/>
        </w:rPr>
        <w:t>irector</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ompensation</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olicy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Amended and Restated effective March 14, 2024</w:t>
      </w:r>
    </w:p>
    <w:p>
      <w:pPr>
        <w:spacing w:after="0" w:line="2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Each member of the Board of Directors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who is not also serving as an employee of Clearside Biomedical,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or any of its subsidiaries (each such member, an “</w:t>
      </w:r>
      <w:r>
        <w:rPr>
          <w:rFonts w:ascii="Times New Roman" w:cs="Times New Roman" w:eastAsia="Times New Roman" w:hAnsi="Times New Roman"/>
          <w:sz w:val="20"/>
          <w:szCs w:val="20"/>
          <w:b w:val="1"/>
          <w:bCs w:val="1"/>
          <w:i w:val="1"/>
          <w:iCs w:val="1"/>
          <w:color w:val="auto"/>
        </w:rPr>
        <w:t>Eligible Director</w:t>
      </w:r>
      <w:r>
        <w:rPr>
          <w:rFonts w:ascii="Times New Roman" w:cs="Times New Roman" w:eastAsia="Times New Roman" w:hAnsi="Times New Roman"/>
          <w:sz w:val="20"/>
          <w:szCs w:val="20"/>
          <w:color w:val="auto"/>
        </w:rPr>
        <w:t>”) will receive the compensation described in this Non-Employee Director Compensation Policy for his or her Board service. A Non-Employee Director may decline all or any portion of his or her compensation by giving notice to the Company prior to the date cash is to be paid or equity awards are to be granted, as the case may be. This policy may be amended at any time in the sole discretion of the Board or the Compensation Committee of the Board.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Cash Compensation</w:t>
      </w:r>
    </w:p>
    <w:p>
      <w:pPr>
        <w:spacing w:after="0" w:line="2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annual cash compensation amount set forth below is payable in equal quarterly installments, payable in arrears on the last day of each fiscal quarter in which the service occurred. If an Eligible Director joins the Board or a committee of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annual cash fees are vested upon payment.</w:t>
      </w:r>
    </w:p>
    <w:p>
      <w:pPr>
        <w:spacing w:after="0" w:line="198" w:lineRule="exact"/>
        <w:rPr>
          <w:sz w:val="20"/>
          <w:szCs w:val="20"/>
          <w:color w:val="auto"/>
        </w:rPr>
      </w:pPr>
    </w:p>
    <w:p>
      <w:pPr>
        <w:ind w:left="680" w:hanging="203"/>
        <w:spacing w:after="0"/>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Board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140" w:hanging="196"/>
        <w:spacing w:after="0"/>
        <w:tabs>
          <w:tab w:leader="none" w:pos="11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Eligible Directors: $40,000</w:t>
      </w:r>
    </w:p>
    <w:p>
      <w:pPr>
        <w:ind w:left="1140" w:hanging="195"/>
        <w:spacing w:after="0"/>
        <w:tabs>
          <w:tab w:leader="none" w:pos="11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Chairman of the Board Service Retainer (in addition to Eligible Director Service Retainer): $35,000</w:t>
      </w:r>
    </w:p>
    <w:p>
      <w:pPr>
        <w:spacing w:after="0" w:line="207" w:lineRule="exact"/>
        <w:rPr>
          <w:rFonts w:ascii="Times New Roman" w:cs="Times New Roman" w:eastAsia="Times New Roman" w:hAnsi="Times New Roman"/>
          <w:sz w:val="20"/>
          <w:szCs w:val="20"/>
          <w:color w:val="auto"/>
        </w:rPr>
      </w:pPr>
    </w:p>
    <w:p>
      <w:pPr>
        <w:ind w:left="680" w:hanging="203"/>
        <w:spacing w:after="0"/>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Member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140" w:hanging="196"/>
        <w:spacing w:after="0"/>
        <w:tabs>
          <w:tab w:leader="none" w:pos="11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Audit Committee: $10,000</w:t>
      </w:r>
    </w:p>
    <w:p>
      <w:pPr>
        <w:ind w:left="1140" w:hanging="196"/>
        <w:spacing w:after="0"/>
        <w:tabs>
          <w:tab w:leader="none" w:pos="11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Compensation Committee: $7,500</w:t>
      </w:r>
    </w:p>
    <w:p>
      <w:pPr>
        <w:ind w:left="1140" w:hanging="196"/>
        <w:spacing w:after="0"/>
        <w:tabs>
          <w:tab w:leader="none" w:pos="11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 of the Nominating and Corporate Governance Committee: $5,000</w:t>
      </w:r>
    </w:p>
    <w:p>
      <w:pPr>
        <w:spacing w:after="0" w:line="207" w:lineRule="exact"/>
        <w:rPr>
          <w:rFonts w:ascii="Times New Roman" w:cs="Times New Roman" w:eastAsia="Times New Roman" w:hAnsi="Times New Roman"/>
          <w:sz w:val="20"/>
          <w:szCs w:val="20"/>
          <w:color w:val="auto"/>
        </w:rPr>
      </w:pPr>
    </w:p>
    <w:p>
      <w:pPr>
        <w:ind w:left="680" w:hanging="203"/>
        <w:spacing w:after="0"/>
        <w:tabs>
          <w:tab w:leader="none" w:pos="6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Committee Chair Service Retainer (in addition to Committee Member Service Retainer)</w:t>
      </w:r>
      <w:r>
        <w:rPr>
          <w:rFonts w:ascii="Times New Roman" w:cs="Times New Roman" w:eastAsia="Times New Roman" w:hAnsi="Times New Roman"/>
          <w:sz w:val="20"/>
          <w:szCs w:val="20"/>
          <w:color w:val="auto"/>
        </w:rPr>
        <w:t>:</w:t>
      </w:r>
    </w:p>
    <w:p>
      <w:pPr>
        <w:spacing w:after="0" w:line="21" w:lineRule="exact"/>
        <w:rPr>
          <w:rFonts w:ascii="Times New Roman" w:cs="Times New Roman" w:eastAsia="Times New Roman" w:hAnsi="Times New Roman"/>
          <w:sz w:val="20"/>
          <w:szCs w:val="20"/>
          <w:color w:val="auto"/>
        </w:rPr>
      </w:pPr>
    </w:p>
    <w:p>
      <w:pPr>
        <w:ind w:left="1140" w:hanging="196"/>
        <w:spacing w:after="0"/>
        <w:tabs>
          <w:tab w:leader="none" w:pos="11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Chairman of the Audit Committee: $10,000</w:t>
      </w:r>
    </w:p>
    <w:p>
      <w:pPr>
        <w:ind w:left="1140" w:hanging="196"/>
        <w:spacing w:after="0"/>
        <w:tabs>
          <w:tab w:leader="none" w:pos="11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Chairman of the Compensation Committee: $7,500</w:t>
      </w:r>
    </w:p>
    <w:p>
      <w:pPr>
        <w:ind w:left="1140" w:hanging="196"/>
        <w:spacing w:after="0"/>
        <w:tabs>
          <w:tab w:leader="none" w:pos="114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Chairman of the Nominating and Corporate Governance Committee: $5,000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Compensation</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equity compensation set forth below will be granted under the Company’s 2016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193" w:lineRule="exact"/>
        <w:rPr>
          <w:sz w:val="20"/>
          <w:szCs w:val="20"/>
          <w:color w:val="auto"/>
        </w:rPr>
      </w:pPr>
    </w:p>
    <w:p>
      <w:pPr>
        <w:jc w:val="both"/>
        <w:ind w:firstLine="8"/>
        <w:spacing w:after="0" w:line="249" w:lineRule="auto"/>
        <w:tabs>
          <w:tab w:leader="none" w:pos="21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Initial Grant</w:t>
      </w:r>
      <w:r>
        <w:rPr>
          <w:rFonts w:ascii="Times New Roman" w:cs="Times New Roman" w:eastAsia="Times New Roman" w:hAnsi="Times New Roman"/>
          <w:sz w:val="20"/>
          <w:szCs w:val="20"/>
          <w:color w:val="auto"/>
        </w:rPr>
        <w:t>: For each Eligible Director who is first elected or appointed to the Board following the date hereof,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for 67,500 shares of common stock. The shares subject to each such stock option will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ind w:right="20"/>
        <w:spacing w:after="0" w:line="269" w:lineRule="auto"/>
        <w:rPr>
          <w:sz w:val="20"/>
          <w:szCs w:val="20"/>
          <w:color w:val="auto"/>
        </w:rPr>
      </w:pPr>
      <w:r>
        <w:rPr>
          <w:rFonts w:ascii="Times New Roman" w:cs="Times New Roman" w:eastAsia="Times New Roman" w:hAnsi="Times New Roman"/>
          <w:sz w:val="20"/>
          <w:szCs w:val="20"/>
          <w:color w:val="auto"/>
        </w:rPr>
        <w:t>in 36 equal monthly installments on the last day of each month, subject to the Eligible Director’s Continuous Service (as defined in the Plan) through such vesting date.</w:t>
      </w:r>
    </w:p>
    <w:p>
      <w:pPr>
        <w:spacing w:after="0" w:line="173" w:lineRule="exact"/>
        <w:rPr>
          <w:sz w:val="20"/>
          <w:szCs w:val="20"/>
          <w:color w:val="auto"/>
        </w:rPr>
      </w:pPr>
    </w:p>
    <w:p>
      <w:pPr>
        <w:jc w:val="both"/>
        <w:ind w:firstLine="8"/>
        <w:spacing w:after="0" w:line="263" w:lineRule="auto"/>
        <w:tabs>
          <w:tab w:leader="none" w:pos="211"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Grant</w:t>
      </w:r>
      <w:r>
        <w:rPr>
          <w:rFonts w:ascii="Times New Roman" w:cs="Times New Roman" w:eastAsia="Times New Roman" w:hAnsi="Times New Roman"/>
          <w:sz w:val="19"/>
          <w:szCs w:val="19"/>
          <w:color w:val="auto"/>
        </w:rPr>
        <w:t>: On the date of each annual stockholders meeting of the Company held after the date hereof, each Eligible Director who continues to serve as a member of the Board following such stockholders meeting will be automatically, and without further action by the Board or Compensation Committee of the Board, granted a stock option for 45,000 shares of common stock. The shares subject to each such stock option will vest in full on the earlier of (a) the date immediately prior to the next following annual stockholder meeting and (b) the date that is 12 months after the grant date, subject to the Eligible Director’s Continuous Service (as defined in the Plan) through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1093470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480" w:right="260" w:hanging="472"/>
        <w:spacing w:after="0" w:line="282"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George Lasezkay, Pharm. D., J.D.</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Clearside Biomedical, Inc. (the “registrant”);</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10, 2024</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22860</wp:posOffset>
            </wp:positionV>
            <wp:extent cx="28460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Charles A. Deignan</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firstLine="509"/>
        <w:spacing w:after="0" w:line="289"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50" w:lineRule="exact"/>
        <w:rPr>
          <w:sz w:val="20"/>
          <w:szCs w:val="20"/>
          <w:color w:val="auto"/>
        </w:rPr>
      </w:pPr>
    </w:p>
    <w:p>
      <w:pPr>
        <w:ind w:left="520" w:right="30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2024, to which this Certification is attached as Exhibit 32.1 (the “Periodic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right="4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57"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10th day of May,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George Lasezkay, Pharm. D., J.D.</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Charles. A. Deignan</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George Lasezkay, Pharm. D., J.D.</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A. Deignan</w:t>
            </w:r>
          </w:p>
        </w:tc>
      </w:tr>
      <w:tr>
        <w:trPr>
          <w:trHeight w:val="22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6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52" w:lineRule="exact"/>
        <w:rPr>
          <w:sz w:val="20"/>
          <w:szCs w:val="20"/>
          <w:color w:val="auto"/>
        </w:rPr>
      </w:pPr>
    </w:p>
    <w:p>
      <w:pPr>
        <w:ind w:left="520" w:right="100" w:hanging="512"/>
        <w:spacing w:after="0" w:line="266"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Roman"/>
      <w:start w:val="3"/>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w"/>
      <w:numFmt w:val="bullet"/>
      <w:start w:val="1"/>
    </w:lvl>
  </w:abstractNum>
  <w:abstractNum w:abstractNumId="12">
    <w:nsid w:val="6B68079A"/>
    <w:multiLevelType w:val="hybridMultilevel"/>
    <w:lvl w:ilvl="0">
      <w:lvlJc w:val="left"/>
      <w:lvlText w:val="%1."/>
      <w:numFmt w:val="decimal"/>
      <w:start w:val="1"/>
    </w:lvl>
    <w:lvl w:ilvl="1">
      <w:lvlJc w:val="left"/>
      <w:lvlText w:val="%2."/>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41" Type="http://schemas.openxmlformats.org/officeDocument/2006/relationships/hyperlink" Target="https://www.sec.gov/Archives/edgar/data/1539029/000119312516615374/d208521dex31.htm" TargetMode="External"/><Relationship Id="rId142" Type="http://schemas.openxmlformats.org/officeDocument/2006/relationships/hyperlink" Target="https://www.sec.gov/Archives/edgar/data/1539029/000095017022012039/clsd-ex3_1.htm" TargetMode="External"/><Relationship Id="rId143" Type="http://schemas.openxmlformats.org/officeDocument/2006/relationships/hyperlink" Target="https://www.sec.gov/Archives/edgar/data/1539029/000119312516615374/d208521dex32.htm" TargetMode="External"/><Relationship Id="rId144" Type="http://schemas.openxmlformats.org/officeDocument/2006/relationships/hyperlink" Target="https://www.sec.gov/Archives/edgar/data/1539029/000119312524028487/d754271dex41.htm" TargetMode="External"/><Relationship Id="rId145" Type="http://schemas.openxmlformats.org/officeDocument/2006/relationships/hyperlink" Target="https://www.sec.gov/Archives/edgar/data/1539029/000095017024030126/clsd-ex10_33.htm" TargetMode="External"/><Relationship Id="rId146" Type="http://schemas.openxmlformats.org/officeDocument/2006/relationships/hyperlink" Target="https://www.sec.gov/Archives/edgar/data/1539029/000095017024030126/clsd-ex10_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2024-05-10T15:48:11Z</dcterms:created>
  <dcterms:modified xsi:type="dcterms:W3CDTF">2024-05-10T15:48:11Z</dcterms:modified>
</cp:coreProperties>
</file>