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619760</wp:posOffset>
            </wp:positionH>
            <wp:positionV relativeFrom="page">
              <wp:posOffset>158750</wp:posOffset>
            </wp:positionV>
            <wp:extent cx="631698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16980" cy="7620"/>
                    </a:xfrm>
                    <a:prstGeom prst="rect">
                      <a:avLst/>
                    </a:prstGeom>
                    <a:noFill/>
                  </pic:spPr>
                </pic:pic>
              </a:graphicData>
            </a:graphic>
          </wp:anchor>
        </w:drawing>
        <w:drawing>
          <wp:anchor simplePos="0" relativeHeight="251657728" behindDoc="1" locked="0" layoutInCell="0" allowOverlap="1">
            <wp:simplePos x="0" y="0"/>
            <wp:positionH relativeFrom="page">
              <wp:posOffset>619760</wp:posOffset>
            </wp:positionH>
            <wp:positionV relativeFrom="page">
              <wp:posOffset>197485</wp:posOffset>
            </wp:positionV>
            <wp:extent cx="631698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16980" cy="762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2503170</wp:posOffset>
            </wp:positionH>
            <wp:positionV relativeFrom="paragraph">
              <wp:posOffset>196850</wp:posOffset>
            </wp:positionV>
            <wp:extent cx="132397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3975" cy="762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2503170</wp:posOffset>
            </wp:positionH>
            <wp:positionV relativeFrom="paragraph">
              <wp:posOffset>225425</wp:posOffset>
            </wp:positionV>
            <wp:extent cx="132397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3975" cy="7620"/>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Pursuant to Section 13 or 15(d)</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1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December 19,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2503170</wp:posOffset>
            </wp:positionH>
            <wp:positionV relativeFrom="paragraph">
              <wp:posOffset>220980</wp:posOffset>
            </wp:positionV>
            <wp:extent cx="132397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3975" cy="762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9"/>
          <w:szCs w:val="39"/>
          <w:b w:val="1"/>
          <w:bCs w:val="1"/>
          <w:color w:val="auto"/>
        </w:rPr>
        <w:t>Clearside Biomedical, Inc.</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2503170</wp:posOffset>
            </wp:positionH>
            <wp:positionV relativeFrom="paragraph">
              <wp:posOffset>207645</wp:posOffset>
            </wp:positionV>
            <wp:extent cx="132397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23975" cy="7620"/>
                    </a:xfrm>
                    <a:prstGeom prst="rect">
                      <a:avLst/>
                    </a:prstGeom>
                    <a:noFill/>
                  </pic:spPr>
                </pic:pic>
              </a:graphicData>
            </a:graphic>
          </wp:anchor>
        </w:drawing>
      </w:r>
    </w:p>
    <w:p>
      <w:pPr>
        <w:sectPr>
          <w:pgSz w:w="11900" w:h="16838" w:orient="portrait"/>
          <w:cols w:equalWidth="0" w:num="1">
            <w:col w:w="9960"/>
          </w:cols>
          <w:pgMar w:left="960" w:top="353" w:right="979" w:bottom="1440" w:gutter="0" w:footer="0" w:header="0"/>
        </w:sectPr>
      </w:pPr>
    </w:p>
    <w:p>
      <w:pPr>
        <w:spacing w:after="0" w:line="200" w:lineRule="exact"/>
        <w:rPr>
          <w:sz w:val="24"/>
          <w:szCs w:val="24"/>
          <w:color w:val="auto"/>
        </w:rPr>
      </w:pPr>
    </w:p>
    <w:p>
      <w:pPr>
        <w:spacing w:after="0" w:line="376"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6"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6"/>
          <w:szCs w:val="16"/>
          <w:b w:val="1"/>
          <w:bCs w:val="1"/>
          <w:color w:val="auto"/>
        </w:rPr>
        <w:t>001-37783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45-2437375</w:t>
      </w:r>
    </w:p>
    <w:p>
      <w:pPr>
        <w:spacing w:after="0" w:line="8" w:lineRule="exact"/>
        <w:rPr>
          <w:sz w:val="24"/>
          <w:szCs w:val="24"/>
          <w:color w:val="auto"/>
        </w:rPr>
      </w:pPr>
    </w:p>
    <w:p>
      <w:pPr>
        <w:sectPr>
          <w:pgSz w:w="11900" w:h="16838" w:orient="portrait"/>
          <w:cols w:equalWidth="0" w:num="3">
            <w:col w:w="4020" w:space="720"/>
            <w:col w:w="2520" w:space="720"/>
            <w:col w:w="1980"/>
          </w:cols>
          <w:pgMar w:left="960" w:top="353" w:right="979" w:bottom="1440" w:gutter="0" w:footer="0" w:header="0"/>
          <w:type w:val="continuous"/>
        </w:sectPr>
      </w:pPr>
    </w:p>
    <w:p>
      <w:pPr>
        <w:spacing w:after="0" w:line="12"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2"/>
          <w:szCs w:val="12"/>
          <w:b w:val="1"/>
          <w:bCs w:val="1"/>
          <w:color w:val="auto"/>
        </w:rPr>
        <w:t>(State or Other Jurisdiction</w:t>
      </w:r>
    </w:p>
    <w:p>
      <w:pPr>
        <w:jc w:val="center"/>
        <w:ind w:right="620"/>
        <w:spacing w:after="0"/>
        <w:rPr>
          <w:sz w:val="20"/>
          <w:szCs w:val="20"/>
          <w:color w:val="auto"/>
        </w:rPr>
      </w:pPr>
      <w:r>
        <w:rPr>
          <w:rFonts w:ascii="Times New Roman" w:cs="Times New Roman" w:eastAsia="Times New Roman" w:hAnsi="Times New Roman"/>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(Commission</w:t>
      </w:r>
    </w:p>
    <w:p>
      <w:pPr>
        <w:spacing w:after="0"/>
        <w:rPr>
          <w:sz w:val="20"/>
          <w:szCs w:val="20"/>
          <w:color w:val="auto"/>
        </w:rPr>
      </w:pPr>
      <w:r>
        <w:rPr>
          <w:rFonts w:ascii="Times New Roman" w:cs="Times New Roman" w:eastAsia="Times New Roman" w:hAnsi="Times New Roman"/>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1080"/>
        <w:spacing w:after="0"/>
        <w:rPr>
          <w:sz w:val="20"/>
          <w:szCs w:val="20"/>
          <w:color w:val="auto"/>
        </w:rPr>
      </w:pPr>
      <w:r>
        <w:rPr>
          <w:rFonts w:ascii="Times New Roman" w:cs="Times New Roman" w:eastAsia="Times New Roman" w:hAnsi="Times New Roman"/>
          <w:sz w:val="13"/>
          <w:szCs w:val="13"/>
          <w:b w:val="1"/>
          <w:bCs w:val="1"/>
          <w:color w:val="auto"/>
        </w:rPr>
        <w:t>(IRS Employer</w:t>
      </w:r>
    </w:p>
    <w:p>
      <w:pPr>
        <w:jc w:val="center"/>
        <w:ind w:right="1080"/>
        <w:spacing w:after="0"/>
        <w:rPr>
          <w:sz w:val="20"/>
          <w:szCs w:val="20"/>
          <w:color w:val="auto"/>
        </w:rPr>
      </w:pPr>
      <w:r>
        <w:rPr>
          <w:rFonts w:ascii="Times New Roman" w:cs="Times New Roman" w:eastAsia="Times New Roman" w:hAnsi="Times New Roman"/>
          <w:sz w:val="13"/>
          <w:szCs w:val="13"/>
          <w:b w:val="1"/>
          <w:bCs w:val="1"/>
          <w:color w:val="auto"/>
        </w:rPr>
        <w:t>Identification No.)</w:t>
      </w:r>
    </w:p>
    <w:p>
      <w:pPr>
        <w:spacing w:after="0" w:line="200" w:lineRule="exact"/>
        <w:rPr>
          <w:sz w:val="24"/>
          <w:szCs w:val="24"/>
          <w:color w:val="auto"/>
        </w:rPr>
      </w:pPr>
    </w:p>
    <w:p>
      <w:pPr>
        <w:sectPr>
          <w:pgSz w:w="11900" w:h="16838" w:orient="portrait"/>
          <w:cols w:equalWidth="0" w:num="3">
            <w:col w:w="4000" w:space="720"/>
            <w:col w:w="2420" w:space="720"/>
            <w:col w:w="2100"/>
          </w:cols>
          <w:pgMar w:left="960" w:top="353" w:right="979" w:bottom="1440" w:gutter="0" w:footer="0" w:header="0"/>
          <w:type w:val="continuous"/>
        </w:sectPr>
      </w:pPr>
    </w:p>
    <w:p>
      <w:pPr>
        <w:spacing w:after="0" w:line="4"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6"/>
          <w:szCs w:val="16"/>
          <w:b w:val="1"/>
          <w:bCs w:val="1"/>
          <w:color w:val="auto"/>
        </w:rPr>
        <w:t>900 North Point Parkway</w:t>
      </w:r>
    </w:p>
    <w:p>
      <w:pPr>
        <w:spacing w:after="0" w:line="29"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6"/>
          <w:szCs w:val="16"/>
          <w:b w:val="1"/>
          <w:bCs w:val="1"/>
          <w:color w:val="auto"/>
        </w:rPr>
        <w:t>Suite 200</w:t>
      </w:r>
    </w:p>
    <w:p>
      <w:pPr>
        <w:spacing w:after="0" w:line="11"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6"/>
          <w:szCs w:val="16"/>
          <w:b w:val="1"/>
          <w:bCs w:val="1"/>
          <w:color w:val="auto"/>
        </w:rPr>
        <w:t>Alpharetta, Georgia</w:t>
      </w:r>
    </w:p>
    <w:p>
      <w:pPr>
        <w:spacing w:after="0" w:line="20" w:lineRule="exact"/>
        <w:rPr>
          <w:sz w:val="24"/>
          <w:szCs w:val="24"/>
          <w:color w:val="auto"/>
        </w:rPr>
      </w:pPr>
      <w:r>
        <w:rPr>
          <w:sz w:val="24"/>
          <w:szCs w:val="24"/>
          <w:color w:val="auto"/>
        </w:rPr>
        <w:br w:type="column"/>
      </w:r>
    </w:p>
    <w:p>
      <w:pPr>
        <w:spacing w:after="0" w:line="38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30005</w:t>
      </w:r>
    </w:p>
    <w:p>
      <w:pPr>
        <w:spacing w:after="0" w:line="28" w:lineRule="exact"/>
        <w:rPr>
          <w:sz w:val="24"/>
          <w:szCs w:val="24"/>
          <w:color w:val="auto"/>
        </w:rPr>
      </w:pPr>
    </w:p>
    <w:p>
      <w:pPr>
        <w:sectPr>
          <w:pgSz w:w="11900" w:h="16838" w:orient="portrait"/>
          <w:cols w:equalWidth="0" w:num="2">
            <w:col w:w="6620" w:space="720"/>
            <w:col w:w="2620"/>
          </w:cols>
          <w:pgMar w:left="960" w:top="353" w:right="979" w:bottom="1440" w:gutter="0" w:footer="0" w:header="0"/>
          <w:type w:val="continuous"/>
        </w:sectPr>
      </w:pPr>
    </w:p>
    <w:p>
      <w:pPr>
        <w:ind w:left="142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(Zip Code)</w:t>
      </w:r>
    </w:p>
    <w:p>
      <w:pPr>
        <w:spacing w:after="0" w:line="173" w:lineRule="exact"/>
        <w:rPr>
          <w:sz w:val="24"/>
          <w:szCs w:val="24"/>
          <w:color w:val="auto"/>
        </w:rPr>
      </w:pPr>
    </w:p>
    <w:p>
      <w:pPr>
        <w:sectPr>
          <w:pgSz w:w="11900" w:h="16838" w:orient="portrait"/>
          <w:cols w:equalWidth="0" w:num="2">
            <w:col w:w="6520" w:space="720"/>
            <w:col w:w="2720"/>
          </w:cols>
          <w:pgMar w:left="960" w:top="353" w:right="97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(678) 270-3631</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2503170</wp:posOffset>
            </wp:positionH>
            <wp:positionV relativeFrom="paragraph">
              <wp:posOffset>205740</wp:posOffset>
            </wp:positionV>
            <wp:extent cx="132397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23975" cy="7620"/>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ind w:right="420"/>
        <w:spacing w:after="0" w:line="289"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57" w:lineRule="exact"/>
        <w:rPr>
          <w:sz w:val="24"/>
          <w:szCs w:val="24"/>
          <w:color w:val="auto"/>
        </w:rPr>
      </w:pPr>
    </w:p>
    <w:p>
      <w:pPr>
        <w:ind w:left="400" w:hanging="390"/>
        <w:spacing w:after="0"/>
        <w:tabs>
          <w:tab w:leader="none" w:pos="4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20" w:lineRule="exact"/>
        <w:rPr>
          <w:rFonts w:ascii="MS PGothic" w:cs="MS PGothic" w:eastAsia="MS PGothic" w:hAnsi="MS PGothic"/>
          <w:sz w:val="16"/>
          <w:szCs w:val="16"/>
          <w:color w:val="auto"/>
        </w:rPr>
      </w:pPr>
    </w:p>
    <w:p>
      <w:pPr>
        <w:ind w:left="400" w:hanging="390"/>
        <w:spacing w:after="0"/>
        <w:tabs>
          <w:tab w:leader="none" w:pos="4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20" w:lineRule="exact"/>
        <w:rPr>
          <w:rFonts w:ascii="MS PGothic" w:cs="MS PGothic" w:eastAsia="MS PGothic" w:hAnsi="MS PGothic"/>
          <w:sz w:val="16"/>
          <w:szCs w:val="16"/>
          <w:color w:val="auto"/>
        </w:rPr>
      </w:pPr>
    </w:p>
    <w:p>
      <w:pPr>
        <w:ind w:left="400" w:hanging="390"/>
        <w:spacing w:after="0"/>
        <w:tabs>
          <w:tab w:leader="none" w:pos="4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20" w:lineRule="exact"/>
        <w:rPr>
          <w:rFonts w:ascii="MS PGothic" w:cs="MS PGothic" w:eastAsia="MS PGothic" w:hAnsi="MS PGothic"/>
          <w:sz w:val="16"/>
          <w:szCs w:val="16"/>
          <w:color w:val="auto"/>
        </w:rPr>
      </w:pPr>
    </w:p>
    <w:p>
      <w:pPr>
        <w:ind w:left="400" w:hanging="390"/>
        <w:spacing w:after="0"/>
        <w:tabs>
          <w:tab w:leader="none" w:pos="4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212"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34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32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Trading</w:t>
            </w:r>
          </w:p>
        </w:tc>
        <w:tc>
          <w:tcPr>
            <w:tcW w:w="3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Name of each exchange</w:t>
            </w:r>
          </w:p>
        </w:tc>
        <w:tc>
          <w:tcPr>
            <w:tcW w:w="0" w:type="dxa"/>
            <w:vAlign w:val="bottom"/>
          </w:tcPr>
          <w:p>
            <w:pPr>
              <w:spacing w:after="0"/>
              <w:rPr>
                <w:sz w:val="1"/>
                <w:szCs w:val="1"/>
                <w:color w:val="auto"/>
              </w:rPr>
            </w:pPr>
          </w:p>
        </w:tc>
      </w:tr>
      <w:tr>
        <w:trPr>
          <w:trHeight w:val="168"/>
        </w:trPr>
        <w:tc>
          <w:tcPr>
            <w:tcW w:w="3480" w:type="dxa"/>
            <w:vAlign w:val="bottom"/>
            <w:gridSpan w:val="2"/>
            <w:vMerge w:val="continue"/>
          </w:tcPr>
          <w:p>
            <w:pPr>
              <w:spacing w:after="0"/>
              <w:rPr>
                <w:sz w:val="14"/>
                <w:szCs w:val="14"/>
                <w:color w:val="auto"/>
              </w:rPr>
            </w:pPr>
          </w:p>
        </w:tc>
        <w:tc>
          <w:tcPr>
            <w:tcW w:w="32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Symbol(s)</w:t>
            </w:r>
          </w:p>
        </w:tc>
        <w:tc>
          <w:tcPr>
            <w:tcW w:w="3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on which registered</w:t>
            </w:r>
          </w:p>
        </w:tc>
        <w:tc>
          <w:tcPr>
            <w:tcW w:w="0" w:type="dxa"/>
            <w:vAlign w:val="bottom"/>
          </w:tcPr>
          <w:p>
            <w:pPr>
              <w:spacing w:after="0"/>
              <w:rPr>
                <w:sz w:val="1"/>
                <w:szCs w:val="1"/>
                <w:color w:val="auto"/>
              </w:rPr>
            </w:pPr>
          </w:p>
        </w:tc>
      </w:tr>
      <w:tr>
        <w:trPr>
          <w:trHeight w:val="203"/>
        </w:trPr>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$0.001 per share</w:t>
            </w:r>
          </w:p>
        </w:tc>
        <w:tc>
          <w:tcPr>
            <w:tcW w:w="100" w:type="dxa"/>
            <w:vAlign w:val="bottom"/>
          </w:tcPr>
          <w:p>
            <w:pPr>
              <w:spacing w:after="0"/>
              <w:rPr>
                <w:sz w:val="17"/>
                <w:szCs w:val="17"/>
                <w:color w:val="auto"/>
              </w:rPr>
            </w:pPr>
          </w:p>
        </w:tc>
        <w:tc>
          <w:tcPr>
            <w:tcW w:w="3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CLSD</w:t>
            </w:r>
          </w:p>
        </w:tc>
        <w:tc>
          <w:tcPr>
            <w:tcW w:w="100" w:type="dxa"/>
            <w:vAlign w:val="bottom"/>
          </w:tcPr>
          <w:p>
            <w:pPr>
              <w:spacing w:after="0"/>
              <w:rPr>
                <w:sz w:val="17"/>
                <w:szCs w:val="17"/>
                <w:color w:val="auto"/>
              </w:rPr>
            </w:pPr>
          </w:p>
        </w:tc>
        <w:tc>
          <w:tcPr>
            <w:tcW w:w="3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bl>
    <w:p>
      <w:pPr>
        <w:spacing w:after="0" w:line="163" w:lineRule="exact"/>
        <w:rPr>
          <w:sz w:val="24"/>
          <w:szCs w:val="24"/>
          <w:color w:val="auto"/>
        </w:rPr>
      </w:pPr>
    </w:p>
    <w:p>
      <w:pPr>
        <w:ind w:right="220"/>
        <w:spacing w:after="0" w:line="289"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06"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42" w:lineRule="exact"/>
        <w:rPr>
          <w:sz w:val="24"/>
          <w:szCs w:val="24"/>
          <w:color w:val="auto"/>
        </w:rPr>
      </w:pPr>
    </w:p>
    <w:p>
      <w:pPr>
        <w:ind w:right="26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116205</wp:posOffset>
            </wp:positionV>
            <wp:extent cx="631698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16980" cy="762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154940</wp:posOffset>
            </wp:positionV>
            <wp:extent cx="631698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16980" cy="7620"/>
                    </a:xfrm>
                    <a:prstGeom prst="rect">
                      <a:avLst/>
                    </a:prstGeom>
                    <a:noFill/>
                  </pic:spPr>
                </pic:pic>
              </a:graphicData>
            </a:graphic>
          </wp:anchor>
        </w:drawing>
      </w:r>
    </w:p>
    <w:p>
      <w:pPr>
        <w:sectPr>
          <w:pgSz w:w="11900" w:h="16838" w:orient="portrait"/>
          <w:cols w:equalWidth="0" w:num="1">
            <w:col w:w="9960"/>
          </w:cols>
          <w:pgMar w:left="960" w:top="353" w:right="9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186295"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295" cy="51435"/>
                    </a:xfrm>
                    <a:prstGeom prst="rect">
                      <a:avLst/>
                    </a:prstGeom>
                    <a:noFill/>
                  </pic:spPr>
                </pic:pic>
              </a:graphicData>
            </a:graphic>
          </wp:anchor>
        </w:drawing>
        <w:t>Item 1.03. Bankruptcy or Receivership.</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Voluntary Petition for Bankruptcy</w:t>
      </w:r>
    </w:p>
    <w:p>
      <w:pPr>
        <w:spacing w:after="0" w:line="107"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6"/>
          <w:szCs w:val="16"/>
          <w:color w:val="auto"/>
        </w:rPr>
        <w:t>As previously disclosed in Clearside Biomedical, Inc.’s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Current Report on Form 8-K filed with the Securities and Exchange Commission (the “</w:t>
      </w:r>
      <w:r>
        <w:rPr>
          <w:rFonts w:ascii="Times New Roman" w:cs="Times New Roman" w:eastAsia="Times New Roman" w:hAnsi="Times New Roman"/>
          <w:sz w:val="16"/>
          <w:szCs w:val="16"/>
          <w:b w:val="1"/>
          <w:bCs w:val="1"/>
          <w:i w:val="1"/>
          <w:iCs w:val="1"/>
          <w:color w:val="auto"/>
        </w:rPr>
        <w:t>SEC</w:t>
      </w:r>
      <w:r>
        <w:rPr>
          <w:rFonts w:ascii="Times New Roman" w:cs="Times New Roman" w:eastAsia="Times New Roman" w:hAnsi="Times New Roman"/>
          <w:sz w:val="16"/>
          <w:szCs w:val="16"/>
          <w:color w:val="auto"/>
        </w:rPr>
        <w:t>”) on November 25, 2025, the Company filed a voluntary petition (Case No. 25-12109) for relief under Chapter 11 of the Bankruptcy Code in the United States Court for the District of Delaware (such court, the “</w:t>
      </w:r>
      <w:r>
        <w:rPr>
          <w:rFonts w:ascii="Times New Roman" w:cs="Times New Roman" w:eastAsia="Times New Roman" w:hAnsi="Times New Roman"/>
          <w:sz w:val="16"/>
          <w:szCs w:val="16"/>
          <w:b w:val="1"/>
          <w:bCs w:val="1"/>
          <w:i w:val="1"/>
          <w:iCs w:val="1"/>
          <w:color w:val="auto"/>
        </w:rPr>
        <w:t>Court</w:t>
      </w:r>
      <w:r>
        <w:rPr>
          <w:rFonts w:ascii="Times New Roman" w:cs="Times New Roman" w:eastAsia="Times New Roman" w:hAnsi="Times New Roman"/>
          <w:sz w:val="16"/>
          <w:szCs w:val="16"/>
          <w:color w:val="auto"/>
        </w:rPr>
        <w:t>” and such case, the “</w:t>
      </w:r>
      <w:r>
        <w:rPr>
          <w:rFonts w:ascii="Times New Roman" w:cs="Times New Roman" w:eastAsia="Times New Roman" w:hAnsi="Times New Roman"/>
          <w:sz w:val="16"/>
          <w:szCs w:val="16"/>
          <w:b w:val="1"/>
          <w:bCs w:val="1"/>
          <w:i w:val="1"/>
          <w:iCs w:val="1"/>
          <w:color w:val="auto"/>
        </w:rPr>
        <w:t>Case</w:t>
      </w:r>
      <w:r>
        <w:rPr>
          <w:rFonts w:ascii="Times New Roman" w:cs="Times New Roman" w:eastAsia="Times New Roman" w:hAnsi="Times New Roman"/>
          <w:sz w:val="16"/>
          <w:szCs w:val="16"/>
          <w:color w:val="auto"/>
        </w:rPr>
        <w:t xml:space="preserve">”). Additional information about the Case, including access to Court documents, is available online at </w:t>
      </w:r>
      <w:r>
        <w:rPr>
          <w:rFonts w:ascii="Times New Roman" w:cs="Times New Roman" w:eastAsia="Times New Roman" w:hAnsi="Times New Roman"/>
          <w:sz w:val="16"/>
          <w:szCs w:val="16"/>
          <w:u w:val="single" w:color="auto"/>
          <w:color w:val="auto"/>
        </w:rPr>
        <w:t>https://dm.epiq11.com/ClearsideBiomedical</w:t>
      </w:r>
      <w:r>
        <w:rPr>
          <w:rFonts w:ascii="Times New Roman" w:cs="Times New Roman" w:eastAsia="Times New Roman" w:hAnsi="Times New Roman"/>
          <w:sz w:val="16"/>
          <w:szCs w:val="16"/>
          <w:color w:val="auto"/>
        </w:rPr>
        <w:t>, a website administered by Epiq Bankruptcy Solutions LLC, a third-party bankruptcy claims and noticing agent. The information on this website is not incorporated by reference into, and does not constitute part of, this Current Report on Form 8-K (this “</w:t>
      </w:r>
      <w:r>
        <w:rPr>
          <w:rFonts w:ascii="Times New Roman" w:cs="Times New Roman" w:eastAsia="Times New Roman" w:hAnsi="Times New Roman"/>
          <w:sz w:val="16"/>
          <w:szCs w:val="16"/>
          <w:b w:val="1"/>
          <w:bCs w:val="1"/>
          <w:i w:val="1"/>
          <w:iCs w:val="1"/>
          <w:color w:val="auto"/>
        </w:rPr>
        <w:t>Current Report</w:t>
      </w:r>
      <w:r>
        <w:rPr>
          <w:rFonts w:ascii="Times New Roman" w:cs="Times New Roman" w:eastAsia="Times New Roman" w:hAnsi="Times New Roman"/>
          <w:sz w:val="16"/>
          <w:szCs w:val="16"/>
          <w:color w:val="auto"/>
        </w:rPr>
        <w:t>”).</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Bidding Procedures</w:t>
      </w:r>
    </w:p>
    <w:p>
      <w:pPr>
        <w:spacing w:after="0" w:line="107" w:lineRule="exact"/>
        <w:rPr>
          <w:sz w:val="20"/>
          <w:szCs w:val="20"/>
          <w:color w:val="auto"/>
        </w:rPr>
      </w:pPr>
    </w:p>
    <w:p>
      <w:pPr>
        <w:jc w:val="both"/>
        <w:ind w:right="60"/>
        <w:spacing w:after="0" w:line="274" w:lineRule="auto"/>
        <w:rPr>
          <w:sz w:val="20"/>
          <w:szCs w:val="20"/>
          <w:color w:val="auto"/>
        </w:rPr>
      </w:pPr>
      <w:r>
        <w:rPr>
          <w:rFonts w:ascii="Times New Roman" w:cs="Times New Roman" w:eastAsia="Times New Roman" w:hAnsi="Times New Roman"/>
          <w:sz w:val="16"/>
          <w:szCs w:val="16"/>
          <w:color w:val="auto"/>
        </w:rPr>
        <w:t>On December 10, 2025, the Company filed a motion (the “</w:t>
      </w:r>
      <w:r>
        <w:rPr>
          <w:rFonts w:ascii="Times New Roman" w:cs="Times New Roman" w:eastAsia="Times New Roman" w:hAnsi="Times New Roman"/>
          <w:sz w:val="16"/>
          <w:szCs w:val="16"/>
          <w:b w:val="1"/>
          <w:bCs w:val="1"/>
          <w:i w:val="1"/>
          <w:iCs w:val="1"/>
          <w:color w:val="auto"/>
        </w:rPr>
        <w:t>Bidding Procedures Motion</w:t>
      </w:r>
      <w:r>
        <w:rPr>
          <w:rFonts w:ascii="Times New Roman" w:cs="Times New Roman" w:eastAsia="Times New Roman" w:hAnsi="Times New Roman"/>
          <w:sz w:val="16"/>
          <w:szCs w:val="16"/>
          <w:color w:val="auto"/>
        </w:rPr>
        <w:t>”) (Docket No. 50) that sought approval of, among other things, certain auction and bidding procedures (the “</w:t>
      </w:r>
      <w:r>
        <w:rPr>
          <w:rFonts w:ascii="Times New Roman" w:cs="Times New Roman" w:eastAsia="Times New Roman" w:hAnsi="Times New Roman"/>
          <w:sz w:val="16"/>
          <w:szCs w:val="16"/>
          <w:b w:val="1"/>
          <w:bCs w:val="1"/>
          <w:i w:val="1"/>
          <w:iCs w:val="1"/>
          <w:color w:val="auto"/>
        </w:rPr>
        <w:t>Bidding Procedures</w:t>
      </w:r>
      <w:r>
        <w:rPr>
          <w:rFonts w:ascii="Times New Roman" w:cs="Times New Roman" w:eastAsia="Times New Roman" w:hAnsi="Times New Roman"/>
          <w:sz w:val="16"/>
          <w:szCs w:val="16"/>
          <w:color w:val="auto"/>
        </w:rPr>
        <w:t>”) in connection with a sale of all or substantially all of the Company’s assets and the approval to designate a stalking horse bidder (the “</w:t>
      </w:r>
      <w:r>
        <w:rPr>
          <w:rFonts w:ascii="Times New Roman" w:cs="Times New Roman" w:eastAsia="Times New Roman" w:hAnsi="Times New Roman"/>
          <w:sz w:val="16"/>
          <w:szCs w:val="16"/>
          <w:b w:val="1"/>
          <w:bCs w:val="1"/>
          <w:i w:val="1"/>
          <w:iCs w:val="1"/>
          <w:color w:val="auto"/>
        </w:rPr>
        <w:t>Stalking Horse Bidder</w:t>
      </w:r>
      <w:r>
        <w:rPr>
          <w:rFonts w:ascii="Times New Roman" w:cs="Times New Roman" w:eastAsia="Times New Roman" w:hAnsi="Times New Roman"/>
          <w:sz w:val="16"/>
          <w:szCs w:val="16"/>
          <w:color w:val="auto"/>
        </w:rPr>
        <w:t>”).</w:t>
      </w:r>
    </w:p>
    <w:p>
      <w:pPr>
        <w:spacing w:after="0" w:line="150"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6"/>
          <w:szCs w:val="16"/>
          <w:color w:val="auto"/>
        </w:rPr>
        <w:t>Pursuant to the Bidding Procedures Motion, on December 17, 2025, the Company filed a notice (the “</w:t>
      </w:r>
      <w:r>
        <w:rPr>
          <w:rFonts w:ascii="Times New Roman" w:cs="Times New Roman" w:eastAsia="Times New Roman" w:hAnsi="Times New Roman"/>
          <w:sz w:val="16"/>
          <w:szCs w:val="16"/>
          <w:b w:val="1"/>
          <w:bCs w:val="1"/>
          <w:i w:val="1"/>
          <w:iCs w:val="1"/>
          <w:color w:val="auto"/>
        </w:rPr>
        <w:t>Stalking Horse Notice</w:t>
      </w:r>
      <w:r>
        <w:rPr>
          <w:rFonts w:ascii="Times New Roman" w:cs="Times New Roman" w:eastAsia="Times New Roman" w:hAnsi="Times New Roman"/>
          <w:sz w:val="16"/>
          <w:szCs w:val="16"/>
          <w:color w:val="auto"/>
        </w:rPr>
        <w:t>”) (Docket No. 70) designating Health Ocean Limited, or its assignee, as the Stalking Horse Bidder. The terms of the proposed transaction are set forth in the term sheet attached to the Stalking Horse Notice (the “</w:t>
      </w:r>
      <w:r>
        <w:rPr>
          <w:rFonts w:ascii="Times New Roman" w:cs="Times New Roman" w:eastAsia="Times New Roman" w:hAnsi="Times New Roman"/>
          <w:sz w:val="16"/>
          <w:szCs w:val="16"/>
          <w:b w:val="1"/>
          <w:bCs w:val="1"/>
          <w:i w:val="1"/>
          <w:iCs w:val="1"/>
          <w:color w:val="auto"/>
        </w:rPr>
        <w:t>Stalking Horse Bid</w:t>
      </w:r>
      <w:r>
        <w:rPr>
          <w:rFonts w:ascii="Times New Roman" w:cs="Times New Roman" w:eastAsia="Times New Roman" w:hAnsi="Times New Roman"/>
          <w:sz w:val="16"/>
          <w:szCs w:val="16"/>
          <w:color w:val="auto"/>
        </w:rPr>
        <w:t>”). The Company and the Stalking Horse Bidder intend to enter into a purchase agreement with respect to the proposed transaction as set forth in the Stalking Horse Bid. Pursuant to the Bidding Procedures, the proposed transaction between the Company and Stalking Horse Bidder is subject to higher and/or better offers.</w:t>
      </w:r>
    </w:p>
    <w:p>
      <w:pPr>
        <w:spacing w:after="0" w:line="158" w:lineRule="exact"/>
        <w:rPr>
          <w:sz w:val="20"/>
          <w:szCs w:val="20"/>
          <w:color w:val="auto"/>
        </w:rPr>
      </w:pPr>
    </w:p>
    <w:p>
      <w:pPr>
        <w:ind w:right="280"/>
        <w:spacing w:after="0" w:line="267" w:lineRule="auto"/>
        <w:rPr>
          <w:sz w:val="20"/>
          <w:szCs w:val="20"/>
          <w:color w:val="auto"/>
        </w:rPr>
      </w:pPr>
      <w:r>
        <w:rPr>
          <w:rFonts w:ascii="Times New Roman" w:cs="Times New Roman" w:eastAsia="Times New Roman" w:hAnsi="Times New Roman"/>
          <w:sz w:val="16"/>
          <w:szCs w:val="16"/>
          <w:color w:val="auto"/>
        </w:rPr>
        <w:t>On December 19, 2025, the Court entered an order (the “</w:t>
      </w:r>
      <w:r>
        <w:rPr>
          <w:rFonts w:ascii="Times New Roman" w:cs="Times New Roman" w:eastAsia="Times New Roman" w:hAnsi="Times New Roman"/>
          <w:sz w:val="16"/>
          <w:szCs w:val="16"/>
          <w:b w:val="1"/>
          <w:bCs w:val="1"/>
          <w:i w:val="1"/>
          <w:iCs w:val="1"/>
          <w:color w:val="auto"/>
        </w:rPr>
        <w:t>Bidding Procedures Order</w:t>
      </w:r>
      <w:r>
        <w:rPr>
          <w:rFonts w:ascii="Times New Roman" w:cs="Times New Roman" w:eastAsia="Times New Roman" w:hAnsi="Times New Roman"/>
          <w:sz w:val="16"/>
          <w:szCs w:val="16"/>
          <w:color w:val="auto"/>
        </w:rPr>
        <w:t>”) (Docket No. 92) granting the relief requested in the Bidding Procedures Motion. Pursuant to the Bidding Procedures Order, the Court approved, among other things, the Bidding Procedures and the Company’s designation of the Stalking Horse Bidder. The Stalking Horse Bid will serve as the minimum bid in connection with the Company’s sale process. Interested bidders may participate in the auction by submitting a qualifying bid in accordance with the Bidding Procedures.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8.01. Other Events</w:t>
      </w:r>
    </w:p>
    <w:p>
      <w:pPr>
        <w:spacing w:after="0" w:line="111"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6"/>
          <w:szCs w:val="16"/>
          <w:color w:val="auto"/>
        </w:rPr>
        <w:t>On December 23, 2025, the Company filed its monthly operating report with the Court for the period beginning November 23, 2025 and ending November 30, 2025 (the “</w:t>
      </w:r>
      <w:r>
        <w:rPr>
          <w:rFonts w:ascii="Times New Roman" w:cs="Times New Roman" w:eastAsia="Times New Roman" w:hAnsi="Times New Roman"/>
          <w:sz w:val="16"/>
          <w:szCs w:val="16"/>
          <w:b w:val="1"/>
          <w:bCs w:val="1"/>
          <w:i w:val="1"/>
          <w:iCs w:val="1"/>
          <w:color w:val="auto"/>
        </w:rPr>
        <w:t>Monthly Operating Report</w:t>
      </w:r>
      <w:r>
        <w:rPr>
          <w:rFonts w:ascii="Times New Roman" w:cs="Times New Roman" w:eastAsia="Times New Roman" w:hAnsi="Times New Roman"/>
          <w:sz w:val="16"/>
          <w:szCs w:val="16"/>
          <w:color w:val="auto"/>
        </w:rPr>
        <w:t>”). The Monthly Operating Report is attached hereto as Exhibit 99.1 and is incorporated herein by reference.</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Cautionary Note Regarding the Monthly Operating Report</w:t>
      </w:r>
    </w:p>
    <w:p>
      <w:pPr>
        <w:spacing w:after="0" w:line="111"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The Company cautions investors not to place undue reliance upon the information contained in the Monthly Operating Report, which was not prepared for the purpose of providing the basis for an investment decision relating to any Company securities. The Monthly Operating Report is limited in scope and has been prepared solely for the purpose of complying with requirements of the Court. The Monthly Operating Report was not reviewed by independent accountants, is in a format prescribed by applicable bankruptcy laws, and is subject to future adjustment. The financial information in the Monthly Operating Report is not prepared in accordance with accounting principles generally accepted in the United States (“</w:t>
      </w:r>
      <w:r>
        <w:rPr>
          <w:rFonts w:ascii="Times New Roman" w:cs="Times New Roman" w:eastAsia="Times New Roman" w:hAnsi="Times New Roman"/>
          <w:sz w:val="16"/>
          <w:szCs w:val="16"/>
          <w:b w:val="1"/>
          <w:bCs w:val="1"/>
          <w:i w:val="1"/>
          <w:iCs w:val="1"/>
          <w:color w:val="auto"/>
        </w:rPr>
        <w:t>GAAP</w:t>
      </w:r>
      <w:r>
        <w:rPr>
          <w:rFonts w:ascii="Times New Roman" w:cs="Times New Roman" w:eastAsia="Times New Roman" w:hAnsi="Times New Roman"/>
          <w:sz w:val="16"/>
          <w:szCs w:val="16"/>
          <w:color w:val="auto"/>
        </w:rPr>
        <w:t>”), and, therefore, may exclude items required by GAAP, such as certain reclassifications, eliminations, accruals, valuations and disclosures. The Monthly Operating Report also relates to a period that is different from the historical periods required in the Company’s reports pursuant to the Securities Exchange Act of 1934, as amended.</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Forward-Looking Statements Disclaimer</w:t>
      </w:r>
    </w:p>
    <w:p>
      <w:pPr>
        <w:spacing w:after="0" w:line="113"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This Current Report contains certain forward-looking statements. These forward-looking statements are subject to considerable risks and uncertainties, and these forward-looking statements may be identified by words such as “believe”, “expect”, “may”, “plan”, “potential”, “will”, “estimates”, “intends” and similar expressions, and are based on the Company’s current beliefs and expectations, including without limitation, statements regarding the Company’s current expectations and intentions with respect to the Bidding Procedures and a purchase agreement with respect to the proposed transaction as set forth in the Stalking Horse Bid. It is very difficult to predict the effect</w:t>
      </w:r>
    </w:p>
    <w:p>
      <w:pPr>
        <w:sectPr>
          <w:pgSz w:w="11900" w:h="16838" w:orient="portrait"/>
          <w:cols w:equalWidth="0" w:num="1">
            <w:col w:w="9900"/>
          </w:cols>
          <w:pgMar w:left="960" w:top="279" w:right="1039" w:bottom="1440" w:gutter="0" w:footer="0" w:header="0"/>
        </w:sectPr>
      </w:pPr>
    </w:p>
    <w:bookmarkStart w:id="2" w:name="page3"/>
    <w:bookmarkEnd w:id="2"/>
    <w:p>
      <w:pPr>
        <w:spacing w:after="0" w:line="25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186295"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295" cy="51435"/>
                    </a:xfrm>
                    <a:prstGeom prst="rect">
                      <a:avLst/>
                    </a:prstGeom>
                    <a:noFill/>
                  </pic:spPr>
                </pic:pic>
              </a:graphicData>
            </a:graphic>
          </wp:anchor>
        </w:drawing>
        <w:t>of known factors, and the Company cannot anticipate all factors that could affect actual results that may be important to an investor. All forward-looking information should be evaluated in the context of these risks, uncertainties and other factors, including: risks attendant to the bankruptcy process, including the Company’s ability to obtain court approval from the Court with respect to motions or other requests made to the Court throughout the course of the Case; the Company’s ability to negotiate and confirm a sale of its assets under Section 363 of the Bankruptcy Code; the effects of the Case on the Company’s liquidity (including the availability of operating capital during the pendency of the Case), results of operations, business prospects and costs, including increased legal and other professional costs necessary to facilitate the Case; the effects of the Case on the interests of various constituents and financial stakeholders; the length of time that the Company will operate under Chapter 11 protection and the continued availability of operating capital during the pendency of the Case; objections to the Company’s restructuring process or other pleadings filed that could protract the Case; risks associated with third-party motions in the Case; Court rulings in the Case and the outcome of the Case in general; employee attrition and the Company’s ability to retain senior management and other key personnel due to the distractions and uncertainties; the Company’s ability to maintain relationships with suppliers, employees and other third parties and regulatory authorities as a result of the Case; the impact and timing of any cost-savings measures and related local law requirements in various jurisdictions; risks relating to the listing of the Company’s common stock over-the-counter market; the impact of litigation and regulatory proceedings; the impact and timing of any cost savings measures; and other risks and uncertainties that are described in the Company’s Annual Report on Form 10-K for the year ended December 31, 2024, filed with the SEC on March 27, 2025, the Company’s Quarterly Report on Form 10-Q filed with the SEC on November 14, 2025 and the Company’s other periodic reports filed with the SEC. Any forward-looking statements speak only as of the date of this Current Report and are based on information available to the Company’s as of the date of this Current Report, and the Company’s assumes no obligation to, and does not intend to, update any forward-looking statements, whether as a result of new information, future events or otherwise, except as required by law.</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Given these risks and uncertainties, readers are cautioned not to place undue reliance on such forward-looking statements.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09" w:lineRule="exact"/>
        <w:rPr>
          <w:sz w:val="20"/>
          <w:szCs w:val="20"/>
          <w:color w:val="auto"/>
        </w:rPr>
      </w:pPr>
    </w:p>
    <w:p>
      <w:pPr>
        <w:ind w:left="240" w:hanging="230"/>
        <w:spacing w:after="0"/>
        <w:tabs>
          <w:tab w:leader="none" w:pos="2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40" w:type="dxa"/>
            <w:vAlign w:val="bottom"/>
          </w:tcPr>
          <w:p>
            <w:pPr>
              <w:jc w:val="center"/>
              <w:ind w:right="387"/>
              <w:spacing w:after="0"/>
              <w:rPr>
                <w:sz w:val="20"/>
                <w:szCs w:val="20"/>
                <w:color w:val="auto"/>
              </w:rPr>
            </w:pPr>
            <w:r>
              <w:rPr>
                <w:rFonts w:ascii="Times New Roman" w:cs="Times New Roman" w:eastAsia="Times New Roman" w:hAnsi="Times New Roman"/>
                <w:sz w:val="13"/>
                <w:szCs w:val="13"/>
                <w:b w:val="1"/>
                <w:bCs w:val="1"/>
                <w:color w:val="auto"/>
                <w:w w:val="97"/>
              </w:rPr>
              <w:t>Exhibit</w:t>
            </w:r>
          </w:p>
        </w:tc>
        <w:tc>
          <w:tcPr>
            <w:tcW w:w="1780" w:type="dxa"/>
            <w:vAlign w:val="bottom"/>
          </w:tcPr>
          <w:p>
            <w:pPr>
              <w:spacing w:after="0"/>
              <w:rPr>
                <w:sz w:val="12"/>
                <w:szCs w:val="12"/>
                <w:color w:val="auto"/>
              </w:rPr>
            </w:pPr>
          </w:p>
        </w:tc>
        <w:tc>
          <w:tcPr>
            <w:tcW w:w="3480" w:type="dxa"/>
            <w:vAlign w:val="bottom"/>
          </w:tcPr>
          <w:p>
            <w:pPr>
              <w:spacing w:after="0"/>
              <w:rPr>
                <w:sz w:val="12"/>
                <w:szCs w:val="12"/>
                <w:color w:val="auto"/>
              </w:rPr>
            </w:pPr>
          </w:p>
        </w:tc>
      </w:tr>
      <w:tr>
        <w:trPr>
          <w:trHeight w:val="182"/>
        </w:trPr>
        <w:tc>
          <w:tcPr>
            <w:tcW w:w="940" w:type="dxa"/>
            <w:vAlign w:val="bottom"/>
          </w:tcPr>
          <w:p>
            <w:pPr>
              <w:jc w:val="center"/>
              <w:ind w:right="367"/>
              <w:spacing w:after="0"/>
              <w:rPr>
                <w:sz w:val="20"/>
                <w:szCs w:val="20"/>
                <w:color w:val="auto"/>
              </w:rPr>
            </w:pPr>
            <w:r>
              <w:rPr>
                <w:rFonts w:ascii="Times New Roman" w:cs="Times New Roman" w:eastAsia="Times New Roman" w:hAnsi="Times New Roman"/>
                <w:sz w:val="13"/>
                <w:szCs w:val="13"/>
                <w:b w:val="1"/>
                <w:bCs w:val="1"/>
                <w:color w:val="auto"/>
                <w:w w:val="99"/>
              </w:rPr>
              <w:t>Number</w:t>
            </w:r>
          </w:p>
        </w:tc>
        <w:tc>
          <w:tcPr>
            <w:tcW w:w="52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242"/>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99.1</w:t>
            </w:r>
          </w:p>
        </w:tc>
        <w:tc>
          <w:tcPr>
            <w:tcW w:w="5260" w:type="dxa"/>
            <w:vAlign w:val="bottom"/>
            <w:gridSpan w:val="2"/>
          </w:tcPr>
          <w:p>
            <w:pPr>
              <w:spacing w:after="0"/>
              <w:rPr>
                <w:sz w:val="20"/>
                <w:szCs w:val="20"/>
                <w:color w:val="auto"/>
              </w:rPr>
            </w:pPr>
            <w:r>
              <w:rPr>
                <w:rFonts w:ascii="Times New Roman" w:cs="Times New Roman" w:eastAsia="Times New Roman" w:hAnsi="Times New Roman"/>
                <w:sz w:val="16"/>
                <w:szCs w:val="16"/>
                <w:color w:val="0000EE"/>
              </w:rPr>
              <w:t>Monthly Operating Report.</w:t>
            </w:r>
          </w:p>
        </w:tc>
      </w:tr>
      <w:tr>
        <w:trPr>
          <w:trHeight w:val="20"/>
        </w:trPr>
        <w:tc>
          <w:tcPr>
            <w:tcW w:w="94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r>
        <w:trPr>
          <w:trHeight w:val="308"/>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5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bl>
    <w:p>
      <w:pPr>
        <w:sectPr>
          <w:pgSz w:w="11900" w:h="16838" w:orient="portrait"/>
          <w:cols w:equalWidth="0" w:num="1">
            <w:col w:w="9960"/>
          </w:cols>
          <w:pgMar w:left="960" w:top="281" w:right="9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186295"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295" cy="51435"/>
                    </a:xfrm>
                    <a:prstGeom prst="rect">
                      <a:avLst/>
                    </a:prstGeom>
                    <a:noFill/>
                  </pic:spPr>
                </pic:pic>
              </a:graphicData>
            </a:graphic>
          </wp:anchor>
        </w:drawing>
        <w:t>SIGNATURES</w:t>
      </w:r>
    </w:p>
    <w:p>
      <w:pPr>
        <w:spacing w:after="0" w:line="208" w:lineRule="exact"/>
        <w:rPr>
          <w:sz w:val="20"/>
          <w:szCs w:val="20"/>
          <w:color w:val="auto"/>
        </w:rPr>
      </w:pPr>
    </w:p>
    <w:p>
      <w:pPr>
        <w:ind w:right="680"/>
        <w:spacing w:after="0" w:line="289"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Date: December 29, 2025</w:t>
            </w:r>
          </w:p>
        </w:tc>
        <w:tc>
          <w:tcPr>
            <w:tcW w:w="6620" w:type="dxa"/>
            <w:vAlign w:val="bottom"/>
            <w:gridSpan w:val="2"/>
          </w:tcPr>
          <w:p>
            <w:pPr>
              <w:ind w:left="1660"/>
              <w:spacing w:after="0"/>
              <w:rPr>
                <w:sz w:val="20"/>
                <w:szCs w:val="20"/>
                <w:color w:val="auto"/>
              </w:rPr>
            </w:pPr>
            <w:r>
              <w:rPr>
                <w:rFonts w:ascii="Times New Roman" w:cs="Times New Roman" w:eastAsia="Times New Roman" w:hAnsi="Times New Roman"/>
                <w:sz w:val="16"/>
                <w:szCs w:val="16"/>
                <w:b w:val="1"/>
                <w:bCs w:val="1"/>
                <w:color w:val="auto"/>
              </w:rPr>
              <w:t>CLEARSIDE BIOMEDICAL, INC.</w:t>
            </w:r>
          </w:p>
        </w:tc>
      </w:tr>
      <w:tr>
        <w:trPr>
          <w:trHeight w:val="390"/>
        </w:trPr>
        <w:tc>
          <w:tcPr>
            <w:tcW w:w="3340" w:type="dxa"/>
            <w:vAlign w:val="bottom"/>
          </w:tcPr>
          <w:p>
            <w:pPr>
              <w:spacing w:after="0"/>
              <w:rPr>
                <w:sz w:val="24"/>
                <w:szCs w:val="24"/>
                <w:color w:val="auto"/>
              </w:rPr>
            </w:pPr>
          </w:p>
        </w:tc>
        <w:tc>
          <w:tcPr>
            <w:tcW w:w="2240" w:type="dxa"/>
            <w:vAlign w:val="bottom"/>
          </w:tcPr>
          <w:p>
            <w:pPr>
              <w:ind w:left="1660"/>
              <w:spacing w:after="0"/>
              <w:rPr>
                <w:sz w:val="20"/>
                <w:szCs w:val="20"/>
                <w:color w:val="auto"/>
              </w:rPr>
            </w:pPr>
            <w:r>
              <w:rPr>
                <w:rFonts w:ascii="Times New Roman" w:cs="Times New Roman" w:eastAsia="Times New Roman" w:hAnsi="Times New Roman"/>
                <w:sz w:val="16"/>
                <w:szCs w:val="16"/>
                <w:color w:val="auto"/>
              </w:rPr>
              <w:t>By:</w:t>
            </w: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Charles A. Deignan</w:t>
            </w:r>
          </w:p>
        </w:tc>
      </w:tr>
      <w:tr>
        <w:trPr>
          <w:trHeight w:val="184"/>
        </w:trPr>
        <w:tc>
          <w:tcPr>
            <w:tcW w:w="3340" w:type="dxa"/>
            <w:vAlign w:val="bottom"/>
          </w:tcPr>
          <w:p>
            <w:pPr>
              <w:spacing w:after="0"/>
              <w:rPr>
                <w:sz w:val="15"/>
                <w:szCs w:val="15"/>
                <w:color w:val="auto"/>
              </w:rPr>
            </w:pPr>
          </w:p>
        </w:tc>
        <w:tc>
          <w:tcPr>
            <w:tcW w:w="2240" w:type="dxa"/>
            <w:vAlign w:val="bottom"/>
          </w:tcPr>
          <w:p>
            <w:pPr>
              <w:ind w:left="1660"/>
              <w:spacing w:after="0"/>
              <w:rPr>
                <w:sz w:val="20"/>
                <w:szCs w:val="20"/>
                <w:color w:val="auto"/>
              </w:rPr>
            </w:pPr>
            <w:r>
              <w:rPr>
                <w:rFonts w:ascii="Times New Roman" w:cs="Times New Roman" w:eastAsia="Times New Roman" w:hAnsi="Times New Roman"/>
                <w:sz w:val="16"/>
                <w:szCs w:val="16"/>
                <w:color w:val="auto"/>
              </w:rPr>
              <w:t>Name:</w:t>
            </w:r>
          </w:p>
        </w:tc>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Charles A. Deignan</w:t>
            </w:r>
          </w:p>
        </w:tc>
      </w:tr>
      <w:tr>
        <w:trPr>
          <w:trHeight w:val="211"/>
        </w:trPr>
        <w:tc>
          <w:tcPr>
            <w:tcW w:w="3340" w:type="dxa"/>
            <w:vAlign w:val="bottom"/>
          </w:tcPr>
          <w:p>
            <w:pPr>
              <w:spacing w:after="0"/>
              <w:rPr>
                <w:sz w:val="18"/>
                <w:szCs w:val="18"/>
                <w:color w:val="auto"/>
              </w:rPr>
            </w:pPr>
          </w:p>
        </w:tc>
        <w:tc>
          <w:tcPr>
            <w:tcW w:w="2240" w:type="dxa"/>
            <w:vAlign w:val="bottom"/>
          </w:tcPr>
          <w:p>
            <w:pPr>
              <w:ind w:left="1660"/>
              <w:spacing w:after="0"/>
              <w:rPr>
                <w:sz w:val="20"/>
                <w:szCs w:val="20"/>
                <w:color w:val="auto"/>
              </w:rPr>
            </w:pPr>
            <w:r>
              <w:rPr>
                <w:rFonts w:ascii="Times New Roman" w:cs="Times New Roman" w:eastAsia="Times New Roman" w:hAnsi="Times New Roman"/>
                <w:sz w:val="16"/>
                <w:szCs w:val="16"/>
                <w:color w:val="auto"/>
              </w:rPr>
              <w:t>Title:</w:t>
            </w:r>
          </w:p>
        </w:tc>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bl>
    <w:p>
      <w:pPr>
        <w:sectPr>
          <w:pgSz w:w="11900" w:h="16838" w:orient="portrait"/>
          <w:cols w:equalWidth="0" w:num="1">
            <w:col w:w="9960"/>
          </w:cols>
          <w:pgMar w:left="960" w:top="279" w:right="9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0"/>
          <w:szCs w:val="20"/>
          <w:color w:val="auto"/>
        </w:rPr>
        <w:t>Case 25-12109-TMH   Doc 115   Filed 12/23/25   Page 1 of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9525</wp:posOffset>
            </wp:positionV>
            <wp:extent cx="5264150" cy="68129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64150" cy="6812915"/>
                    </a:xfrm>
                    <a:prstGeom prst="rect">
                      <a:avLst/>
                    </a:prstGeom>
                    <a:noFill/>
                  </pic:spPr>
                </pic:pic>
              </a:graphicData>
            </a:graphic>
          </wp:anchor>
        </w:drawing>
      </w:r>
    </w:p>
    <w:p>
      <w:pPr>
        <w:sectPr>
          <w:pgSz w:w="11900" w:h="16838" w:orient="portrait"/>
          <w:cols w:equalWidth="0" w:num="1">
            <w:col w:w="9480"/>
          </w:cols>
          <w:pgMar w:left="1440" w:top="121" w:right="97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186295" cy="36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295" cy="36195"/>
                    </a:xfrm>
                    <a:prstGeom prst="rect">
                      <a:avLst/>
                    </a:prstGeom>
                    <a:noFill/>
                  </pic:spPr>
                </pic:pic>
              </a:graphicData>
            </a:graphic>
          </wp:anchor>
        </w:drawing>
        <w:t>Case 25-12109-TMH   Doc 115   Filed 12/23/25   Page 2 of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24130</wp:posOffset>
            </wp:positionV>
            <wp:extent cx="5264150" cy="68129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64150" cy="681291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186295" cy="36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295" cy="36195"/>
                    </a:xfrm>
                    <a:prstGeom prst="rect">
                      <a:avLst/>
                    </a:prstGeom>
                    <a:noFill/>
                  </pic:spPr>
                </pic:pic>
              </a:graphicData>
            </a:graphic>
          </wp:anchor>
        </w:drawing>
        <w:t>Case 25-12109-TMH   Doc 115   Filed 12/23/25   Page 3 of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163195</wp:posOffset>
            </wp:positionV>
            <wp:extent cx="5264150" cy="68129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64150" cy="681291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186295" cy="36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295" cy="36195"/>
                    </a:xfrm>
                    <a:prstGeom prst="rect">
                      <a:avLst/>
                    </a:prstGeom>
                    <a:noFill/>
                  </pic:spPr>
                </pic:pic>
              </a:graphicData>
            </a:graphic>
          </wp:anchor>
        </w:drawing>
        <w:t>Case 25-12109-TMH   Doc 115   Filed 12/23/25   Page 4 of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24130</wp:posOffset>
            </wp:positionV>
            <wp:extent cx="5264150" cy="68129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64150" cy="681291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186295" cy="36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295" cy="36195"/>
                    </a:xfrm>
                    <a:prstGeom prst="rect">
                      <a:avLst/>
                    </a:prstGeom>
                    <a:noFill/>
                  </pic:spPr>
                </pic:pic>
              </a:graphicData>
            </a:graphic>
          </wp:anchor>
        </w:drawing>
        <w:t>Case 25-12109-TMH   Doc 115   Filed 12/23/25   Page 5 of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24130</wp:posOffset>
            </wp:positionV>
            <wp:extent cx="5264150" cy="68129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64150" cy="681291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186295" cy="36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295" cy="36195"/>
                    </a:xfrm>
                    <a:prstGeom prst="rect">
                      <a:avLst/>
                    </a:prstGeom>
                    <a:noFill/>
                  </pic:spPr>
                </pic:pic>
              </a:graphicData>
            </a:graphic>
          </wp:anchor>
        </w:drawing>
        <w:t>Case 25-12109-TMH   Doc 115   Filed 12/23/25   Page 6 of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24130</wp:posOffset>
            </wp:positionV>
            <wp:extent cx="5264150" cy="68129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64150" cy="681291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186295" cy="36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295" cy="36195"/>
                    </a:xfrm>
                    <a:prstGeom prst="rect">
                      <a:avLst/>
                    </a:prstGeom>
                    <a:noFill/>
                  </pic:spPr>
                </pic:pic>
              </a:graphicData>
            </a:graphic>
          </wp:anchor>
        </w:drawing>
        <w:t>Case 25-12109-TMH   Doc 115   Filed 12/23/25   Page 7 of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24130</wp:posOffset>
            </wp:positionV>
            <wp:extent cx="5264150" cy="68129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64150" cy="681291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186295" cy="36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295" cy="36195"/>
                    </a:xfrm>
                    <a:prstGeom prst="rect">
                      <a:avLst/>
                    </a:prstGeom>
                    <a:noFill/>
                  </pic:spPr>
                </pic:pic>
              </a:graphicData>
            </a:graphic>
          </wp:anchor>
        </w:drawing>
        <w:t>Case 25-12109-TMH   Doc 115   Filed 12/23/25   Page 8 of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24130</wp:posOffset>
            </wp:positionV>
            <wp:extent cx="5264150" cy="68129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64150" cy="681291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186295" cy="36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295" cy="36195"/>
                    </a:xfrm>
                    <a:prstGeom prst="rect">
                      <a:avLst/>
                    </a:prstGeom>
                    <a:noFill/>
                  </pic:spPr>
                </pic:pic>
              </a:graphicData>
            </a:graphic>
          </wp:anchor>
        </w:drawing>
        <w:t>Case 25-12109-TMH   Doc 115   Filed 12/23/25   Page 9 of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24130</wp:posOffset>
            </wp:positionV>
            <wp:extent cx="5264150" cy="68129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64150" cy="681291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186295" cy="36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295" cy="36195"/>
                    </a:xfrm>
                    <a:prstGeom prst="rect">
                      <a:avLst/>
                    </a:prstGeom>
                    <a:noFill/>
                  </pic:spPr>
                </pic:pic>
              </a:graphicData>
            </a:graphic>
          </wp:anchor>
        </w:drawing>
        <w:t>Case 25-12109-TMH   Doc 115   Filed 12/23/25   Page 10 of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24130</wp:posOffset>
            </wp:positionV>
            <wp:extent cx="5264150" cy="68129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264150" cy="681291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186295" cy="36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295" cy="36195"/>
                    </a:xfrm>
                    <a:prstGeom prst="rect">
                      <a:avLst/>
                    </a:prstGeom>
                    <a:noFill/>
                  </pic:spPr>
                </pic:pic>
              </a:graphicData>
            </a:graphic>
          </wp:anchor>
        </w:drawing>
        <w:t>Case 25-12109-TMH   Doc 115   Filed 12/23/25   Page 11 of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24130</wp:posOffset>
            </wp:positionV>
            <wp:extent cx="5264150" cy="68129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264150" cy="681291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186295" cy="36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295" cy="36195"/>
                    </a:xfrm>
                    <a:prstGeom prst="rect">
                      <a:avLst/>
                    </a:prstGeom>
                    <a:noFill/>
                  </pic:spPr>
                </pic:pic>
              </a:graphicData>
            </a:graphic>
          </wp:anchor>
        </w:drawing>
        <w:t>Case 25-12109-TMH   Doc 115   Filed 12/23/25   Page 12 of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24130</wp:posOffset>
            </wp:positionV>
            <wp:extent cx="5264150" cy="68129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264150" cy="6812915"/>
                    </a:xfrm>
                    <a:prstGeom prst="rect">
                      <a:avLst/>
                    </a:prstGeom>
                    <a:noFill/>
                  </pic:spPr>
                </pic:pic>
              </a:graphicData>
            </a:graphic>
          </wp:anchor>
        </w:drawing>
      </w:r>
    </w:p>
    <w:p>
      <w:pPr>
        <w:sectPr>
          <w:pgSz w:w="11900" w:h="16838" w:orient="portrait"/>
          <w:cols w:equalWidth="0" w:num="1">
            <w:col w:w="9019"/>
          </w:cols>
          <w:pgMar w:left="1440" w:top="249" w:right="1440" w:bottom="1440" w:gutter="0" w:footer="0" w:header="0"/>
        </w:sectPr>
      </w:pPr>
    </w:p>
    <w:bookmarkStart w:id="16" w:name="page17"/>
    <w:bookmarkEnd w:id="16"/>
    <w:p>
      <w:pPr>
        <w:ind w:left="242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186295" cy="36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295" cy="36195"/>
                    </a:xfrm>
                    <a:prstGeom prst="rect">
                      <a:avLst/>
                    </a:prstGeom>
                    <a:noFill/>
                  </pic:spPr>
                </pic:pic>
              </a:graphicData>
            </a:graphic>
          </wp:anchor>
        </w:drawing>
        <w:t>Case 25-12109-TMH   Doc 115   Filed 12/23/25   Page 13 of 18</w:t>
      </w:r>
    </w:p>
    <w:p>
      <w:pPr>
        <w:spacing w:after="0" w:line="12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IN THE UNITED STATES BANKRUPTCY COURT</w:t>
      </w:r>
    </w:p>
    <w:p>
      <w:pPr>
        <w:spacing w:after="0" w:line="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FOR THE DISTRICT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134620</wp:posOffset>
            </wp:positionV>
            <wp:extent cx="3228340" cy="9988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28340" cy="998855"/>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re:</w:t>
      </w:r>
    </w:p>
    <w:p>
      <w:pPr>
        <w:ind w:left="5200"/>
        <w:spacing w:after="0"/>
        <w:rPr>
          <w:sz w:val="20"/>
          <w:szCs w:val="20"/>
          <w:color w:val="auto"/>
        </w:rPr>
      </w:pPr>
      <w:r>
        <w:rPr>
          <w:rFonts w:ascii="Times New Roman" w:cs="Times New Roman" w:eastAsia="Times New Roman" w:hAnsi="Times New Roman"/>
          <w:sz w:val="20"/>
          <w:szCs w:val="20"/>
          <w:color w:val="auto"/>
        </w:rPr>
        <w:t>Chapter 11</w:t>
      </w:r>
    </w:p>
    <w:p>
      <w:pPr>
        <w:spacing w:after="0" w:line="218" w:lineRule="auto"/>
        <w:rPr>
          <w:sz w:val="20"/>
          <w:szCs w:val="20"/>
          <w:color w:val="auto"/>
        </w:rPr>
      </w:pPr>
      <w:r>
        <w:rPr>
          <w:rFonts w:ascii="Times New Roman" w:cs="Times New Roman" w:eastAsia="Times New Roman" w:hAnsi="Times New Roman"/>
          <w:sz w:val="20"/>
          <w:szCs w:val="20"/>
          <w:color w:val="auto"/>
        </w:rPr>
        <w:t>CLEARSIDE BIOMEDICAL, INC.</w:t>
      </w:r>
      <w:r>
        <w:rPr>
          <w:rFonts w:ascii="Times New Roman" w:cs="Times New Roman" w:eastAsia="Times New Roman" w:hAnsi="Times New Roman"/>
          <w:sz w:val="14"/>
          <w:szCs w:val="14"/>
          <w:color w:val="auto"/>
        </w:rPr>
        <w:t>1</w:t>
      </w:r>
    </w:p>
    <w:p>
      <w:pPr>
        <w:ind w:left="5200"/>
        <w:spacing w:after="0"/>
        <w:rPr>
          <w:sz w:val="20"/>
          <w:szCs w:val="20"/>
          <w:color w:val="auto"/>
        </w:rPr>
      </w:pPr>
      <w:r>
        <w:rPr>
          <w:rFonts w:ascii="Times New Roman" w:cs="Times New Roman" w:eastAsia="Times New Roman" w:hAnsi="Times New Roman"/>
          <w:sz w:val="20"/>
          <w:szCs w:val="20"/>
          <w:color w:val="auto"/>
        </w:rPr>
        <w:t>Case No. 25-12109 (TMH)</w:t>
      </w:r>
    </w:p>
    <w:p>
      <w:pPr>
        <w:spacing w:after="0" w:line="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Debtor.</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GLOBAL NOTES TO THE MONTHLY OPERATING</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REPORT SUPPORTING DOCUMENTATION</w:t>
      </w:r>
    </w:p>
    <w:p>
      <w:pPr>
        <w:jc w:val="center"/>
        <w:ind w:right="-39"/>
        <w:spacing w:after="0"/>
        <w:rPr>
          <w:sz w:val="20"/>
          <w:szCs w:val="20"/>
          <w:color w:val="auto"/>
        </w:rPr>
      </w:pPr>
      <w:r>
        <w:rPr>
          <w:rFonts w:ascii="Times New Roman" w:cs="Times New Roman" w:eastAsia="Times New Roman" w:hAnsi="Times New Roman"/>
          <w:sz w:val="20"/>
          <w:szCs w:val="20"/>
          <w:color w:val="auto"/>
        </w:rPr>
        <w:t>Reporting Period: November 23, 2025 – November 30, 2025</w:t>
      </w:r>
    </w:p>
    <w:p>
      <w:pPr>
        <w:spacing w:after="0" w:line="163" w:lineRule="exact"/>
        <w:rPr>
          <w:sz w:val="20"/>
          <w:szCs w:val="20"/>
          <w:color w:val="auto"/>
        </w:rPr>
      </w:pPr>
    </w:p>
    <w:p>
      <w:pPr>
        <w:ind w:right="20" w:firstLine="497"/>
        <w:spacing w:after="0" w:line="262" w:lineRule="auto"/>
        <w:rPr>
          <w:sz w:val="20"/>
          <w:szCs w:val="20"/>
          <w:color w:val="auto"/>
        </w:rPr>
      </w:pPr>
      <w:r>
        <w:rPr>
          <w:rFonts w:ascii="Times New Roman" w:cs="Times New Roman" w:eastAsia="Times New Roman" w:hAnsi="Times New Roman"/>
          <w:sz w:val="18"/>
          <w:szCs w:val="18"/>
          <w:color w:val="auto"/>
        </w:rPr>
        <w:t>The debtor and debtor in possession (the “</w:t>
      </w:r>
      <w:r>
        <w:rPr>
          <w:rFonts w:ascii="Times New Roman" w:cs="Times New Roman" w:eastAsia="Times New Roman" w:hAnsi="Times New Roman"/>
          <w:sz w:val="18"/>
          <w:szCs w:val="18"/>
          <w:u w:val="single" w:color="auto"/>
          <w:color w:val="auto"/>
        </w:rPr>
        <w:t>Debtor</w:t>
      </w:r>
      <w:r>
        <w:rPr>
          <w:rFonts w:ascii="Times New Roman" w:cs="Times New Roman" w:eastAsia="Times New Roman" w:hAnsi="Times New Roman"/>
          <w:sz w:val="18"/>
          <w:szCs w:val="18"/>
          <w:color w:val="auto"/>
        </w:rPr>
        <w:t>”) in the above-captioned chapter 11 case (the “</w:t>
      </w:r>
      <w:r>
        <w:rPr>
          <w:rFonts w:ascii="Times New Roman" w:cs="Times New Roman" w:eastAsia="Times New Roman" w:hAnsi="Times New Roman"/>
          <w:sz w:val="18"/>
          <w:szCs w:val="18"/>
          <w:u w:val="single" w:color="auto"/>
          <w:color w:val="auto"/>
        </w:rPr>
        <w:t>Chapter 11 Case</w:t>
      </w:r>
      <w:r>
        <w:rPr>
          <w:rFonts w:ascii="Times New Roman" w:cs="Times New Roman" w:eastAsia="Times New Roman" w:hAnsi="Times New Roman"/>
          <w:sz w:val="18"/>
          <w:szCs w:val="18"/>
          <w:color w:val="auto"/>
        </w:rPr>
        <w:t>”) has prepared and filed the attached November 30, 2025 Monthly Operating Report (the “</w:t>
      </w:r>
      <w:r>
        <w:rPr>
          <w:rFonts w:ascii="Times New Roman" w:cs="Times New Roman" w:eastAsia="Times New Roman" w:hAnsi="Times New Roman"/>
          <w:sz w:val="18"/>
          <w:szCs w:val="18"/>
          <w:u w:val="single" w:color="auto"/>
          <w:color w:val="auto"/>
        </w:rPr>
        <w:t>MOR</w:t>
      </w:r>
      <w:r>
        <w:rPr>
          <w:rFonts w:ascii="Times New Roman" w:cs="Times New Roman" w:eastAsia="Times New Roman" w:hAnsi="Times New Roman"/>
          <w:sz w:val="18"/>
          <w:szCs w:val="18"/>
          <w:color w:val="auto"/>
        </w:rPr>
        <w:t>”) in the United States Bankruptcy Court for the District of Delaware (the “</w:t>
      </w:r>
      <w:r>
        <w:rPr>
          <w:rFonts w:ascii="Times New Roman" w:cs="Times New Roman" w:eastAsia="Times New Roman" w:hAnsi="Times New Roman"/>
          <w:sz w:val="18"/>
          <w:szCs w:val="18"/>
          <w:u w:val="single" w:color="auto"/>
          <w:color w:val="auto"/>
        </w:rPr>
        <w:t>Court</w:t>
      </w:r>
      <w:r>
        <w:rPr>
          <w:rFonts w:ascii="Times New Roman" w:cs="Times New Roman" w:eastAsia="Times New Roman" w:hAnsi="Times New Roman"/>
          <w:sz w:val="18"/>
          <w:szCs w:val="18"/>
          <w:color w:val="auto"/>
        </w:rPr>
        <w:t>”). The Debtor has prepared the MOR with the assistance of its advisors and professionals solely for the purpose of complying with the reporting requirements applicable in the Chapter 11 Case and is in a format consistent with the instructions provided by the Office of the United States Trustee for the District of Delaware. The financial information contained herein is unaudited, limited in scope, and is not prepared in accordance with accounting principles generally accepted in the United States of America nor in accordance with federal or state securities laws or other applicable non-bankruptcy law or in lieu of complying with any periodic reporting requirements thereunder.</w:t>
      </w:r>
    </w:p>
    <w:p>
      <w:pPr>
        <w:spacing w:after="0" w:line="143" w:lineRule="exact"/>
        <w:rPr>
          <w:sz w:val="20"/>
          <w:szCs w:val="20"/>
          <w:color w:val="auto"/>
        </w:rPr>
      </w:pPr>
    </w:p>
    <w:p>
      <w:pPr>
        <w:ind w:right="60" w:firstLine="497"/>
        <w:spacing w:after="0" w:line="236" w:lineRule="auto"/>
        <w:rPr>
          <w:sz w:val="20"/>
          <w:szCs w:val="20"/>
          <w:color w:val="auto"/>
        </w:rPr>
      </w:pPr>
      <w:r>
        <w:rPr>
          <w:rFonts w:ascii="Times New Roman" w:cs="Times New Roman" w:eastAsia="Times New Roman" w:hAnsi="Times New Roman"/>
          <w:sz w:val="20"/>
          <w:szCs w:val="20"/>
          <w:color w:val="auto"/>
        </w:rPr>
        <w:t>In preparing the MOR, the Debtor relied on financial data available from the limited books and records available to it at the time of such preparation, as well certain filings from the docket in the Chapter 11 Case. Although the Debtor made commercially reasonable efforts to ensure the accuracy and completeness of the MOR, inadvertent errors or omissions may exist.2 For the avoidance of doubt, the Debtor hereby reserves its right to amend and supplement the MOR as may be necessary or appropriate.</w:t>
      </w:r>
    </w:p>
    <w:p>
      <w:pPr>
        <w:spacing w:after="0" w:line="162" w:lineRule="exact"/>
        <w:rPr>
          <w:sz w:val="20"/>
          <w:szCs w:val="20"/>
          <w:color w:val="auto"/>
        </w:rPr>
      </w:pPr>
    </w:p>
    <w:p>
      <w:pPr>
        <w:jc w:val="both"/>
        <w:ind w:right="120" w:firstLine="497"/>
        <w:spacing w:after="0" w:line="241" w:lineRule="auto"/>
        <w:rPr>
          <w:sz w:val="20"/>
          <w:szCs w:val="20"/>
          <w:color w:val="auto"/>
        </w:rPr>
      </w:pPr>
      <w:r>
        <w:rPr>
          <w:rFonts w:ascii="Times New Roman" w:cs="Times New Roman" w:eastAsia="Times New Roman" w:hAnsi="Times New Roman"/>
          <w:sz w:val="20"/>
          <w:szCs w:val="20"/>
          <w:color w:val="auto"/>
        </w:rPr>
        <w:t>Each signatory to the MOR has necessarily relied upon the efforts, statements, advice, and representations of personnel of the Debtor and its advisors and professionals. Each signatory has not (and could not have) personally verified the accuracy of each statement, representation, and answer contained in the MOR.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218440</wp:posOffset>
            </wp:positionV>
            <wp:extent cx="164147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41475" cy="7620"/>
                    </a:xfrm>
                    <a:prstGeom prst="rect">
                      <a:avLst/>
                    </a:prstGeom>
                    <a:noFill/>
                  </pic:spPr>
                </pic:pic>
              </a:graphicData>
            </a:graphic>
          </wp:anchor>
        </w:drawing>
      </w:r>
    </w:p>
    <w:p>
      <w:pPr>
        <w:spacing w:after="0" w:line="344" w:lineRule="exact"/>
        <w:rPr>
          <w:sz w:val="20"/>
          <w:szCs w:val="20"/>
          <w:color w:val="auto"/>
        </w:rPr>
      </w:pPr>
    </w:p>
    <w:p>
      <w:pPr>
        <w:ind w:left="400" w:right="180" w:hanging="390"/>
        <w:spacing w:after="0" w:line="211" w:lineRule="auto"/>
        <w:tabs>
          <w:tab w:leader="none" w:pos="400" w:val="left"/>
        </w:tabs>
        <w:numPr>
          <w:ilvl w:val="0"/>
          <w:numId w:val="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The Debtor and the last four digits of its taxpayer identification number are: Clearside Biomedical, Inc. (7375). The Debtor’s mailing address is 900 North Point Parkway, Suite 200, Alpharetta, GA 30005.</w:t>
      </w:r>
    </w:p>
    <w:p>
      <w:pPr>
        <w:spacing w:after="0" w:line="59" w:lineRule="exact"/>
        <w:rPr>
          <w:sz w:val="20"/>
          <w:szCs w:val="20"/>
          <w:color w:val="auto"/>
        </w:rPr>
      </w:pPr>
    </w:p>
    <w:p>
      <w:pPr>
        <w:ind w:left="400" w:hanging="390"/>
        <w:spacing w:after="0" w:line="211" w:lineRule="auto"/>
        <w:tabs>
          <w:tab w:leader="none" w:pos="400" w:val="left"/>
        </w:tabs>
        <w:numPr>
          <w:ilvl w:val="0"/>
          <w:numId w:val="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The Debtor, and its agents, advisors, attorneys, and other professionals, as applicable, do not guarantee or warrant the accuracy or completeness of the data that is provided in the MOR.</w:t>
      </w:r>
    </w:p>
    <w:p>
      <w:pPr>
        <w:sectPr>
          <w:pgSz w:w="11900" w:h="16838" w:orient="portrait"/>
          <w:cols w:equalWidth="0" w:num="1">
            <w:col w:w="9920"/>
          </w:cols>
          <w:pgMar w:left="960" w:top="249" w:right="1019" w:bottom="1440" w:gutter="0" w:footer="0" w:header="0"/>
        </w:sectPr>
      </w:pPr>
    </w:p>
    <w:bookmarkStart w:id="17" w:name="page18"/>
    <w:bookmarkEnd w:id="17"/>
    <w:p>
      <w:pPr>
        <w:jc w:val="center"/>
        <w:ind w:right="-59"/>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186295" cy="36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295" cy="36195"/>
                    </a:xfrm>
                    <a:prstGeom prst="rect">
                      <a:avLst/>
                    </a:prstGeom>
                    <a:noFill/>
                  </pic:spPr>
                </pic:pic>
              </a:graphicData>
            </a:graphic>
          </wp:anchor>
        </w:drawing>
        <w:t>Case 25-12109-TMH   Doc 115   Filed 12/23/25   Page 14 of 18</w:t>
      </w:r>
    </w:p>
    <w:p>
      <w:pPr>
        <w:spacing w:after="0" w:line="120"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 xml:space="preserve">Part 1: Cash Receipts and Disbursements. </w:t>
      </w:r>
      <w:r>
        <w:rPr>
          <w:rFonts w:ascii="Times New Roman" w:cs="Times New Roman" w:eastAsia="Times New Roman" w:hAnsi="Times New Roman"/>
          <w:sz w:val="20"/>
          <w:szCs w:val="20"/>
          <w:color w:val="auto"/>
        </w:rPr>
        <w:t>The MOR presents the Debtor’s receipts and disbursements for the period from</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November 23, 2025 through November 30, 2025.</w:t>
      </w:r>
    </w:p>
    <w:p>
      <w:pPr>
        <w:spacing w:after="0" w:line="140"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Part 2: Asset and Liability Status. </w:t>
      </w:r>
      <w:r>
        <w:rPr>
          <w:rFonts w:ascii="Times New Roman" w:cs="Times New Roman" w:eastAsia="Times New Roman" w:hAnsi="Times New Roman"/>
          <w:sz w:val="18"/>
          <w:szCs w:val="18"/>
          <w:color w:val="auto"/>
        </w:rPr>
        <w:t>The amounts identified in Part 2 of the MOR are derived from the Debtor’s unaudited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estimated accrual-based Balance Sheet as of November 30, 2025. Intercompany balances represent the cumulative receivable / (payable) amounts between the Debtor and its non-Debtor subsidiary, which are fully offset on a consolidated basis. Accounts Payable and Accrued Liabilities have been split based on amounts owed for pre- and post- petition balances to the best of the Debtors’ ability, and are subject to an ongoing reconciliation process. Post-petition payables include accrued liability amounts.</w:t>
      </w:r>
    </w:p>
    <w:p>
      <w:pPr>
        <w:spacing w:after="0" w:line="132" w:lineRule="exact"/>
        <w:rPr>
          <w:sz w:val="20"/>
          <w:szCs w:val="20"/>
          <w:color w:val="auto"/>
        </w:rPr>
      </w:pPr>
    </w:p>
    <w:p>
      <w:pPr>
        <w:ind w:right="9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 xml:space="preserve">Part 3: Assets Sold or Transferred. </w:t>
      </w:r>
      <w:r>
        <w:rPr>
          <w:rFonts w:ascii="Times New Roman" w:cs="Times New Roman" w:eastAsia="Times New Roman" w:hAnsi="Times New Roman"/>
          <w:sz w:val="20"/>
          <w:szCs w:val="20"/>
          <w:color w:val="auto"/>
        </w:rPr>
        <w:t>The Debtor did not sell any assets outside the ordinary course of business from</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November 23, 2025 to November 30, 2025.</w:t>
      </w:r>
    </w:p>
    <w:p>
      <w:pPr>
        <w:spacing w:after="0" w:line="140" w:lineRule="exact"/>
        <w:rPr>
          <w:sz w:val="20"/>
          <w:szCs w:val="20"/>
          <w:color w:val="auto"/>
        </w:rPr>
      </w:pPr>
    </w:p>
    <w:p>
      <w:pPr>
        <w:ind w:right="340"/>
        <w:spacing w:after="0" w:line="239" w:lineRule="auto"/>
        <w:rPr>
          <w:sz w:val="20"/>
          <w:szCs w:val="20"/>
          <w:color w:val="auto"/>
        </w:rPr>
      </w:pPr>
      <w:r>
        <w:rPr>
          <w:rFonts w:ascii="Times New Roman" w:cs="Times New Roman" w:eastAsia="Times New Roman" w:hAnsi="Times New Roman"/>
          <w:sz w:val="20"/>
          <w:szCs w:val="20"/>
          <w:b w:val="1"/>
          <w:bCs w:val="1"/>
          <w:i w:val="1"/>
          <w:iCs w:val="1"/>
          <w:color w:val="auto"/>
        </w:rPr>
        <w:t xml:space="preserve">Part 4: Income Statement (Statement of Operations). </w:t>
      </w:r>
      <w:r>
        <w:rPr>
          <w:rFonts w:ascii="Times New Roman" w:cs="Times New Roman" w:eastAsia="Times New Roman" w:hAnsi="Times New Roman"/>
          <w:sz w:val="20"/>
          <w:szCs w:val="20"/>
          <w:color w:val="auto"/>
        </w:rPr>
        <w:t>This MOR presents the Debtor’s best estimate of its accrual-basis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Statement of Operations for the period from November 23, 2025 through November 30, 2025. General and Administrative expenses are inclusive of all Selling, General, and Administrative expenses. Other expenses are inclusive of research and development expenses as well as non-cash stock-based compensation expense.</w:t>
      </w:r>
    </w:p>
    <w:p>
      <w:pPr>
        <w:spacing w:after="0" w:line="157" w:lineRule="exact"/>
        <w:rPr>
          <w:sz w:val="20"/>
          <w:szCs w:val="20"/>
          <w:color w:val="auto"/>
        </w:rPr>
      </w:pPr>
    </w:p>
    <w:p>
      <w:pPr>
        <w:ind w:right="460"/>
        <w:spacing w:after="0" w:line="313"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Part 5: Professional Fees and Expenses. </w:t>
      </w:r>
      <w:r>
        <w:rPr>
          <w:rFonts w:ascii="Times New Roman" w:cs="Times New Roman" w:eastAsia="Times New Roman" w:hAnsi="Times New Roman"/>
          <w:sz w:val="18"/>
          <w:szCs w:val="18"/>
          <w:color w:val="auto"/>
        </w:rPr>
        <w:t>The Debtor did not make any payments to restructuring professionals (whether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retained or anticipated to be retained) during the period from November 23, 2025 through November 30, 2025.</w:t>
      </w:r>
    </w:p>
    <w:p>
      <w:pPr>
        <w:spacing w:after="0" w:line="94"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 xml:space="preserve">Part 6: Postpetition Taxes. </w:t>
      </w:r>
      <w:r>
        <w:rPr>
          <w:rFonts w:ascii="Times New Roman" w:cs="Times New Roman" w:eastAsia="Times New Roman" w:hAnsi="Times New Roman"/>
          <w:sz w:val="20"/>
          <w:szCs w:val="20"/>
          <w:color w:val="auto"/>
        </w:rPr>
        <w:t>The Debtor collects, withholds, and incurs income taxes, sales and use taxes, ad valorem property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taxes, business entity taxes and fees, and licensing and regulatory fees (collectively, the “</w:t>
      </w:r>
      <w:r>
        <w:rPr>
          <w:rFonts w:ascii="Times New Roman" w:cs="Times New Roman" w:eastAsia="Times New Roman" w:hAnsi="Times New Roman"/>
          <w:sz w:val="20"/>
          <w:szCs w:val="20"/>
          <w:u w:val="single" w:color="auto"/>
          <w:color w:val="auto"/>
        </w:rPr>
        <w:t>Taxes and Fees</w:t>
      </w:r>
      <w:r>
        <w:rPr>
          <w:rFonts w:ascii="Times New Roman" w:cs="Times New Roman" w:eastAsia="Times New Roman" w:hAnsi="Times New Roman"/>
          <w:sz w:val="20"/>
          <w:szCs w:val="20"/>
          <w:color w:val="auto"/>
        </w:rPr>
        <w:t>”). The Debtor remits the Taxes and Fees to various federal, state, and local governments (collectively the “</w:t>
      </w:r>
      <w:r>
        <w:rPr>
          <w:rFonts w:ascii="Times New Roman" w:cs="Times New Roman" w:eastAsia="Times New Roman" w:hAnsi="Times New Roman"/>
          <w:sz w:val="20"/>
          <w:szCs w:val="20"/>
          <w:u w:val="single" w:color="auto"/>
          <w:color w:val="auto"/>
        </w:rPr>
        <w:t>Authorities</w:t>
      </w:r>
      <w:r>
        <w:rPr>
          <w:rFonts w:ascii="Times New Roman" w:cs="Times New Roman" w:eastAsia="Times New Roman" w:hAnsi="Times New Roman"/>
          <w:sz w:val="20"/>
          <w:szCs w:val="20"/>
          <w:color w:val="auto"/>
        </w:rPr>
        <w:t>”) on a periodic basis in accordance with applicable law. On December 19, 2025, the Court entered an order [Docket No. 96] authorizing, but not directing, the Debtor to, among other things, pay Taxes and Fees that arise or accrue in the ordinary course of business on a postpetition basis consistent with prepetition practices. The Debtor did not pay or accrue any postpetition taxes for the period from November 23, 2025 through November 30, 2025. The Debtor believes that it is current with respect to any outstanding, post-petition amounts due.</w:t>
      </w:r>
    </w:p>
    <w:p>
      <w:pPr>
        <w:spacing w:after="0" w:line="157"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 xml:space="preserve">MOR Part 7: Questionnaire. </w:t>
      </w:r>
      <w:r>
        <w:rPr>
          <w:rFonts w:ascii="Times New Roman" w:cs="Times New Roman" w:eastAsia="Times New Roman" w:hAnsi="Times New Roman"/>
          <w:sz w:val="20"/>
          <w:szCs w:val="20"/>
          <w:color w:val="auto"/>
        </w:rPr>
        <w:t>The Debtor made no payments to insiders for the period from November 23, 2025 through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November 30, 2025. For purposes of this MOR, the Debtor defined “insiders” pursuant to section 101(31) of the Bankruptcy Code as: (a) directors; (b) officers; (c) persons in control of the Debtor; (d) relatives of the Debtor’s directors, officers, or persons in control of the Debtor; and (e) Debtor and non-Debtor affiliates of the foregoing. Moreover, the Debtor does not take a position with respect to: (a) any insider’s influence over the control of the Debtor; (b) the management responsibilities or functions of any such insider; (c) the decision making or corporate authority of any such insider; or (d) whether the Debtor or any such insider could successfully argue that he or she is not an “insider” under applicable law, with respect to any theories of liability, or for any other purpose.</w:t>
      </w:r>
    </w:p>
    <w:p>
      <w:pPr>
        <w:spacing w:after="0" w:line="1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 * * END OF GLOBAL NOTES * * *</w:t>
      </w:r>
    </w:p>
    <w:p>
      <w:pPr>
        <w:sectPr>
          <w:pgSz w:w="11900" w:h="16838" w:orient="portrait"/>
          <w:cols w:equalWidth="0" w:num="1">
            <w:col w:w="9920"/>
          </w:cols>
          <w:pgMar w:left="960" w:top="248" w:right="101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0"/>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 xml:space="preserve">In re Clearside Biomedical, Inc.       </w:t>
            </w:r>
            <w:r>
              <w:rPr>
                <w:rFonts w:ascii="Times New Roman" w:cs="Times New Roman" w:eastAsia="Times New Roman" w:hAnsi="Times New Roman"/>
                <w:sz w:val="19"/>
                <w:szCs w:val="19"/>
                <w:color w:val="auto"/>
                <w:w w:val="98"/>
              </w:rPr>
              <w:t>Case 25-12109-TMH </w:t>
            </w:r>
          </w:p>
        </w:tc>
        <w:tc>
          <w:tcPr>
            <w:tcW w:w="3840" w:type="dxa"/>
            <w:vAlign w:val="bottom"/>
          </w:tcPr>
          <w:p>
            <w:pPr>
              <w:jc w:val="right"/>
              <w:ind w:right="297"/>
              <w:spacing w:after="0"/>
              <w:rPr>
                <w:sz w:val="20"/>
                <w:szCs w:val="20"/>
                <w:color w:val="auto"/>
              </w:rPr>
            </w:pPr>
            <w:r>
              <w:rPr>
                <w:rFonts w:ascii="Times New Roman" w:cs="Times New Roman" w:eastAsia="Times New Roman" w:hAnsi="Times New Roman"/>
                <w:sz w:val="20"/>
                <w:szCs w:val="20"/>
                <w:color w:val="auto"/>
                <w:w w:val="96"/>
              </w:rPr>
              <w:t>Doc 115   Filed 12/23/25   Page 15 of 18</w:t>
            </w:r>
          </w:p>
        </w:tc>
        <w:tc>
          <w:tcPr>
            <w:tcW w:w="232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Case No. 2</w:t>
            </w:r>
          </w:p>
        </w:tc>
      </w:tr>
      <w:tr>
        <w:trPr>
          <w:trHeight w:val="233"/>
        </w:trPr>
        <w:tc>
          <w:tcPr>
            <w:tcW w:w="4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Debtor</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23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Reporting Period: 11/23/25 to 1</w:t>
            </w:r>
          </w:p>
        </w:tc>
      </w:tr>
      <w:tr>
        <w:trPr>
          <w:trHeight w:val="591"/>
        </w:trPr>
        <w:tc>
          <w:tcPr>
            <w:tcW w:w="1620" w:type="dxa"/>
            <w:vAlign w:val="bottom"/>
          </w:tcPr>
          <w:p>
            <w:pPr>
              <w:spacing w:after="0"/>
              <w:rPr>
                <w:sz w:val="24"/>
                <w:szCs w:val="24"/>
                <w:color w:val="auto"/>
              </w:rPr>
            </w:pPr>
          </w:p>
        </w:tc>
        <w:tc>
          <w:tcPr>
            <w:tcW w:w="6760" w:type="dxa"/>
            <w:vAlign w:val="bottom"/>
            <w:gridSpan w:val="2"/>
          </w:tcPr>
          <w:p>
            <w:pPr>
              <w:ind w:left="1200"/>
              <w:spacing w:after="0"/>
              <w:rPr>
                <w:sz w:val="20"/>
                <w:szCs w:val="20"/>
                <w:color w:val="auto"/>
              </w:rPr>
            </w:pPr>
            <w:r>
              <w:rPr>
                <w:rFonts w:ascii="Times New Roman" w:cs="Times New Roman" w:eastAsia="Times New Roman" w:hAnsi="Times New Roman"/>
                <w:sz w:val="16"/>
                <w:szCs w:val="16"/>
                <w:b w:val="1"/>
                <w:bCs w:val="1"/>
                <w:color w:val="auto"/>
              </w:rPr>
              <w:t>SCHEDULE OF CASH RECEIPTS AND DISBURSEMENTS</w:t>
            </w:r>
          </w:p>
        </w:tc>
        <w:tc>
          <w:tcPr>
            <w:tcW w:w="2320" w:type="dxa"/>
            <w:vAlign w:val="bottom"/>
          </w:tcPr>
          <w:p>
            <w:pPr>
              <w:spacing w:after="0"/>
              <w:rPr>
                <w:sz w:val="24"/>
                <w:szCs w:val="24"/>
                <w:color w:val="auto"/>
              </w:rPr>
            </w:pPr>
          </w:p>
        </w:tc>
      </w:tr>
      <w:tr>
        <w:trPr>
          <w:trHeight w:val="225"/>
        </w:trPr>
        <w:tc>
          <w:tcPr>
            <w:tcW w:w="1620" w:type="dxa"/>
            <w:vAlign w:val="bottom"/>
          </w:tcPr>
          <w:p>
            <w:pPr>
              <w:spacing w:after="0"/>
              <w:rPr>
                <w:sz w:val="19"/>
                <w:szCs w:val="19"/>
                <w:color w:val="auto"/>
              </w:rPr>
            </w:pPr>
          </w:p>
        </w:tc>
        <w:tc>
          <w:tcPr>
            <w:tcW w:w="2920" w:type="dxa"/>
            <w:vAlign w:val="bottom"/>
            <w:tcBorders>
              <w:bottom w:val="single" w:sz="8" w:color="auto"/>
            </w:tcBorders>
          </w:tcPr>
          <w:p>
            <w:pPr>
              <w:spacing w:after="0"/>
              <w:rPr>
                <w:sz w:val="19"/>
                <w:szCs w:val="19"/>
                <w:color w:val="auto"/>
              </w:rPr>
            </w:pPr>
          </w:p>
        </w:tc>
        <w:tc>
          <w:tcPr>
            <w:tcW w:w="3840" w:type="dxa"/>
            <w:vAlign w:val="bottom"/>
            <w:tcBorders>
              <w:bottom w:val="single" w:sz="8" w:color="auto"/>
            </w:tcBorders>
          </w:tcPr>
          <w:p>
            <w:pPr>
              <w:spacing w:after="0"/>
              <w:rPr>
                <w:sz w:val="19"/>
                <w:szCs w:val="19"/>
                <w:color w:val="auto"/>
              </w:rPr>
            </w:pPr>
          </w:p>
        </w:tc>
        <w:tc>
          <w:tcPr>
            <w:tcW w:w="2320" w:type="dxa"/>
            <w:vAlign w:val="bottom"/>
          </w:tcPr>
          <w:p>
            <w:pPr>
              <w:spacing w:after="0"/>
              <w:rPr>
                <w:sz w:val="19"/>
                <w:szCs w:val="19"/>
                <w:color w:val="auto"/>
              </w:rPr>
            </w:pPr>
          </w:p>
        </w:tc>
      </w:tr>
      <w:tr>
        <w:trPr>
          <w:trHeight w:val="195"/>
        </w:trPr>
        <w:tc>
          <w:tcPr>
            <w:tcW w:w="1620" w:type="dxa"/>
            <w:vAlign w:val="bottom"/>
            <w:tcBorders>
              <w:right w:val="single" w:sz="8" w:color="auto"/>
            </w:tcBorders>
          </w:tcPr>
          <w:p>
            <w:pPr>
              <w:spacing w:after="0"/>
              <w:rPr>
                <w:sz w:val="16"/>
                <w:szCs w:val="16"/>
                <w:color w:val="auto"/>
              </w:rPr>
            </w:pPr>
          </w:p>
        </w:tc>
        <w:tc>
          <w:tcPr>
            <w:tcW w:w="2920" w:type="dxa"/>
            <w:vAlign w:val="bottom"/>
            <w:shd w:val="clear" w:color="auto" w:fill="BFBFBF"/>
          </w:tcPr>
          <w:p>
            <w:pPr>
              <w:ind w:left="120"/>
              <w:spacing w:after="0"/>
              <w:rPr>
                <w:sz w:val="20"/>
                <w:szCs w:val="20"/>
                <w:color w:val="auto"/>
              </w:rPr>
            </w:pPr>
            <w:r>
              <w:rPr>
                <w:rFonts w:ascii="Times New Roman" w:cs="Times New Roman" w:eastAsia="Times New Roman" w:hAnsi="Times New Roman"/>
                <w:sz w:val="16"/>
                <w:szCs w:val="16"/>
                <w:b w:val="1"/>
                <w:bCs w:val="1"/>
                <w:color w:val="auto"/>
              </w:rPr>
              <w:t>Line Item</w:t>
            </w:r>
          </w:p>
        </w:tc>
        <w:tc>
          <w:tcPr>
            <w:tcW w:w="3840" w:type="dxa"/>
            <w:vAlign w:val="bottom"/>
            <w:tcBorders>
              <w:right w:val="single" w:sz="8" w:color="auto"/>
            </w:tcBorders>
            <w:shd w:val="clear" w:color="auto" w:fill="BFBFBF"/>
          </w:tcPr>
          <w:p>
            <w:pPr>
              <w:jc w:val="right"/>
              <w:ind w:right="217"/>
              <w:spacing w:after="0"/>
              <w:rPr>
                <w:sz w:val="20"/>
                <w:szCs w:val="20"/>
                <w:color w:val="auto"/>
              </w:rPr>
            </w:pPr>
            <w:r>
              <w:rPr>
                <w:rFonts w:ascii="Times New Roman" w:cs="Times New Roman" w:eastAsia="Times New Roman" w:hAnsi="Times New Roman"/>
                <w:sz w:val="16"/>
                <w:szCs w:val="16"/>
                <w:b w:val="1"/>
                <w:bCs w:val="1"/>
                <w:color w:val="auto"/>
              </w:rPr>
              <w:t xml:space="preserve">Current Period    </w:t>
            </w:r>
          </w:p>
        </w:tc>
        <w:tc>
          <w:tcPr>
            <w:tcW w:w="2320" w:type="dxa"/>
            <w:vAlign w:val="bottom"/>
          </w:tcPr>
          <w:p>
            <w:pPr>
              <w:spacing w:after="0"/>
              <w:rPr>
                <w:sz w:val="16"/>
                <w:szCs w:val="16"/>
                <w:color w:val="auto"/>
              </w:rPr>
            </w:pPr>
          </w:p>
        </w:tc>
      </w:tr>
      <w:tr>
        <w:trPr>
          <w:trHeight w:val="195"/>
        </w:trPr>
        <w:tc>
          <w:tcPr>
            <w:tcW w:w="1620" w:type="dxa"/>
            <w:vAlign w:val="bottom"/>
            <w:tcBorders>
              <w:right w:val="single" w:sz="8" w:color="auto"/>
            </w:tcBorders>
          </w:tcPr>
          <w:p>
            <w:pPr>
              <w:spacing w:after="0"/>
              <w:rPr>
                <w:sz w:val="16"/>
                <w:szCs w:val="16"/>
                <w:color w:val="auto"/>
              </w:rPr>
            </w:pPr>
          </w:p>
        </w:tc>
        <w:tc>
          <w:tcPr>
            <w:tcW w:w="29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CASH BEGINNING OF MONTH</w:t>
            </w:r>
          </w:p>
        </w:tc>
        <w:tc>
          <w:tcPr>
            <w:tcW w:w="3840" w:type="dxa"/>
            <w:vAlign w:val="bottom"/>
            <w:tcBorders>
              <w:right w:val="single" w:sz="8" w:color="auto"/>
            </w:tcBorders>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rPr>
              <w:t>3,013,880</w:t>
            </w:r>
          </w:p>
        </w:tc>
        <w:tc>
          <w:tcPr>
            <w:tcW w:w="2320" w:type="dxa"/>
            <w:vAlign w:val="bottom"/>
          </w:tcPr>
          <w:p>
            <w:pPr>
              <w:spacing w:after="0"/>
              <w:rPr>
                <w:sz w:val="16"/>
                <w:szCs w:val="16"/>
                <w:color w:val="auto"/>
              </w:rPr>
            </w:pPr>
          </w:p>
        </w:tc>
      </w:tr>
      <w:tr>
        <w:trPr>
          <w:trHeight w:val="195"/>
        </w:trPr>
        <w:tc>
          <w:tcPr>
            <w:tcW w:w="1620" w:type="dxa"/>
            <w:vAlign w:val="bottom"/>
            <w:tcBorders>
              <w:right w:val="single" w:sz="8" w:color="auto"/>
            </w:tcBorders>
          </w:tcPr>
          <w:p>
            <w:pPr>
              <w:spacing w:after="0"/>
              <w:rPr>
                <w:sz w:val="16"/>
                <w:szCs w:val="16"/>
                <w:color w:val="auto"/>
              </w:rPr>
            </w:pPr>
          </w:p>
        </w:tc>
        <w:tc>
          <w:tcPr>
            <w:tcW w:w="2920" w:type="dxa"/>
            <w:vAlign w:val="bottom"/>
            <w:shd w:val="clear" w:color="auto" w:fill="BFBFBF"/>
          </w:tcPr>
          <w:p>
            <w:pPr>
              <w:ind w:left="120"/>
              <w:spacing w:after="0"/>
              <w:rPr>
                <w:sz w:val="20"/>
                <w:szCs w:val="20"/>
                <w:color w:val="auto"/>
              </w:rPr>
            </w:pPr>
            <w:r>
              <w:rPr>
                <w:rFonts w:ascii="Times New Roman" w:cs="Times New Roman" w:eastAsia="Times New Roman" w:hAnsi="Times New Roman"/>
                <w:sz w:val="16"/>
                <w:szCs w:val="16"/>
                <w:b w:val="1"/>
                <w:bCs w:val="1"/>
                <w:color w:val="auto"/>
              </w:rPr>
              <w:t>RECEIPTS</w:t>
            </w:r>
          </w:p>
        </w:tc>
        <w:tc>
          <w:tcPr>
            <w:tcW w:w="3840" w:type="dxa"/>
            <w:vAlign w:val="bottom"/>
            <w:tcBorders>
              <w:right w:val="single" w:sz="8" w:color="auto"/>
            </w:tcBorders>
            <w:shd w:val="clear" w:color="auto" w:fill="BFBFBF"/>
          </w:tcPr>
          <w:p>
            <w:pPr>
              <w:spacing w:after="0"/>
              <w:rPr>
                <w:sz w:val="16"/>
                <w:szCs w:val="16"/>
                <w:color w:val="auto"/>
              </w:rPr>
            </w:pPr>
          </w:p>
        </w:tc>
        <w:tc>
          <w:tcPr>
            <w:tcW w:w="2320" w:type="dxa"/>
            <w:vAlign w:val="bottom"/>
          </w:tcPr>
          <w:p>
            <w:pPr>
              <w:spacing w:after="0"/>
              <w:rPr>
                <w:sz w:val="16"/>
                <w:szCs w:val="16"/>
                <w:color w:val="auto"/>
              </w:rPr>
            </w:pPr>
          </w:p>
        </w:tc>
      </w:tr>
      <w:tr>
        <w:trPr>
          <w:trHeight w:val="179"/>
        </w:trPr>
        <w:tc>
          <w:tcPr>
            <w:tcW w:w="1620" w:type="dxa"/>
            <w:vAlign w:val="bottom"/>
            <w:tcBorders>
              <w:right w:val="single" w:sz="8" w:color="auto"/>
            </w:tcBorders>
          </w:tcPr>
          <w:p>
            <w:pPr>
              <w:spacing w:after="0"/>
              <w:rPr>
                <w:sz w:val="15"/>
                <w:szCs w:val="15"/>
                <w:color w:val="auto"/>
              </w:rPr>
            </w:pPr>
          </w:p>
        </w:tc>
        <w:tc>
          <w:tcPr>
            <w:tcW w:w="2920" w:type="dxa"/>
            <w:vAlign w:val="bottom"/>
          </w:tcPr>
          <w:p>
            <w:pPr>
              <w:ind w:left="120"/>
              <w:spacing w:after="0" w:line="178" w:lineRule="exact"/>
              <w:rPr>
                <w:sz w:val="20"/>
                <w:szCs w:val="20"/>
                <w:color w:val="auto"/>
              </w:rPr>
            </w:pPr>
            <w:r>
              <w:rPr>
                <w:rFonts w:ascii="Times New Roman" w:cs="Times New Roman" w:eastAsia="Times New Roman" w:hAnsi="Times New Roman"/>
                <w:sz w:val="16"/>
                <w:szCs w:val="16"/>
                <w:color w:val="auto"/>
              </w:rPr>
              <w:t>Collections of Accounts Receivable</w:t>
            </w:r>
          </w:p>
        </w:tc>
        <w:tc>
          <w:tcPr>
            <w:tcW w:w="3840" w:type="dxa"/>
            <w:vAlign w:val="bottom"/>
            <w:tcBorders>
              <w:right w:val="single" w:sz="8" w:color="auto"/>
            </w:tcBorders>
          </w:tcPr>
          <w:p>
            <w:pPr>
              <w:jc w:val="right"/>
              <w:ind w:right="77"/>
              <w:spacing w:after="0" w:line="178" w:lineRule="exact"/>
              <w:rPr>
                <w:sz w:val="20"/>
                <w:szCs w:val="20"/>
                <w:color w:val="auto"/>
              </w:rPr>
            </w:pPr>
            <w:r>
              <w:rPr>
                <w:rFonts w:ascii="Times New Roman" w:cs="Times New Roman" w:eastAsia="Times New Roman" w:hAnsi="Times New Roman"/>
                <w:sz w:val="16"/>
                <w:szCs w:val="16"/>
                <w:color w:val="auto"/>
              </w:rPr>
              <w:t>30,963</w:t>
            </w:r>
          </w:p>
        </w:tc>
        <w:tc>
          <w:tcPr>
            <w:tcW w:w="2320" w:type="dxa"/>
            <w:vAlign w:val="bottom"/>
          </w:tcPr>
          <w:p>
            <w:pPr>
              <w:spacing w:after="0"/>
              <w:rPr>
                <w:sz w:val="15"/>
                <w:szCs w:val="15"/>
                <w:color w:val="auto"/>
              </w:rPr>
            </w:pPr>
          </w:p>
        </w:tc>
      </w:tr>
      <w:tr>
        <w:trPr>
          <w:trHeight w:val="216"/>
        </w:trPr>
        <w:tc>
          <w:tcPr>
            <w:tcW w:w="1620" w:type="dxa"/>
            <w:vAlign w:val="bottom"/>
            <w:tcBorders>
              <w:right w:val="single" w:sz="8" w:color="auto"/>
            </w:tcBorders>
          </w:tcPr>
          <w:p>
            <w:pPr>
              <w:spacing w:after="0"/>
              <w:rPr>
                <w:sz w:val="18"/>
                <w:szCs w:val="18"/>
                <w:color w:val="auto"/>
              </w:rPr>
            </w:pPr>
          </w:p>
        </w:tc>
        <w:tc>
          <w:tcPr>
            <w:tcW w:w="29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Other Receipts</w:t>
            </w:r>
          </w:p>
        </w:tc>
        <w:tc>
          <w:tcPr>
            <w:tcW w:w="3840" w:type="dxa"/>
            <w:vAlign w:val="bottom"/>
            <w:tcBorders>
              <w:bottom w:val="single" w:sz="8" w:color="auto"/>
              <w:right w:val="single" w:sz="8" w:color="auto"/>
            </w:tcBorders>
          </w:tcPr>
          <w:p>
            <w:pPr>
              <w:jc w:val="right"/>
              <w:ind w:right="77"/>
              <w:spacing w:after="0"/>
              <w:rPr>
                <w:sz w:val="20"/>
                <w:szCs w:val="20"/>
                <w:color w:val="auto"/>
              </w:rPr>
            </w:pPr>
            <w:r>
              <w:rPr>
                <w:rFonts w:ascii="Times New Roman" w:cs="Times New Roman" w:eastAsia="Times New Roman" w:hAnsi="Times New Roman"/>
                <w:sz w:val="16"/>
                <w:szCs w:val="16"/>
                <w:color w:val="auto"/>
              </w:rPr>
              <w:t>9,286</w:t>
            </w:r>
          </w:p>
        </w:tc>
        <w:tc>
          <w:tcPr>
            <w:tcW w:w="2320" w:type="dxa"/>
            <w:vAlign w:val="bottom"/>
          </w:tcPr>
          <w:p>
            <w:pPr>
              <w:spacing w:after="0"/>
              <w:rPr>
                <w:sz w:val="18"/>
                <w:szCs w:val="18"/>
                <w:color w:val="auto"/>
              </w:rPr>
            </w:pPr>
          </w:p>
        </w:tc>
      </w:tr>
      <w:tr>
        <w:trPr>
          <w:trHeight w:val="195"/>
        </w:trPr>
        <w:tc>
          <w:tcPr>
            <w:tcW w:w="1620" w:type="dxa"/>
            <w:vAlign w:val="bottom"/>
            <w:tcBorders>
              <w:right w:val="single" w:sz="8" w:color="auto"/>
            </w:tcBorders>
          </w:tcPr>
          <w:p>
            <w:pPr>
              <w:spacing w:after="0"/>
              <w:rPr>
                <w:sz w:val="16"/>
                <w:szCs w:val="16"/>
                <w:color w:val="auto"/>
              </w:rPr>
            </w:pPr>
          </w:p>
        </w:tc>
        <w:tc>
          <w:tcPr>
            <w:tcW w:w="292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TOTAL RECEIPTS</w:t>
            </w:r>
          </w:p>
        </w:tc>
        <w:tc>
          <w:tcPr>
            <w:tcW w:w="3840" w:type="dxa"/>
            <w:vAlign w:val="bottom"/>
            <w:tcBorders>
              <w:right w:val="single" w:sz="8" w:color="auto"/>
            </w:tcBorders>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rPr>
              <w:t>40,249</w:t>
            </w:r>
          </w:p>
        </w:tc>
        <w:tc>
          <w:tcPr>
            <w:tcW w:w="2320" w:type="dxa"/>
            <w:vAlign w:val="bottom"/>
          </w:tcPr>
          <w:p>
            <w:pPr>
              <w:spacing w:after="0"/>
              <w:rPr>
                <w:sz w:val="16"/>
                <w:szCs w:val="16"/>
                <w:color w:val="auto"/>
              </w:rPr>
            </w:pPr>
          </w:p>
        </w:tc>
      </w:tr>
      <w:tr>
        <w:trPr>
          <w:trHeight w:val="195"/>
        </w:trPr>
        <w:tc>
          <w:tcPr>
            <w:tcW w:w="1620" w:type="dxa"/>
            <w:vAlign w:val="bottom"/>
            <w:tcBorders>
              <w:right w:val="single" w:sz="8" w:color="auto"/>
            </w:tcBorders>
          </w:tcPr>
          <w:p>
            <w:pPr>
              <w:spacing w:after="0"/>
              <w:rPr>
                <w:sz w:val="16"/>
                <w:szCs w:val="16"/>
                <w:color w:val="auto"/>
              </w:rPr>
            </w:pPr>
          </w:p>
        </w:tc>
        <w:tc>
          <w:tcPr>
            <w:tcW w:w="2920" w:type="dxa"/>
            <w:vAlign w:val="bottom"/>
            <w:shd w:val="clear" w:color="auto" w:fill="BFBFBF"/>
          </w:tcPr>
          <w:p>
            <w:pPr>
              <w:ind w:left="120"/>
              <w:spacing w:after="0"/>
              <w:rPr>
                <w:sz w:val="20"/>
                <w:szCs w:val="20"/>
                <w:color w:val="auto"/>
              </w:rPr>
            </w:pPr>
            <w:r>
              <w:rPr>
                <w:rFonts w:ascii="Times New Roman" w:cs="Times New Roman" w:eastAsia="Times New Roman" w:hAnsi="Times New Roman"/>
                <w:sz w:val="16"/>
                <w:szCs w:val="16"/>
                <w:b w:val="1"/>
                <w:bCs w:val="1"/>
                <w:color w:val="auto"/>
              </w:rPr>
              <w:t>DISBURSEMENTS</w:t>
            </w:r>
          </w:p>
        </w:tc>
        <w:tc>
          <w:tcPr>
            <w:tcW w:w="3840" w:type="dxa"/>
            <w:vAlign w:val="bottom"/>
            <w:tcBorders>
              <w:right w:val="single" w:sz="8" w:color="auto"/>
            </w:tcBorders>
            <w:shd w:val="clear" w:color="auto" w:fill="BFBFBF"/>
          </w:tcPr>
          <w:p>
            <w:pPr>
              <w:spacing w:after="0"/>
              <w:rPr>
                <w:sz w:val="16"/>
                <w:szCs w:val="16"/>
                <w:color w:val="auto"/>
              </w:rPr>
            </w:pPr>
          </w:p>
        </w:tc>
        <w:tc>
          <w:tcPr>
            <w:tcW w:w="2320" w:type="dxa"/>
            <w:vAlign w:val="bottom"/>
          </w:tcPr>
          <w:p>
            <w:pPr>
              <w:spacing w:after="0"/>
              <w:rPr>
                <w:sz w:val="16"/>
                <w:szCs w:val="16"/>
                <w:color w:val="auto"/>
              </w:rPr>
            </w:pPr>
          </w:p>
        </w:tc>
      </w:tr>
      <w:tr>
        <w:trPr>
          <w:trHeight w:val="179"/>
        </w:trPr>
        <w:tc>
          <w:tcPr>
            <w:tcW w:w="1620" w:type="dxa"/>
            <w:vAlign w:val="bottom"/>
            <w:tcBorders>
              <w:right w:val="single" w:sz="8" w:color="auto"/>
            </w:tcBorders>
          </w:tcPr>
          <w:p>
            <w:pPr>
              <w:spacing w:after="0"/>
              <w:rPr>
                <w:sz w:val="15"/>
                <w:szCs w:val="15"/>
                <w:color w:val="auto"/>
              </w:rPr>
            </w:pPr>
          </w:p>
        </w:tc>
        <w:tc>
          <w:tcPr>
            <w:tcW w:w="2920" w:type="dxa"/>
            <w:vAlign w:val="bottom"/>
          </w:tcPr>
          <w:p>
            <w:pPr>
              <w:ind w:left="120"/>
              <w:spacing w:after="0" w:line="178" w:lineRule="exact"/>
              <w:rPr>
                <w:sz w:val="20"/>
                <w:szCs w:val="20"/>
                <w:color w:val="auto"/>
              </w:rPr>
            </w:pPr>
            <w:r>
              <w:rPr>
                <w:rFonts w:ascii="Times New Roman" w:cs="Times New Roman" w:eastAsia="Times New Roman" w:hAnsi="Times New Roman"/>
                <w:sz w:val="16"/>
                <w:szCs w:val="16"/>
                <w:color w:val="auto"/>
              </w:rPr>
              <w:t>Independent Contractors</w:t>
            </w:r>
          </w:p>
        </w:tc>
        <w:tc>
          <w:tcPr>
            <w:tcW w:w="3840" w:type="dxa"/>
            <w:vAlign w:val="bottom"/>
            <w:tcBorders>
              <w:right w:val="single" w:sz="8" w:color="auto"/>
            </w:tcBorders>
          </w:tcPr>
          <w:p>
            <w:pPr>
              <w:jc w:val="right"/>
              <w:ind w:right="77"/>
              <w:spacing w:after="0" w:line="178" w:lineRule="exact"/>
              <w:rPr>
                <w:sz w:val="20"/>
                <w:szCs w:val="20"/>
                <w:color w:val="auto"/>
              </w:rPr>
            </w:pPr>
            <w:r>
              <w:rPr>
                <w:rFonts w:ascii="Times New Roman" w:cs="Times New Roman" w:eastAsia="Times New Roman" w:hAnsi="Times New Roman"/>
                <w:sz w:val="16"/>
                <w:szCs w:val="16"/>
                <w:color w:val="auto"/>
              </w:rPr>
              <w:t>-</w:t>
            </w:r>
          </w:p>
        </w:tc>
        <w:tc>
          <w:tcPr>
            <w:tcW w:w="2320" w:type="dxa"/>
            <w:vAlign w:val="bottom"/>
          </w:tcPr>
          <w:p>
            <w:pPr>
              <w:spacing w:after="0"/>
              <w:rPr>
                <w:sz w:val="15"/>
                <w:szCs w:val="15"/>
                <w:color w:val="auto"/>
              </w:rPr>
            </w:pPr>
          </w:p>
        </w:tc>
      </w:tr>
      <w:tr>
        <w:trPr>
          <w:trHeight w:val="195"/>
        </w:trPr>
        <w:tc>
          <w:tcPr>
            <w:tcW w:w="1620" w:type="dxa"/>
            <w:vAlign w:val="bottom"/>
            <w:tcBorders>
              <w:right w:val="single" w:sz="8" w:color="auto"/>
            </w:tcBorders>
          </w:tcPr>
          <w:p>
            <w:pPr>
              <w:spacing w:after="0"/>
              <w:rPr>
                <w:sz w:val="16"/>
                <w:szCs w:val="16"/>
                <w:color w:val="auto"/>
              </w:rPr>
            </w:pPr>
          </w:p>
        </w:tc>
        <w:tc>
          <w:tcPr>
            <w:tcW w:w="2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Vendor Payables</w:t>
            </w:r>
          </w:p>
        </w:tc>
        <w:tc>
          <w:tcPr>
            <w:tcW w:w="3840" w:type="dxa"/>
            <w:vAlign w:val="bottom"/>
            <w:tcBorders>
              <w:right w:val="single" w:sz="8" w:color="auto"/>
            </w:tcBorders>
          </w:tcPr>
          <w:p>
            <w:pPr>
              <w:jc w:val="right"/>
              <w:ind w:right="77"/>
              <w:spacing w:after="0"/>
              <w:rPr>
                <w:sz w:val="20"/>
                <w:szCs w:val="20"/>
                <w:color w:val="auto"/>
              </w:rPr>
            </w:pPr>
            <w:r>
              <w:rPr>
                <w:rFonts w:ascii="Times New Roman" w:cs="Times New Roman" w:eastAsia="Times New Roman" w:hAnsi="Times New Roman"/>
                <w:sz w:val="16"/>
                <w:szCs w:val="16"/>
                <w:color w:val="auto"/>
              </w:rPr>
              <w:t>-</w:t>
            </w:r>
          </w:p>
        </w:tc>
        <w:tc>
          <w:tcPr>
            <w:tcW w:w="2320" w:type="dxa"/>
            <w:vAlign w:val="bottom"/>
          </w:tcPr>
          <w:p>
            <w:pPr>
              <w:spacing w:after="0"/>
              <w:rPr>
                <w:sz w:val="16"/>
                <w:szCs w:val="16"/>
                <w:color w:val="auto"/>
              </w:rPr>
            </w:pPr>
          </w:p>
        </w:tc>
      </w:tr>
      <w:tr>
        <w:trPr>
          <w:trHeight w:val="195"/>
        </w:trPr>
        <w:tc>
          <w:tcPr>
            <w:tcW w:w="1620" w:type="dxa"/>
            <w:vAlign w:val="bottom"/>
            <w:tcBorders>
              <w:right w:val="single" w:sz="8" w:color="auto"/>
            </w:tcBorders>
          </w:tcPr>
          <w:p>
            <w:pPr>
              <w:spacing w:after="0"/>
              <w:rPr>
                <w:sz w:val="16"/>
                <w:szCs w:val="16"/>
                <w:color w:val="auto"/>
              </w:rPr>
            </w:pPr>
          </w:p>
        </w:tc>
        <w:tc>
          <w:tcPr>
            <w:tcW w:w="2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Rent &amp; Occupancy</w:t>
            </w:r>
          </w:p>
        </w:tc>
        <w:tc>
          <w:tcPr>
            <w:tcW w:w="3840" w:type="dxa"/>
            <w:vAlign w:val="bottom"/>
            <w:tcBorders>
              <w:right w:val="single" w:sz="8" w:color="auto"/>
            </w:tcBorders>
          </w:tcPr>
          <w:p>
            <w:pPr>
              <w:jc w:val="right"/>
              <w:ind w:right="77"/>
              <w:spacing w:after="0"/>
              <w:rPr>
                <w:sz w:val="20"/>
                <w:szCs w:val="20"/>
                <w:color w:val="auto"/>
              </w:rPr>
            </w:pPr>
            <w:r>
              <w:rPr>
                <w:rFonts w:ascii="Times New Roman" w:cs="Times New Roman" w:eastAsia="Times New Roman" w:hAnsi="Times New Roman"/>
                <w:sz w:val="16"/>
                <w:szCs w:val="16"/>
                <w:color w:val="auto"/>
              </w:rPr>
              <w:t>-</w:t>
            </w:r>
          </w:p>
        </w:tc>
        <w:tc>
          <w:tcPr>
            <w:tcW w:w="2320" w:type="dxa"/>
            <w:vAlign w:val="bottom"/>
          </w:tcPr>
          <w:p>
            <w:pPr>
              <w:spacing w:after="0"/>
              <w:rPr>
                <w:sz w:val="16"/>
                <w:szCs w:val="16"/>
                <w:color w:val="auto"/>
              </w:rPr>
            </w:pPr>
          </w:p>
        </w:tc>
      </w:tr>
      <w:tr>
        <w:trPr>
          <w:trHeight w:val="195"/>
        </w:trPr>
        <w:tc>
          <w:tcPr>
            <w:tcW w:w="1620" w:type="dxa"/>
            <w:vAlign w:val="bottom"/>
            <w:tcBorders>
              <w:right w:val="single" w:sz="8" w:color="auto"/>
            </w:tcBorders>
          </w:tcPr>
          <w:p>
            <w:pPr>
              <w:spacing w:after="0"/>
              <w:rPr>
                <w:sz w:val="16"/>
                <w:szCs w:val="16"/>
                <w:color w:val="auto"/>
              </w:rPr>
            </w:pPr>
          </w:p>
        </w:tc>
        <w:tc>
          <w:tcPr>
            <w:tcW w:w="2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Taxes</w:t>
            </w:r>
          </w:p>
        </w:tc>
        <w:tc>
          <w:tcPr>
            <w:tcW w:w="3840" w:type="dxa"/>
            <w:vAlign w:val="bottom"/>
            <w:tcBorders>
              <w:right w:val="single" w:sz="8" w:color="auto"/>
            </w:tcBorders>
          </w:tcPr>
          <w:p>
            <w:pPr>
              <w:jc w:val="right"/>
              <w:ind w:right="77"/>
              <w:spacing w:after="0"/>
              <w:rPr>
                <w:sz w:val="20"/>
                <w:szCs w:val="20"/>
                <w:color w:val="auto"/>
              </w:rPr>
            </w:pPr>
            <w:r>
              <w:rPr>
                <w:rFonts w:ascii="Times New Roman" w:cs="Times New Roman" w:eastAsia="Times New Roman" w:hAnsi="Times New Roman"/>
                <w:sz w:val="16"/>
                <w:szCs w:val="16"/>
                <w:color w:val="auto"/>
              </w:rPr>
              <w:t>-</w:t>
            </w:r>
          </w:p>
        </w:tc>
        <w:tc>
          <w:tcPr>
            <w:tcW w:w="2320" w:type="dxa"/>
            <w:vAlign w:val="bottom"/>
          </w:tcPr>
          <w:p>
            <w:pPr>
              <w:spacing w:after="0"/>
              <w:rPr>
                <w:sz w:val="16"/>
                <w:szCs w:val="16"/>
                <w:color w:val="auto"/>
              </w:rPr>
            </w:pPr>
          </w:p>
        </w:tc>
      </w:tr>
      <w:tr>
        <w:trPr>
          <w:trHeight w:val="195"/>
        </w:trPr>
        <w:tc>
          <w:tcPr>
            <w:tcW w:w="1620" w:type="dxa"/>
            <w:vAlign w:val="bottom"/>
            <w:tcBorders>
              <w:right w:val="single" w:sz="8" w:color="auto"/>
            </w:tcBorders>
          </w:tcPr>
          <w:p>
            <w:pPr>
              <w:spacing w:after="0"/>
              <w:rPr>
                <w:sz w:val="16"/>
                <w:szCs w:val="16"/>
                <w:color w:val="auto"/>
              </w:rPr>
            </w:pPr>
          </w:p>
        </w:tc>
        <w:tc>
          <w:tcPr>
            <w:tcW w:w="2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Operating Disbursements</w:t>
            </w:r>
          </w:p>
        </w:tc>
        <w:tc>
          <w:tcPr>
            <w:tcW w:w="3840" w:type="dxa"/>
            <w:vAlign w:val="bottom"/>
            <w:tcBorders>
              <w:right w:val="single" w:sz="8" w:color="auto"/>
            </w:tcBorders>
          </w:tcPr>
          <w:p>
            <w:pPr>
              <w:jc w:val="right"/>
              <w:ind w:right="37"/>
              <w:spacing w:after="0"/>
              <w:rPr>
                <w:sz w:val="20"/>
                <w:szCs w:val="20"/>
                <w:color w:val="auto"/>
              </w:rPr>
            </w:pPr>
            <w:r>
              <w:rPr>
                <w:rFonts w:ascii="Times New Roman" w:cs="Times New Roman" w:eastAsia="Times New Roman" w:hAnsi="Times New Roman"/>
                <w:sz w:val="16"/>
                <w:szCs w:val="16"/>
                <w:color w:val="auto"/>
              </w:rPr>
              <w:t>(697)</w:t>
            </w:r>
          </w:p>
        </w:tc>
        <w:tc>
          <w:tcPr>
            <w:tcW w:w="2320" w:type="dxa"/>
            <w:vAlign w:val="bottom"/>
          </w:tcPr>
          <w:p>
            <w:pPr>
              <w:spacing w:after="0"/>
              <w:rPr>
                <w:sz w:val="16"/>
                <w:szCs w:val="16"/>
                <w:color w:val="auto"/>
              </w:rPr>
            </w:pPr>
          </w:p>
        </w:tc>
      </w:tr>
      <w:tr>
        <w:trPr>
          <w:trHeight w:val="216"/>
        </w:trPr>
        <w:tc>
          <w:tcPr>
            <w:tcW w:w="1620" w:type="dxa"/>
            <w:vAlign w:val="bottom"/>
            <w:tcBorders>
              <w:right w:val="single" w:sz="8" w:color="auto"/>
            </w:tcBorders>
          </w:tcPr>
          <w:p>
            <w:pPr>
              <w:spacing w:after="0"/>
              <w:rPr>
                <w:sz w:val="18"/>
                <w:szCs w:val="18"/>
                <w:color w:val="auto"/>
              </w:rPr>
            </w:pPr>
          </w:p>
        </w:tc>
        <w:tc>
          <w:tcPr>
            <w:tcW w:w="29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Other Non-Operating Disbursements</w:t>
            </w:r>
          </w:p>
        </w:tc>
        <w:tc>
          <w:tcPr>
            <w:tcW w:w="3840" w:type="dxa"/>
            <w:vAlign w:val="bottom"/>
            <w:tcBorders>
              <w:bottom w:val="single" w:sz="8" w:color="auto"/>
              <w:right w:val="single" w:sz="8" w:color="auto"/>
            </w:tcBorders>
          </w:tcPr>
          <w:p>
            <w:pPr>
              <w:jc w:val="right"/>
              <w:ind w:right="37"/>
              <w:spacing w:after="0"/>
              <w:rPr>
                <w:sz w:val="20"/>
                <w:szCs w:val="20"/>
                <w:color w:val="auto"/>
              </w:rPr>
            </w:pPr>
            <w:r>
              <w:rPr>
                <w:rFonts w:ascii="Times New Roman" w:cs="Times New Roman" w:eastAsia="Times New Roman" w:hAnsi="Times New Roman"/>
                <w:sz w:val="16"/>
                <w:szCs w:val="16"/>
                <w:color w:val="auto"/>
              </w:rPr>
              <w:t>(313)</w:t>
            </w:r>
          </w:p>
        </w:tc>
        <w:tc>
          <w:tcPr>
            <w:tcW w:w="2320" w:type="dxa"/>
            <w:vAlign w:val="bottom"/>
          </w:tcPr>
          <w:p>
            <w:pPr>
              <w:spacing w:after="0"/>
              <w:rPr>
                <w:sz w:val="18"/>
                <w:szCs w:val="18"/>
                <w:color w:val="auto"/>
              </w:rPr>
            </w:pPr>
          </w:p>
        </w:tc>
      </w:tr>
      <w:tr>
        <w:trPr>
          <w:trHeight w:val="195"/>
        </w:trPr>
        <w:tc>
          <w:tcPr>
            <w:tcW w:w="1620" w:type="dxa"/>
            <w:vAlign w:val="bottom"/>
            <w:tcBorders>
              <w:right w:val="single" w:sz="8" w:color="auto"/>
            </w:tcBorders>
          </w:tcPr>
          <w:p>
            <w:pPr>
              <w:spacing w:after="0"/>
              <w:rPr>
                <w:sz w:val="16"/>
                <w:szCs w:val="16"/>
                <w:color w:val="auto"/>
              </w:rPr>
            </w:pPr>
          </w:p>
        </w:tc>
        <w:tc>
          <w:tcPr>
            <w:tcW w:w="292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TOTAL DISBURSEMENTS</w:t>
            </w:r>
          </w:p>
        </w:tc>
        <w:tc>
          <w:tcPr>
            <w:tcW w:w="3840" w:type="dxa"/>
            <w:vAlign w:val="bottom"/>
            <w:tcBorders>
              <w:right w:val="single" w:sz="8" w:color="auto"/>
            </w:tcBorders>
          </w:tcPr>
          <w:p>
            <w:pPr>
              <w:jc w:val="right"/>
              <w:ind w:right="37"/>
              <w:spacing w:after="0"/>
              <w:rPr>
                <w:sz w:val="20"/>
                <w:szCs w:val="20"/>
                <w:color w:val="auto"/>
              </w:rPr>
            </w:pPr>
            <w:r>
              <w:rPr>
                <w:rFonts w:ascii="Times New Roman" w:cs="Times New Roman" w:eastAsia="Times New Roman" w:hAnsi="Times New Roman"/>
                <w:sz w:val="16"/>
                <w:szCs w:val="16"/>
                <w:b w:val="1"/>
                <w:bCs w:val="1"/>
                <w:color w:val="auto"/>
              </w:rPr>
              <w:t>(1,010)</w:t>
            </w:r>
          </w:p>
        </w:tc>
        <w:tc>
          <w:tcPr>
            <w:tcW w:w="2320" w:type="dxa"/>
            <w:vAlign w:val="bottom"/>
          </w:tcPr>
          <w:p>
            <w:pPr>
              <w:spacing w:after="0"/>
              <w:rPr>
                <w:sz w:val="16"/>
                <w:szCs w:val="16"/>
                <w:color w:val="auto"/>
              </w:rPr>
            </w:pPr>
          </w:p>
        </w:tc>
      </w:tr>
      <w:tr>
        <w:trPr>
          <w:trHeight w:val="195"/>
        </w:trPr>
        <w:tc>
          <w:tcPr>
            <w:tcW w:w="1620" w:type="dxa"/>
            <w:vAlign w:val="bottom"/>
            <w:tcBorders>
              <w:right w:val="single" w:sz="8" w:color="auto"/>
            </w:tcBorders>
          </w:tcPr>
          <w:p>
            <w:pPr>
              <w:spacing w:after="0"/>
              <w:rPr>
                <w:sz w:val="16"/>
                <w:szCs w:val="16"/>
                <w:color w:val="auto"/>
              </w:rPr>
            </w:pPr>
          </w:p>
        </w:tc>
        <w:tc>
          <w:tcPr>
            <w:tcW w:w="2920" w:type="dxa"/>
            <w:vAlign w:val="bottom"/>
            <w:shd w:val="clear" w:color="auto" w:fill="BFBFBF"/>
          </w:tcPr>
          <w:p>
            <w:pPr>
              <w:spacing w:after="0"/>
              <w:rPr>
                <w:sz w:val="16"/>
                <w:szCs w:val="16"/>
                <w:color w:val="auto"/>
              </w:rPr>
            </w:pPr>
          </w:p>
        </w:tc>
        <w:tc>
          <w:tcPr>
            <w:tcW w:w="3840" w:type="dxa"/>
            <w:vAlign w:val="bottom"/>
            <w:tcBorders>
              <w:right w:val="single" w:sz="8" w:color="auto"/>
            </w:tcBorders>
            <w:shd w:val="clear" w:color="auto" w:fill="BFBFBF"/>
          </w:tcPr>
          <w:p>
            <w:pPr>
              <w:spacing w:after="0"/>
              <w:rPr>
                <w:sz w:val="16"/>
                <w:szCs w:val="16"/>
                <w:color w:val="auto"/>
              </w:rPr>
            </w:pPr>
          </w:p>
        </w:tc>
        <w:tc>
          <w:tcPr>
            <w:tcW w:w="2320" w:type="dxa"/>
            <w:vAlign w:val="bottom"/>
          </w:tcPr>
          <w:p>
            <w:pPr>
              <w:spacing w:after="0"/>
              <w:rPr>
                <w:sz w:val="16"/>
                <w:szCs w:val="16"/>
                <w:color w:val="auto"/>
              </w:rPr>
            </w:pPr>
          </w:p>
        </w:tc>
      </w:tr>
      <w:tr>
        <w:trPr>
          <w:trHeight w:val="179"/>
        </w:trPr>
        <w:tc>
          <w:tcPr>
            <w:tcW w:w="1620" w:type="dxa"/>
            <w:vAlign w:val="bottom"/>
            <w:tcBorders>
              <w:right w:val="single" w:sz="8" w:color="auto"/>
            </w:tcBorders>
          </w:tcPr>
          <w:p>
            <w:pPr>
              <w:spacing w:after="0"/>
              <w:rPr>
                <w:sz w:val="15"/>
                <w:szCs w:val="15"/>
                <w:color w:val="auto"/>
              </w:rPr>
            </w:pPr>
          </w:p>
        </w:tc>
        <w:tc>
          <w:tcPr>
            <w:tcW w:w="2920" w:type="dxa"/>
            <w:vAlign w:val="bottom"/>
          </w:tcPr>
          <w:p>
            <w:pPr>
              <w:ind w:left="120"/>
              <w:spacing w:after="0" w:line="178" w:lineRule="exact"/>
              <w:rPr>
                <w:sz w:val="20"/>
                <w:szCs w:val="20"/>
                <w:color w:val="auto"/>
              </w:rPr>
            </w:pPr>
            <w:r>
              <w:rPr>
                <w:rFonts w:ascii="Times New Roman" w:cs="Times New Roman" w:eastAsia="Times New Roman" w:hAnsi="Times New Roman"/>
                <w:sz w:val="16"/>
                <w:szCs w:val="16"/>
                <w:b w:val="1"/>
                <w:bCs w:val="1"/>
                <w:color w:val="auto"/>
              </w:rPr>
              <w:t>NET CASH FLOW</w:t>
            </w:r>
          </w:p>
        </w:tc>
        <w:tc>
          <w:tcPr>
            <w:tcW w:w="3840" w:type="dxa"/>
            <w:vAlign w:val="bottom"/>
            <w:tcBorders>
              <w:right w:val="single" w:sz="8" w:color="auto"/>
            </w:tcBorders>
          </w:tcPr>
          <w:p>
            <w:pPr>
              <w:spacing w:after="0"/>
              <w:rPr>
                <w:sz w:val="15"/>
                <w:szCs w:val="15"/>
                <w:color w:val="auto"/>
              </w:rPr>
            </w:pPr>
          </w:p>
        </w:tc>
        <w:tc>
          <w:tcPr>
            <w:tcW w:w="2320" w:type="dxa"/>
            <w:vAlign w:val="bottom"/>
          </w:tcPr>
          <w:p>
            <w:pPr>
              <w:spacing w:after="0"/>
              <w:rPr>
                <w:sz w:val="15"/>
                <w:szCs w:val="15"/>
                <w:color w:val="auto"/>
              </w:rPr>
            </w:pPr>
          </w:p>
        </w:tc>
      </w:tr>
      <w:tr>
        <w:trPr>
          <w:trHeight w:val="211"/>
        </w:trPr>
        <w:tc>
          <w:tcPr>
            <w:tcW w:w="1620" w:type="dxa"/>
            <w:vAlign w:val="bottom"/>
            <w:tcBorders>
              <w:right w:val="single" w:sz="8" w:color="auto"/>
            </w:tcBorders>
          </w:tcPr>
          <w:p>
            <w:pPr>
              <w:spacing w:after="0"/>
              <w:rPr>
                <w:sz w:val="18"/>
                <w:szCs w:val="18"/>
                <w:color w:val="auto"/>
              </w:rPr>
            </w:pPr>
          </w:p>
        </w:tc>
        <w:tc>
          <w:tcPr>
            <w:tcW w:w="2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(RECEIPTS LESS DISBURSEMENTS)</w:t>
            </w:r>
          </w:p>
        </w:tc>
        <w:tc>
          <w:tcPr>
            <w:tcW w:w="3840" w:type="dxa"/>
            <w:vAlign w:val="bottom"/>
            <w:tcBorders>
              <w:right w:val="single" w:sz="8" w:color="auto"/>
            </w:tcBorders>
          </w:tcPr>
          <w:p>
            <w:pPr>
              <w:jc w:val="right"/>
              <w:ind w:right="77"/>
              <w:spacing w:after="0"/>
              <w:rPr>
                <w:sz w:val="20"/>
                <w:szCs w:val="20"/>
                <w:color w:val="auto"/>
              </w:rPr>
            </w:pPr>
            <w:r>
              <w:rPr>
                <w:rFonts w:ascii="Times New Roman" w:cs="Times New Roman" w:eastAsia="Times New Roman" w:hAnsi="Times New Roman"/>
                <w:sz w:val="16"/>
                <w:szCs w:val="16"/>
                <w:color w:val="auto"/>
              </w:rPr>
              <w:t>39,239</w:t>
            </w:r>
          </w:p>
        </w:tc>
        <w:tc>
          <w:tcPr>
            <w:tcW w:w="2320" w:type="dxa"/>
            <w:vAlign w:val="bottom"/>
          </w:tcPr>
          <w:p>
            <w:pPr>
              <w:spacing w:after="0"/>
              <w:rPr>
                <w:sz w:val="18"/>
                <w:szCs w:val="18"/>
                <w:color w:val="auto"/>
              </w:rPr>
            </w:pPr>
          </w:p>
        </w:tc>
      </w:tr>
      <w:tr>
        <w:trPr>
          <w:trHeight w:val="195"/>
        </w:trPr>
        <w:tc>
          <w:tcPr>
            <w:tcW w:w="1620" w:type="dxa"/>
            <w:vAlign w:val="bottom"/>
            <w:tcBorders>
              <w:right w:val="single" w:sz="8" w:color="auto"/>
            </w:tcBorders>
          </w:tcPr>
          <w:p>
            <w:pPr>
              <w:spacing w:after="0"/>
              <w:rPr>
                <w:sz w:val="16"/>
                <w:szCs w:val="16"/>
                <w:color w:val="auto"/>
              </w:rPr>
            </w:pPr>
          </w:p>
        </w:tc>
        <w:tc>
          <w:tcPr>
            <w:tcW w:w="2920" w:type="dxa"/>
            <w:vAlign w:val="bottom"/>
            <w:shd w:val="clear" w:color="auto" w:fill="BFBFBF"/>
          </w:tcPr>
          <w:p>
            <w:pPr>
              <w:spacing w:after="0"/>
              <w:rPr>
                <w:sz w:val="16"/>
                <w:szCs w:val="16"/>
                <w:color w:val="auto"/>
              </w:rPr>
            </w:pPr>
          </w:p>
        </w:tc>
        <w:tc>
          <w:tcPr>
            <w:tcW w:w="3840" w:type="dxa"/>
            <w:vAlign w:val="bottom"/>
            <w:tcBorders>
              <w:right w:val="single" w:sz="8" w:color="auto"/>
            </w:tcBorders>
            <w:shd w:val="clear" w:color="auto" w:fill="BFBFBF"/>
          </w:tcPr>
          <w:p>
            <w:pPr>
              <w:spacing w:after="0"/>
              <w:rPr>
                <w:sz w:val="16"/>
                <w:szCs w:val="16"/>
                <w:color w:val="auto"/>
              </w:rPr>
            </w:pPr>
          </w:p>
        </w:tc>
        <w:tc>
          <w:tcPr>
            <w:tcW w:w="2320" w:type="dxa"/>
            <w:vAlign w:val="bottom"/>
          </w:tcPr>
          <w:p>
            <w:pPr>
              <w:spacing w:after="0"/>
              <w:rPr>
                <w:sz w:val="16"/>
                <w:szCs w:val="16"/>
                <w:color w:val="auto"/>
              </w:rPr>
            </w:pPr>
          </w:p>
        </w:tc>
      </w:tr>
      <w:tr>
        <w:trPr>
          <w:trHeight w:val="199"/>
        </w:trPr>
        <w:tc>
          <w:tcPr>
            <w:tcW w:w="1620" w:type="dxa"/>
            <w:vAlign w:val="bottom"/>
            <w:tcBorders>
              <w:right w:val="single" w:sz="8" w:color="auto"/>
            </w:tcBorders>
          </w:tcPr>
          <w:p>
            <w:pPr>
              <w:spacing w:after="0"/>
              <w:rPr>
                <w:sz w:val="17"/>
                <w:szCs w:val="17"/>
                <w:color w:val="auto"/>
              </w:rPr>
            </w:pPr>
          </w:p>
        </w:tc>
        <w:tc>
          <w:tcPr>
            <w:tcW w:w="29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CASH - END OF MONTH</w:t>
            </w:r>
          </w:p>
        </w:tc>
        <w:tc>
          <w:tcPr>
            <w:tcW w:w="3840" w:type="dxa"/>
            <w:vAlign w:val="bottom"/>
            <w:tcBorders>
              <w:bottom w:val="single" w:sz="8" w:color="auto"/>
              <w:right w:val="single" w:sz="8" w:color="auto"/>
            </w:tcBorders>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rPr>
              <w:t>3,053,119</w:t>
            </w:r>
          </w:p>
        </w:tc>
        <w:tc>
          <w:tcPr>
            <w:tcW w:w="2320" w:type="dxa"/>
            <w:vAlign w:val="bottom"/>
          </w:tcPr>
          <w:p>
            <w:pPr>
              <w:spacing w:after="0"/>
              <w:rPr>
                <w:sz w:val="17"/>
                <w:szCs w:val="17"/>
                <w:color w:val="auto"/>
              </w:rPr>
            </w:pPr>
          </w:p>
        </w:tc>
      </w:tr>
    </w:tbl>
    <w:p>
      <w:pPr>
        <w:spacing w:after="0"/>
        <w:rPr>
          <w:sz w:val="20"/>
          <w:szCs w:val="20"/>
          <w:color w:val="auto"/>
        </w:rPr>
        <w:sectPr>
          <w:pgSz w:w="11900" w:h="16838" w:orient="portrait"/>
          <w:cols w:equalWidth="0" w:num="1">
            <w:col w:w="10700"/>
          </w:cols>
          <w:pgMar w:left="960" w:top="230" w:right="239" w:bottom="1440" w:gutter="0" w:footer="0" w:header="0"/>
        </w:sect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186295" cy="36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295" cy="36195"/>
                    </a:xfrm>
                    <a:prstGeom prst="rect">
                      <a:avLst/>
                    </a:prstGeom>
                    <a:noFill/>
                  </pic:spPr>
                </pic:pic>
              </a:graphicData>
            </a:graphic>
          </wp:anchor>
        </w:drawing>
      </w:r>
    </w:p>
    <w:bookmarkStart w:id="19" w:name="page20"/>
    <w:bookmarkEnd w:id="19"/>
    <w:tbl>
      <w:tblPr>
        <w:tblLayout w:type="fixed"/>
        <w:tblInd w:w="0" w:type="dxa"/>
        <w:tblCellMar>
          <w:top w:w="0" w:type="dxa"/>
          <w:left w:w="0" w:type="dxa"/>
          <w:bottom w:w="0" w:type="dxa"/>
          <w:right w:w="0" w:type="dxa"/>
        </w:tblCellMar>
      </w:tblPr>
      <w:tr>
        <w:trPr>
          <w:trHeight w:val="230"/>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 xml:space="preserve">In re Clearside Biomedical, Inc.       </w:t>
            </w:r>
            <w:r>
              <w:rPr>
                <w:rFonts w:ascii="Times New Roman" w:cs="Times New Roman" w:eastAsia="Times New Roman" w:hAnsi="Times New Roman"/>
                <w:sz w:val="19"/>
                <w:szCs w:val="19"/>
                <w:color w:val="auto"/>
                <w:w w:val="97"/>
              </w:rPr>
              <w:t>Case 25-12109-TMH   Doc 115   Filed 12/23/25 </w:t>
            </w:r>
          </w:p>
        </w:tc>
        <w:tc>
          <w:tcPr>
            <w:tcW w:w="1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Page 16 of 18</w:t>
            </w:r>
          </w:p>
        </w:tc>
        <w:tc>
          <w:tcPr>
            <w:tcW w:w="232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Case No. 2</w:t>
            </w:r>
          </w:p>
        </w:tc>
      </w:tr>
      <w:tr>
        <w:trPr>
          <w:trHeight w:val="233"/>
        </w:trPr>
        <w:tc>
          <w:tcPr>
            <w:tcW w:w="6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Debtor</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23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Reporting Period: 11/23/25 to 1</w:t>
            </w:r>
          </w:p>
        </w:tc>
      </w:tr>
      <w:tr>
        <w:trPr>
          <w:trHeight w:val="591"/>
        </w:trPr>
        <w:tc>
          <w:tcPr>
            <w:tcW w:w="1620" w:type="dxa"/>
            <w:vAlign w:val="bottom"/>
          </w:tcPr>
          <w:p>
            <w:pPr>
              <w:spacing w:after="0"/>
              <w:rPr>
                <w:sz w:val="24"/>
                <w:szCs w:val="24"/>
                <w:color w:val="auto"/>
              </w:rPr>
            </w:pPr>
          </w:p>
        </w:tc>
        <w:tc>
          <w:tcPr>
            <w:tcW w:w="5120" w:type="dxa"/>
            <w:vAlign w:val="bottom"/>
          </w:tcPr>
          <w:p>
            <w:pPr>
              <w:ind w:left="2100"/>
              <w:spacing w:after="0"/>
              <w:rPr>
                <w:sz w:val="20"/>
                <w:szCs w:val="20"/>
                <w:color w:val="auto"/>
              </w:rPr>
            </w:pPr>
            <w:r>
              <w:rPr>
                <w:rFonts w:ascii="Times New Roman" w:cs="Times New Roman" w:eastAsia="Times New Roman" w:hAnsi="Times New Roman"/>
                <w:sz w:val="16"/>
                <w:szCs w:val="16"/>
                <w:b w:val="1"/>
                <w:bCs w:val="1"/>
                <w:color w:val="auto"/>
              </w:rPr>
              <w:t>BALANCE SHEET (UNAUDITED)</w:t>
            </w:r>
          </w:p>
        </w:tc>
        <w:tc>
          <w:tcPr>
            <w:tcW w:w="16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25"/>
        </w:trPr>
        <w:tc>
          <w:tcPr>
            <w:tcW w:w="1620" w:type="dxa"/>
            <w:vAlign w:val="bottom"/>
          </w:tcPr>
          <w:p>
            <w:pPr>
              <w:spacing w:after="0"/>
              <w:rPr>
                <w:sz w:val="19"/>
                <w:szCs w:val="19"/>
                <w:color w:val="auto"/>
              </w:rPr>
            </w:pPr>
          </w:p>
        </w:tc>
        <w:tc>
          <w:tcPr>
            <w:tcW w:w="5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2320" w:type="dxa"/>
            <w:vAlign w:val="bottom"/>
          </w:tcPr>
          <w:p>
            <w:pPr>
              <w:spacing w:after="0"/>
              <w:rPr>
                <w:sz w:val="19"/>
                <w:szCs w:val="19"/>
                <w:color w:val="auto"/>
              </w:rPr>
            </w:pPr>
          </w:p>
        </w:tc>
      </w:tr>
      <w:tr>
        <w:trPr>
          <w:trHeight w:val="195"/>
        </w:trPr>
        <w:tc>
          <w:tcPr>
            <w:tcW w:w="1620" w:type="dxa"/>
            <w:vAlign w:val="bottom"/>
            <w:tcBorders>
              <w:right w:val="single" w:sz="8" w:color="auto"/>
            </w:tcBorders>
          </w:tcPr>
          <w:p>
            <w:pPr>
              <w:spacing w:after="0"/>
              <w:rPr>
                <w:sz w:val="16"/>
                <w:szCs w:val="16"/>
                <w:color w:val="auto"/>
              </w:rPr>
            </w:pPr>
          </w:p>
        </w:tc>
        <w:tc>
          <w:tcPr>
            <w:tcW w:w="5120" w:type="dxa"/>
            <w:vAlign w:val="bottom"/>
            <w:shd w:val="clear" w:color="auto" w:fill="BFBFBF"/>
          </w:tcPr>
          <w:p>
            <w:pPr>
              <w:ind w:left="120"/>
              <w:spacing w:after="0"/>
              <w:rPr>
                <w:sz w:val="20"/>
                <w:szCs w:val="20"/>
                <w:color w:val="auto"/>
              </w:rPr>
            </w:pPr>
            <w:r>
              <w:rPr>
                <w:rFonts w:ascii="Times New Roman" w:cs="Times New Roman" w:eastAsia="Times New Roman" w:hAnsi="Times New Roman"/>
                <w:sz w:val="16"/>
                <w:szCs w:val="16"/>
                <w:b w:val="1"/>
                <w:bCs w:val="1"/>
                <w:color w:val="auto"/>
              </w:rPr>
              <w:t>Line Item</w:t>
            </w:r>
          </w:p>
        </w:tc>
        <w:tc>
          <w:tcPr>
            <w:tcW w:w="1640" w:type="dxa"/>
            <w:vAlign w:val="bottom"/>
            <w:tcBorders>
              <w:right w:val="single" w:sz="8" w:color="auto"/>
            </w:tcBorders>
            <w:shd w:val="clear" w:color="auto" w:fill="BFBFBF"/>
          </w:tcPr>
          <w:p>
            <w:pPr>
              <w:ind w:left="80"/>
              <w:spacing w:after="0"/>
              <w:rPr>
                <w:sz w:val="20"/>
                <w:szCs w:val="20"/>
                <w:color w:val="auto"/>
              </w:rPr>
            </w:pPr>
            <w:r>
              <w:rPr>
                <w:rFonts w:ascii="Times New Roman" w:cs="Times New Roman" w:eastAsia="Times New Roman" w:hAnsi="Times New Roman"/>
                <w:sz w:val="16"/>
                <w:szCs w:val="16"/>
                <w:b w:val="1"/>
                <w:bCs w:val="1"/>
                <w:color w:val="auto"/>
              </w:rPr>
              <w:t xml:space="preserve">Current Period    </w:t>
            </w:r>
          </w:p>
        </w:tc>
        <w:tc>
          <w:tcPr>
            <w:tcW w:w="2320" w:type="dxa"/>
            <w:vAlign w:val="bottom"/>
          </w:tcPr>
          <w:p>
            <w:pPr>
              <w:spacing w:after="0"/>
              <w:rPr>
                <w:sz w:val="16"/>
                <w:szCs w:val="16"/>
                <w:color w:val="auto"/>
              </w:rPr>
            </w:pPr>
          </w:p>
        </w:tc>
      </w:tr>
      <w:tr>
        <w:trPr>
          <w:trHeight w:val="195"/>
        </w:trPr>
        <w:tc>
          <w:tcPr>
            <w:tcW w:w="1620" w:type="dxa"/>
            <w:vAlign w:val="bottom"/>
            <w:tcBorders>
              <w:right w:val="single" w:sz="8" w:color="auto"/>
            </w:tcBorders>
          </w:tcPr>
          <w:p>
            <w:pPr>
              <w:spacing w:after="0"/>
              <w:rPr>
                <w:sz w:val="16"/>
                <w:szCs w:val="16"/>
                <w:color w:val="auto"/>
              </w:rPr>
            </w:pPr>
          </w:p>
        </w:tc>
        <w:tc>
          <w:tcPr>
            <w:tcW w:w="5120" w:type="dxa"/>
            <w:vAlign w:val="bottom"/>
            <w:shd w:val="clear" w:color="auto" w:fill="BFBFBF"/>
          </w:tcPr>
          <w:p>
            <w:pPr>
              <w:ind w:left="1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40" w:type="dxa"/>
            <w:vAlign w:val="bottom"/>
            <w:tcBorders>
              <w:right w:val="single" w:sz="8" w:color="auto"/>
            </w:tcBorders>
            <w:shd w:val="clear" w:color="auto" w:fill="BFBFBF"/>
          </w:tcPr>
          <w:p>
            <w:pPr>
              <w:spacing w:after="0"/>
              <w:rPr>
                <w:sz w:val="16"/>
                <w:szCs w:val="16"/>
                <w:color w:val="auto"/>
              </w:rPr>
            </w:pPr>
          </w:p>
        </w:tc>
        <w:tc>
          <w:tcPr>
            <w:tcW w:w="2320" w:type="dxa"/>
            <w:vAlign w:val="bottom"/>
          </w:tcPr>
          <w:p>
            <w:pPr>
              <w:spacing w:after="0"/>
              <w:rPr>
                <w:sz w:val="16"/>
                <w:szCs w:val="16"/>
                <w:color w:val="auto"/>
              </w:rPr>
            </w:pPr>
          </w:p>
        </w:tc>
      </w:tr>
      <w:tr>
        <w:trPr>
          <w:trHeight w:val="179"/>
        </w:trPr>
        <w:tc>
          <w:tcPr>
            <w:tcW w:w="1620" w:type="dxa"/>
            <w:vAlign w:val="bottom"/>
            <w:tcBorders>
              <w:right w:val="single" w:sz="8" w:color="auto"/>
            </w:tcBorders>
          </w:tcPr>
          <w:p>
            <w:pPr>
              <w:spacing w:after="0"/>
              <w:rPr>
                <w:sz w:val="15"/>
                <w:szCs w:val="15"/>
                <w:color w:val="auto"/>
              </w:rPr>
            </w:pPr>
          </w:p>
        </w:tc>
        <w:tc>
          <w:tcPr>
            <w:tcW w:w="5120" w:type="dxa"/>
            <w:vAlign w:val="bottom"/>
          </w:tcPr>
          <w:p>
            <w:pPr>
              <w:ind w:left="120"/>
              <w:spacing w:after="0" w:line="178" w:lineRule="exact"/>
              <w:rPr>
                <w:sz w:val="20"/>
                <w:szCs w:val="20"/>
                <w:color w:val="auto"/>
              </w:rPr>
            </w:pPr>
            <w:r>
              <w:rPr>
                <w:rFonts w:ascii="Times New Roman" w:cs="Times New Roman" w:eastAsia="Times New Roman" w:hAnsi="Times New Roman"/>
                <w:sz w:val="16"/>
                <w:szCs w:val="16"/>
                <w:color w:val="auto"/>
              </w:rPr>
              <w:t>Cash</w:t>
            </w:r>
          </w:p>
        </w:tc>
        <w:tc>
          <w:tcPr>
            <w:tcW w:w="1640" w:type="dxa"/>
            <w:vAlign w:val="bottom"/>
            <w:tcBorders>
              <w:right w:val="single" w:sz="8" w:color="auto"/>
            </w:tcBorders>
          </w:tcPr>
          <w:p>
            <w:pPr>
              <w:jc w:val="right"/>
              <w:ind w:right="78"/>
              <w:spacing w:after="0" w:line="178" w:lineRule="exact"/>
              <w:rPr>
                <w:sz w:val="20"/>
                <w:szCs w:val="20"/>
                <w:color w:val="auto"/>
              </w:rPr>
            </w:pPr>
            <w:r>
              <w:rPr>
                <w:rFonts w:ascii="Times New Roman" w:cs="Times New Roman" w:eastAsia="Times New Roman" w:hAnsi="Times New Roman"/>
                <w:sz w:val="16"/>
                <w:szCs w:val="16"/>
                <w:color w:val="auto"/>
              </w:rPr>
              <w:t>3,053,119</w:t>
            </w:r>
          </w:p>
        </w:tc>
        <w:tc>
          <w:tcPr>
            <w:tcW w:w="2320" w:type="dxa"/>
            <w:vAlign w:val="bottom"/>
          </w:tcPr>
          <w:p>
            <w:pPr>
              <w:spacing w:after="0"/>
              <w:rPr>
                <w:sz w:val="15"/>
                <w:szCs w:val="15"/>
                <w:color w:val="auto"/>
              </w:rPr>
            </w:pPr>
          </w:p>
        </w:tc>
      </w:tr>
      <w:tr>
        <w:trPr>
          <w:trHeight w:val="195"/>
        </w:trPr>
        <w:tc>
          <w:tcPr>
            <w:tcW w:w="1620" w:type="dxa"/>
            <w:vAlign w:val="bottom"/>
            <w:tcBorders>
              <w:right w:val="single" w:sz="8" w:color="auto"/>
            </w:tcBorders>
          </w:tcPr>
          <w:p>
            <w:pPr>
              <w:spacing w:after="0"/>
              <w:rPr>
                <w:sz w:val="16"/>
                <w:szCs w:val="16"/>
                <w:color w:val="auto"/>
              </w:rPr>
            </w:pPr>
          </w:p>
        </w:tc>
        <w:tc>
          <w:tcPr>
            <w:tcW w:w="5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Receivable</w:t>
            </w:r>
          </w:p>
        </w:tc>
        <w:tc>
          <w:tcPr>
            <w:tcW w:w="1640" w:type="dxa"/>
            <w:vAlign w:val="bottom"/>
            <w:tcBorders>
              <w:right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rPr>
              <w:t>39,926</w:t>
            </w:r>
          </w:p>
        </w:tc>
        <w:tc>
          <w:tcPr>
            <w:tcW w:w="2320" w:type="dxa"/>
            <w:vAlign w:val="bottom"/>
          </w:tcPr>
          <w:p>
            <w:pPr>
              <w:spacing w:after="0"/>
              <w:rPr>
                <w:sz w:val="16"/>
                <w:szCs w:val="16"/>
                <w:color w:val="auto"/>
              </w:rPr>
            </w:pPr>
          </w:p>
        </w:tc>
      </w:tr>
      <w:tr>
        <w:trPr>
          <w:trHeight w:val="195"/>
        </w:trPr>
        <w:tc>
          <w:tcPr>
            <w:tcW w:w="1620" w:type="dxa"/>
            <w:vAlign w:val="bottom"/>
            <w:tcBorders>
              <w:right w:val="single" w:sz="8" w:color="auto"/>
            </w:tcBorders>
          </w:tcPr>
          <w:p>
            <w:pPr>
              <w:spacing w:after="0"/>
              <w:rPr>
                <w:sz w:val="16"/>
                <w:szCs w:val="16"/>
                <w:color w:val="auto"/>
              </w:rPr>
            </w:pPr>
          </w:p>
        </w:tc>
        <w:tc>
          <w:tcPr>
            <w:tcW w:w="5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Prepaid Expenses</w:t>
            </w:r>
          </w:p>
        </w:tc>
        <w:tc>
          <w:tcPr>
            <w:tcW w:w="1640" w:type="dxa"/>
            <w:vAlign w:val="bottom"/>
            <w:tcBorders>
              <w:right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rPr>
              <w:t>2,211,180</w:t>
            </w:r>
          </w:p>
        </w:tc>
        <w:tc>
          <w:tcPr>
            <w:tcW w:w="2320" w:type="dxa"/>
            <w:vAlign w:val="bottom"/>
          </w:tcPr>
          <w:p>
            <w:pPr>
              <w:spacing w:after="0"/>
              <w:rPr>
                <w:sz w:val="16"/>
                <w:szCs w:val="16"/>
                <w:color w:val="auto"/>
              </w:rPr>
            </w:pPr>
          </w:p>
        </w:tc>
      </w:tr>
      <w:tr>
        <w:trPr>
          <w:trHeight w:val="216"/>
        </w:trPr>
        <w:tc>
          <w:tcPr>
            <w:tcW w:w="1620" w:type="dxa"/>
            <w:vAlign w:val="bottom"/>
            <w:tcBorders>
              <w:right w:val="single" w:sz="8" w:color="auto"/>
            </w:tcBorders>
          </w:tcPr>
          <w:p>
            <w:pPr>
              <w:spacing w:after="0"/>
              <w:rPr>
                <w:sz w:val="18"/>
                <w:szCs w:val="18"/>
                <w:color w:val="auto"/>
              </w:rPr>
            </w:pPr>
          </w:p>
        </w:tc>
        <w:tc>
          <w:tcPr>
            <w:tcW w:w="51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Intercompany Receivables (Payables)</w:t>
            </w:r>
          </w:p>
        </w:tc>
        <w:tc>
          <w:tcPr>
            <w:tcW w:w="164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(30,041,522)</w:t>
            </w:r>
          </w:p>
        </w:tc>
        <w:tc>
          <w:tcPr>
            <w:tcW w:w="2320" w:type="dxa"/>
            <w:vAlign w:val="bottom"/>
          </w:tcPr>
          <w:p>
            <w:pPr>
              <w:spacing w:after="0"/>
              <w:rPr>
                <w:sz w:val="18"/>
                <w:szCs w:val="18"/>
                <w:color w:val="auto"/>
              </w:rPr>
            </w:pPr>
          </w:p>
        </w:tc>
      </w:tr>
      <w:tr>
        <w:trPr>
          <w:trHeight w:val="213"/>
        </w:trPr>
        <w:tc>
          <w:tcPr>
            <w:tcW w:w="1620" w:type="dxa"/>
            <w:vAlign w:val="bottom"/>
            <w:tcBorders>
              <w:right w:val="single" w:sz="8" w:color="auto"/>
            </w:tcBorders>
          </w:tcPr>
          <w:p>
            <w:pPr>
              <w:spacing w:after="0"/>
              <w:rPr>
                <w:sz w:val="18"/>
                <w:szCs w:val="18"/>
                <w:color w:val="auto"/>
              </w:rPr>
            </w:pPr>
          </w:p>
        </w:tc>
        <w:tc>
          <w:tcPr>
            <w:tcW w:w="51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640" w:type="dxa"/>
            <w:vAlign w:val="bottom"/>
            <w:tcBorders>
              <w:right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(24,737,296)</w:t>
            </w:r>
          </w:p>
        </w:tc>
        <w:tc>
          <w:tcPr>
            <w:tcW w:w="2320" w:type="dxa"/>
            <w:vAlign w:val="bottom"/>
          </w:tcPr>
          <w:p>
            <w:pPr>
              <w:spacing w:after="0"/>
              <w:rPr>
                <w:sz w:val="18"/>
                <w:szCs w:val="18"/>
                <w:color w:val="auto"/>
              </w:rPr>
            </w:pPr>
          </w:p>
        </w:tc>
      </w:tr>
      <w:tr>
        <w:trPr>
          <w:trHeight w:val="258"/>
        </w:trPr>
        <w:tc>
          <w:tcPr>
            <w:tcW w:w="1620" w:type="dxa"/>
            <w:vAlign w:val="bottom"/>
            <w:tcBorders>
              <w:right w:val="single" w:sz="8" w:color="auto"/>
            </w:tcBorders>
          </w:tcPr>
          <w:p>
            <w:pPr>
              <w:spacing w:after="0"/>
              <w:rPr>
                <w:sz w:val="22"/>
                <w:szCs w:val="22"/>
                <w:color w:val="auto"/>
              </w:rPr>
            </w:pPr>
          </w:p>
        </w:tc>
        <w:tc>
          <w:tcPr>
            <w:tcW w:w="5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640" w:type="dxa"/>
            <w:vAlign w:val="bottom"/>
            <w:tcBorders>
              <w:right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rPr>
              <w:t>15,661</w:t>
            </w:r>
          </w:p>
        </w:tc>
        <w:tc>
          <w:tcPr>
            <w:tcW w:w="2320" w:type="dxa"/>
            <w:vAlign w:val="bottom"/>
          </w:tcPr>
          <w:p>
            <w:pPr>
              <w:spacing w:after="0"/>
              <w:rPr>
                <w:sz w:val="22"/>
                <w:szCs w:val="22"/>
                <w:color w:val="auto"/>
              </w:rPr>
            </w:pPr>
          </w:p>
        </w:tc>
      </w:tr>
      <w:tr>
        <w:trPr>
          <w:trHeight w:val="195"/>
        </w:trPr>
        <w:tc>
          <w:tcPr>
            <w:tcW w:w="1620" w:type="dxa"/>
            <w:vAlign w:val="bottom"/>
            <w:tcBorders>
              <w:right w:val="single" w:sz="8" w:color="auto"/>
            </w:tcBorders>
          </w:tcPr>
          <w:p>
            <w:pPr>
              <w:spacing w:after="0"/>
              <w:rPr>
                <w:sz w:val="16"/>
                <w:szCs w:val="16"/>
                <w:color w:val="auto"/>
              </w:rPr>
            </w:pPr>
          </w:p>
        </w:tc>
        <w:tc>
          <w:tcPr>
            <w:tcW w:w="5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Right of Use Asset</w:t>
            </w:r>
          </w:p>
        </w:tc>
        <w:tc>
          <w:tcPr>
            <w:tcW w:w="1640" w:type="dxa"/>
            <w:vAlign w:val="bottom"/>
            <w:tcBorders>
              <w:right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rPr>
              <w:t>324,955</w:t>
            </w:r>
          </w:p>
        </w:tc>
        <w:tc>
          <w:tcPr>
            <w:tcW w:w="2320" w:type="dxa"/>
            <w:vAlign w:val="bottom"/>
          </w:tcPr>
          <w:p>
            <w:pPr>
              <w:spacing w:after="0"/>
              <w:rPr>
                <w:sz w:val="16"/>
                <w:szCs w:val="16"/>
                <w:color w:val="auto"/>
              </w:rPr>
            </w:pPr>
          </w:p>
        </w:tc>
      </w:tr>
      <w:tr>
        <w:trPr>
          <w:trHeight w:val="216"/>
        </w:trPr>
        <w:tc>
          <w:tcPr>
            <w:tcW w:w="1620" w:type="dxa"/>
            <w:vAlign w:val="bottom"/>
            <w:tcBorders>
              <w:right w:val="single" w:sz="8" w:color="auto"/>
            </w:tcBorders>
          </w:tcPr>
          <w:p>
            <w:pPr>
              <w:spacing w:after="0"/>
              <w:rPr>
                <w:sz w:val="18"/>
                <w:szCs w:val="18"/>
                <w:color w:val="auto"/>
              </w:rPr>
            </w:pPr>
          </w:p>
        </w:tc>
        <w:tc>
          <w:tcPr>
            <w:tcW w:w="51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Other Assets</w:t>
            </w:r>
          </w:p>
        </w:tc>
        <w:tc>
          <w:tcPr>
            <w:tcW w:w="1640" w:type="dxa"/>
            <w:vAlign w:val="bottom"/>
            <w:tcBorders>
              <w:bottom w:val="single" w:sz="8" w:color="auto"/>
              <w:right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rPr>
              <w:t>30,437</w:t>
            </w:r>
          </w:p>
        </w:tc>
        <w:tc>
          <w:tcPr>
            <w:tcW w:w="2320" w:type="dxa"/>
            <w:vAlign w:val="bottom"/>
          </w:tcPr>
          <w:p>
            <w:pPr>
              <w:spacing w:after="0"/>
              <w:rPr>
                <w:sz w:val="18"/>
                <w:szCs w:val="18"/>
                <w:color w:val="auto"/>
              </w:rPr>
            </w:pPr>
          </w:p>
        </w:tc>
      </w:tr>
      <w:tr>
        <w:trPr>
          <w:trHeight w:val="195"/>
        </w:trPr>
        <w:tc>
          <w:tcPr>
            <w:tcW w:w="1620" w:type="dxa"/>
            <w:vAlign w:val="bottom"/>
            <w:tcBorders>
              <w:right w:val="single" w:sz="8" w:color="auto"/>
            </w:tcBorders>
          </w:tcPr>
          <w:p>
            <w:pPr>
              <w:spacing w:after="0"/>
              <w:rPr>
                <w:sz w:val="16"/>
                <w:szCs w:val="16"/>
                <w:color w:val="auto"/>
              </w:rPr>
            </w:pPr>
          </w:p>
        </w:tc>
        <w:tc>
          <w:tcPr>
            <w:tcW w:w="51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640" w:type="dxa"/>
            <w:vAlign w:val="bottom"/>
            <w:tcBorders>
              <w:right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(24,366,242)</w:t>
            </w:r>
          </w:p>
        </w:tc>
        <w:tc>
          <w:tcPr>
            <w:tcW w:w="2320" w:type="dxa"/>
            <w:vAlign w:val="bottom"/>
          </w:tcPr>
          <w:p>
            <w:pPr>
              <w:spacing w:after="0"/>
              <w:rPr>
                <w:sz w:val="16"/>
                <w:szCs w:val="16"/>
                <w:color w:val="auto"/>
              </w:rPr>
            </w:pPr>
          </w:p>
        </w:tc>
      </w:tr>
      <w:tr>
        <w:trPr>
          <w:trHeight w:val="195"/>
        </w:trPr>
        <w:tc>
          <w:tcPr>
            <w:tcW w:w="1620" w:type="dxa"/>
            <w:vAlign w:val="bottom"/>
            <w:tcBorders>
              <w:right w:val="single" w:sz="8" w:color="auto"/>
            </w:tcBorders>
          </w:tcPr>
          <w:p>
            <w:pPr>
              <w:spacing w:after="0"/>
              <w:rPr>
                <w:sz w:val="16"/>
                <w:szCs w:val="16"/>
                <w:color w:val="auto"/>
              </w:rPr>
            </w:pPr>
          </w:p>
        </w:tc>
        <w:tc>
          <w:tcPr>
            <w:tcW w:w="5120" w:type="dxa"/>
            <w:vAlign w:val="bottom"/>
            <w:shd w:val="clear" w:color="auto" w:fill="BFBFBF"/>
          </w:tcPr>
          <w:p>
            <w:pPr>
              <w:ind w:left="1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640" w:type="dxa"/>
            <w:vAlign w:val="bottom"/>
            <w:tcBorders>
              <w:right w:val="single" w:sz="8" w:color="auto"/>
            </w:tcBorders>
            <w:shd w:val="clear" w:color="auto" w:fill="BFBFBF"/>
          </w:tcPr>
          <w:p>
            <w:pPr>
              <w:spacing w:after="0"/>
              <w:rPr>
                <w:sz w:val="16"/>
                <w:szCs w:val="16"/>
                <w:color w:val="auto"/>
              </w:rPr>
            </w:pPr>
          </w:p>
        </w:tc>
        <w:tc>
          <w:tcPr>
            <w:tcW w:w="2320" w:type="dxa"/>
            <w:vAlign w:val="bottom"/>
          </w:tcPr>
          <w:p>
            <w:pPr>
              <w:spacing w:after="0"/>
              <w:rPr>
                <w:sz w:val="16"/>
                <w:szCs w:val="16"/>
                <w:color w:val="auto"/>
              </w:rPr>
            </w:pPr>
          </w:p>
        </w:tc>
      </w:tr>
      <w:tr>
        <w:trPr>
          <w:trHeight w:val="179"/>
        </w:trPr>
        <w:tc>
          <w:tcPr>
            <w:tcW w:w="1620" w:type="dxa"/>
            <w:vAlign w:val="bottom"/>
            <w:tcBorders>
              <w:right w:val="single" w:sz="8" w:color="auto"/>
            </w:tcBorders>
          </w:tcPr>
          <w:p>
            <w:pPr>
              <w:spacing w:after="0"/>
              <w:rPr>
                <w:sz w:val="15"/>
                <w:szCs w:val="15"/>
                <w:color w:val="auto"/>
              </w:rPr>
            </w:pPr>
          </w:p>
        </w:tc>
        <w:tc>
          <w:tcPr>
            <w:tcW w:w="5120" w:type="dxa"/>
            <w:vAlign w:val="bottom"/>
          </w:tcPr>
          <w:p>
            <w:pPr>
              <w:ind w:left="120"/>
              <w:spacing w:after="0" w:line="178" w:lineRule="exact"/>
              <w:rPr>
                <w:sz w:val="20"/>
                <w:szCs w:val="20"/>
                <w:color w:val="auto"/>
              </w:rPr>
            </w:pPr>
            <w:r>
              <w:rPr>
                <w:rFonts w:ascii="Times New Roman" w:cs="Times New Roman" w:eastAsia="Times New Roman" w:hAnsi="Times New Roman"/>
                <w:sz w:val="16"/>
                <w:szCs w:val="16"/>
                <w:color w:val="auto"/>
              </w:rPr>
              <w:t>A/P (Pre-Petition)</w:t>
            </w:r>
          </w:p>
        </w:tc>
        <w:tc>
          <w:tcPr>
            <w:tcW w:w="1640" w:type="dxa"/>
            <w:vAlign w:val="bottom"/>
            <w:tcBorders>
              <w:right w:val="single" w:sz="8" w:color="auto"/>
            </w:tcBorders>
          </w:tcPr>
          <w:p>
            <w:pPr>
              <w:jc w:val="right"/>
              <w:ind w:right="78"/>
              <w:spacing w:after="0" w:line="178" w:lineRule="exact"/>
              <w:rPr>
                <w:sz w:val="20"/>
                <w:szCs w:val="20"/>
                <w:color w:val="auto"/>
              </w:rPr>
            </w:pPr>
            <w:r>
              <w:rPr>
                <w:rFonts w:ascii="Times New Roman" w:cs="Times New Roman" w:eastAsia="Times New Roman" w:hAnsi="Times New Roman"/>
                <w:sz w:val="16"/>
                <w:szCs w:val="16"/>
                <w:color w:val="auto"/>
              </w:rPr>
              <w:t>47,893</w:t>
            </w:r>
          </w:p>
        </w:tc>
        <w:tc>
          <w:tcPr>
            <w:tcW w:w="2320" w:type="dxa"/>
            <w:vAlign w:val="bottom"/>
          </w:tcPr>
          <w:p>
            <w:pPr>
              <w:spacing w:after="0"/>
              <w:rPr>
                <w:sz w:val="15"/>
                <w:szCs w:val="15"/>
                <w:color w:val="auto"/>
              </w:rPr>
            </w:pPr>
          </w:p>
        </w:tc>
      </w:tr>
      <w:tr>
        <w:trPr>
          <w:trHeight w:val="195"/>
        </w:trPr>
        <w:tc>
          <w:tcPr>
            <w:tcW w:w="1620" w:type="dxa"/>
            <w:vAlign w:val="bottom"/>
            <w:tcBorders>
              <w:right w:val="single" w:sz="8" w:color="auto"/>
            </w:tcBorders>
          </w:tcPr>
          <w:p>
            <w:pPr>
              <w:spacing w:after="0"/>
              <w:rPr>
                <w:sz w:val="16"/>
                <w:szCs w:val="16"/>
                <w:color w:val="auto"/>
              </w:rPr>
            </w:pPr>
          </w:p>
        </w:tc>
        <w:tc>
          <w:tcPr>
            <w:tcW w:w="5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A/P</w:t>
            </w:r>
          </w:p>
        </w:tc>
        <w:tc>
          <w:tcPr>
            <w:tcW w:w="1640" w:type="dxa"/>
            <w:vAlign w:val="bottom"/>
            <w:tcBorders>
              <w:right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rPr>
              <w:t>-</w:t>
            </w:r>
          </w:p>
        </w:tc>
        <w:tc>
          <w:tcPr>
            <w:tcW w:w="2320" w:type="dxa"/>
            <w:vAlign w:val="bottom"/>
          </w:tcPr>
          <w:p>
            <w:pPr>
              <w:spacing w:after="0"/>
              <w:rPr>
                <w:sz w:val="16"/>
                <w:szCs w:val="16"/>
                <w:color w:val="auto"/>
              </w:rPr>
            </w:pPr>
          </w:p>
        </w:tc>
      </w:tr>
      <w:tr>
        <w:trPr>
          <w:trHeight w:val="195"/>
        </w:trPr>
        <w:tc>
          <w:tcPr>
            <w:tcW w:w="1620" w:type="dxa"/>
            <w:vAlign w:val="bottom"/>
            <w:tcBorders>
              <w:right w:val="single" w:sz="8" w:color="auto"/>
            </w:tcBorders>
          </w:tcPr>
          <w:p>
            <w:pPr>
              <w:spacing w:after="0"/>
              <w:rPr>
                <w:sz w:val="16"/>
                <w:szCs w:val="16"/>
                <w:color w:val="auto"/>
              </w:rPr>
            </w:pPr>
          </w:p>
        </w:tc>
        <w:tc>
          <w:tcPr>
            <w:tcW w:w="5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Accrued Liabilities (Pre-Petition)</w:t>
            </w:r>
          </w:p>
        </w:tc>
        <w:tc>
          <w:tcPr>
            <w:tcW w:w="1640" w:type="dxa"/>
            <w:vAlign w:val="bottom"/>
            <w:tcBorders>
              <w:right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rPr>
              <w:t>271,278</w:t>
            </w:r>
          </w:p>
        </w:tc>
        <w:tc>
          <w:tcPr>
            <w:tcW w:w="2320" w:type="dxa"/>
            <w:vAlign w:val="bottom"/>
          </w:tcPr>
          <w:p>
            <w:pPr>
              <w:spacing w:after="0"/>
              <w:rPr>
                <w:sz w:val="16"/>
                <w:szCs w:val="16"/>
                <w:color w:val="auto"/>
              </w:rPr>
            </w:pPr>
          </w:p>
        </w:tc>
      </w:tr>
      <w:tr>
        <w:trPr>
          <w:trHeight w:val="195"/>
        </w:trPr>
        <w:tc>
          <w:tcPr>
            <w:tcW w:w="1620" w:type="dxa"/>
            <w:vAlign w:val="bottom"/>
            <w:tcBorders>
              <w:right w:val="single" w:sz="8" w:color="auto"/>
            </w:tcBorders>
          </w:tcPr>
          <w:p>
            <w:pPr>
              <w:spacing w:after="0"/>
              <w:rPr>
                <w:sz w:val="16"/>
                <w:szCs w:val="16"/>
                <w:color w:val="auto"/>
              </w:rPr>
            </w:pPr>
          </w:p>
        </w:tc>
        <w:tc>
          <w:tcPr>
            <w:tcW w:w="5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Accrued Liabilities</w:t>
            </w:r>
          </w:p>
        </w:tc>
        <w:tc>
          <w:tcPr>
            <w:tcW w:w="1640" w:type="dxa"/>
            <w:vAlign w:val="bottom"/>
            <w:tcBorders>
              <w:right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rPr>
              <w:t>269,375</w:t>
            </w:r>
          </w:p>
        </w:tc>
        <w:tc>
          <w:tcPr>
            <w:tcW w:w="2320" w:type="dxa"/>
            <w:vAlign w:val="bottom"/>
          </w:tcPr>
          <w:p>
            <w:pPr>
              <w:spacing w:after="0"/>
              <w:rPr>
                <w:sz w:val="16"/>
                <w:szCs w:val="16"/>
                <w:color w:val="auto"/>
              </w:rPr>
            </w:pPr>
          </w:p>
        </w:tc>
      </w:tr>
      <w:tr>
        <w:trPr>
          <w:trHeight w:val="216"/>
        </w:trPr>
        <w:tc>
          <w:tcPr>
            <w:tcW w:w="1620" w:type="dxa"/>
            <w:vAlign w:val="bottom"/>
            <w:tcBorders>
              <w:right w:val="single" w:sz="8" w:color="auto"/>
            </w:tcBorders>
          </w:tcPr>
          <w:p>
            <w:pPr>
              <w:spacing w:after="0"/>
              <w:rPr>
                <w:sz w:val="18"/>
                <w:szCs w:val="18"/>
                <w:color w:val="auto"/>
              </w:rPr>
            </w:pPr>
          </w:p>
        </w:tc>
        <w:tc>
          <w:tcPr>
            <w:tcW w:w="51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Current Portion of Lease Liability</w:t>
            </w:r>
          </w:p>
        </w:tc>
        <w:tc>
          <w:tcPr>
            <w:tcW w:w="1640" w:type="dxa"/>
            <w:vAlign w:val="bottom"/>
            <w:tcBorders>
              <w:bottom w:val="single" w:sz="8" w:color="auto"/>
              <w:right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rPr>
              <w:t>385,808</w:t>
            </w:r>
          </w:p>
        </w:tc>
        <w:tc>
          <w:tcPr>
            <w:tcW w:w="2320" w:type="dxa"/>
            <w:vAlign w:val="bottom"/>
          </w:tcPr>
          <w:p>
            <w:pPr>
              <w:spacing w:after="0"/>
              <w:rPr>
                <w:sz w:val="18"/>
                <w:szCs w:val="18"/>
                <w:color w:val="auto"/>
              </w:rPr>
            </w:pPr>
          </w:p>
        </w:tc>
      </w:tr>
      <w:tr>
        <w:trPr>
          <w:trHeight w:val="213"/>
        </w:trPr>
        <w:tc>
          <w:tcPr>
            <w:tcW w:w="1620" w:type="dxa"/>
            <w:vAlign w:val="bottom"/>
            <w:tcBorders>
              <w:right w:val="single" w:sz="8" w:color="auto"/>
            </w:tcBorders>
          </w:tcPr>
          <w:p>
            <w:pPr>
              <w:spacing w:after="0"/>
              <w:rPr>
                <w:sz w:val="18"/>
                <w:szCs w:val="18"/>
                <w:color w:val="auto"/>
              </w:rPr>
            </w:pPr>
          </w:p>
        </w:tc>
        <w:tc>
          <w:tcPr>
            <w:tcW w:w="51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640" w:type="dxa"/>
            <w:vAlign w:val="bottom"/>
            <w:tcBorders>
              <w:right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rPr>
              <w:t>974,354</w:t>
            </w:r>
          </w:p>
        </w:tc>
        <w:tc>
          <w:tcPr>
            <w:tcW w:w="2320" w:type="dxa"/>
            <w:vAlign w:val="bottom"/>
          </w:tcPr>
          <w:p>
            <w:pPr>
              <w:spacing w:after="0"/>
              <w:rPr>
                <w:sz w:val="18"/>
                <w:szCs w:val="18"/>
                <w:color w:val="auto"/>
              </w:rPr>
            </w:pPr>
          </w:p>
        </w:tc>
      </w:tr>
      <w:tr>
        <w:trPr>
          <w:trHeight w:val="258"/>
        </w:trPr>
        <w:tc>
          <w:tcPr>
            <w:tcW w:w="1620" w:type="dxa"/>
            <w:vAlign w:val="bottom"/>
            <w:tcBorders>
              <w:right w:val="single" w:sz="8" w:color="auto"/>
            </w:tcBorders>
          </w:tcPr>
          <w:p>
            <w:pPr>
              <w:spacing w:after="0"/>
              <w:rPr>
                <w:sz w:val="22"/>
                <w:szCs w:val="22"/>
                <w:color w:val="auto"/>
              </w:rPr>
            </w:pPr>
          </w:p>
        </w:tc>
        <w:tc>
          <w:tcPr>
            <w:tcW w:w="5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Warrant Liabilities</w:t>
            </w:r>
          </w:p>
        </w:tc>
        <w:tc>
          <w:tcPr>
            <w:tcW w:w="1640" w:type="dxa"/>
            <w:vAlign w:val="bottom"/>
            <w:tcBorders>
              <w:right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rPr>
              <w:t>1,192,444</w:t>
            </w:r>
          </w:p>
        </w:tc>
        <w:tc>
          <w:tcPr>
            <w:tcW w:w="2320" w:type="dxa"/>
            <w:vAlign w:val="bottom"/>
          </w:tcPr>
          <w:p>
            <w:pPr>
              <w:spacing w:after="0"/>
              <w:rPr>
                <w:sz w:val="22"/>
                <w:szCs w:val="22"/>
                <w:color w:val="auto"/>
              </w:rPr>
            </w:pPr>
          </w:p>
        </w:tc>
      </w:tr>
      <w:tr>
        <w:trPr>
          <w:trHeight w:val="216"/>
        </w:trPr>
        <w:tc>
          <w:tcPr>
            <w:tcW w:w="1620" w:type="dxa"/>
            <w:vAlign w:val="bottom"/>
            <w:tcBorders>
              <w:right w:val="single" w:sz="8" w:color="auto"/>
            </w:tcBorders>
          </w:tcPr>
          <w:p>
            <w:pPr>
              <w:spacing w:after="0"/>
              <w:rPr>
                <w:sz w:val="18"/>
                <w:szCs w:val="18"/>
                <w:color w:val="auto"/>
              </w:rPr>
            </w:pPr>
          </w:p>
        </w:tc>
        <w:tc>
          <w:tcPr>
            <w:tcW w:w="51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640" w:type="dxa"/>
            <w:vAlign w:val="bottom"/>
            <w:tcBorders>
              <w:bottom w:val="single" w:sz="8" w:color="auto"/>
              <w:right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rPr>
              <w:t>400,000</w:t>
            </w:r>
          </w:p>
        </w:tc>
        <w:tc>
          <w:tcPr>
            <w:tcW w:w="2320" w:type="dxa"/>
            <w:vAlign w:val="bottom"/>
          </w:tcPr>
          <w:p>
            <w:pPr>
              <w:spacing w:after="0"/>
              <w:rPr>
                <w:sz w:val="18"/>
                <w:szCs w:val="18"/>
                <w:color w:val="auto"/>
              </w:rPr>
            </w:pPr>
          </w:p>
        </w:tc>
      </w:tr>
      <w:tr>
        <w:trPr>
          <w:trHeight w:val="213"/>
        </w:trPr>
        <w:tc>
          <w:tcPr>
            <w:tcW w:w="1620" w:type="dxa"/>
            <w:vAlign w:val="bottom"/>
            <w:tcBorders>
              <w:right w:val="single" w:sz="8" w:color="auto"/>
            </w:tcBorders>
          </w:tcPr>
          <w:p>
            <w:pPr>
              <w:spacing w:after="0"/>
              <w:rPr>
                <w:sz w:val="18"/>
                <w:szCs w:val="18"/>
                <w:color w:val="auto"/>
              </w:rPr>
            </w:pPr>
          </w:p>
        </w:tc>
        <w:tc>
          <w:tcPr>
            <w:tcW w:w="51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640" w:type="dxa"/>
            <w:vAlign w:val="bottom"/>
            <w:tcBorders>
              <w:right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rPr>
              <w:t>2,566,798</w:t>
            </w:r>
          </w:p>
        </w:tc>
        <w:tc>
          <w:tcPr>
            <w:tcW w:w="2320" w:type="dxa"/>
            <w:vAlign w:val="bottom"/>
          </w:tcPr>
          <w:p>
            <w:pPr>
              <w:spacing w:after="0"/>
              <w:rPr>
                <w:sz w:val="18"/>
                <w:szCs w:val="18"/>
                <w:color w:val="auto"/>
              </w:rPr>
            </w:pPr>
          </w:p>
        </w:tc>
      </w:tr>
      <w:tr>
        <w:trPr>
          <w:trHeight w:val="274"/>
        </w:trPr>
        <w:tc>
          <w:tcPr>
            <w:tcW w:w="1620" w:type="dxa"/>
            <w:vAlign w:val="bottom"/>
            <w:tcBorders>
              <w:right w:val="single" w:sz="8" w:color="auto"/>
            </w:tcBorders>
          </w:tcPr>
          <w:p>
            <w:pPr>
              <w:spacing w:after="0"/>
              <w:rPr>
                <w:sz w:val="23"/>
                <w:szCs w:val="23"/>
                <w:color w:val="auto"/>
              </w:rPr>
            </w:pPr>
          </w:p>
        </w:tc>
        <w:tc>
          <w:tcPr>
            <w:tcW w:w="5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Common Stock</w:t>
            </w:r>
          </w:p>
        </w:tc>
        <w:tc>
          <w:tcPr>
            <w:tcW w:w="1640" w:type="dxa"/>
            <w:vAlign w:val="bottom"/>
            <w:tcBorders>
              <w:right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rPr>
              <w:t>78,510</w:t>
            </w:r>
          </w:p>
        </w:tc>
        <w:tc>
          <w:tcPr>
            <w:tcW w:w="2320" w:type="dxa"/>
            <w:vAlign w:val="bottom"/>
          </w:tcPr>
          <w:p>
            <w:pPr>
              <w:spacing w:after="0"/>
              <w:rPr>
                <w:sz w:val="23"/>
                <w:szCs w:val="23"/>
                <w:color w:val="auto"/>
              </w:rPr>
            </w:pPr>
          </w:p>
        </w:tc>
      </w:tr>
      <w:tr>
        <w:trPr>
          <w:trHeight w:val="219"/>
        </w:trPr>
        <w:tc>
          <w:tcPr>
            <w:tcW w:w="1620" w:type="dxa"/>
            <w:vAlign w:val="bottom"/>
            <w:tcBorders>
              <w:right w:val="single" w:sz="8" w:color="auto"/>
            </w:tcBorders>
          </w:tcPr>
          <w:p>
            <w:pPr>
              <w:spacing w:after="0"/>
              <w:rPr>
                <w:sz w:val="19"/>
                <w:szCs w:val="19"/>
                <w:color w:val="auto"/>
              </w:rPr>
            </w:pPr>
          </w:p>
        </w:tc>
        <w:tc>
          <w:tcPr>
            <w:tcW w:w="5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Additional Paid-In-Capital</w:t>
            </w:r>
          </w:p>
        </w:tc>
        <w:tc>
          <w:tcPr>
            <w:tcW w:w="1640" w:type="dxa"/>
            <w:vAlign w:val="bottom"/>
            <w:tcBorders>
              <w:right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rPr>
              <w:t>320,373,858</w:t>
            </w:r>
          </w:p>
        </w:tc>
        <w:tc>
          <w:tcPr>
            <w:tcW w:w="2320" w:type="dxa"/>
            <w:vAlign w:val="bottom"/>
          </w:tcPr>
          <w:p>
            <w:pPr>
              <w:spacing w:after="0"/>
              <w:rPr>
                <w:sz w:val="19"/>
                <w:szCs w:val="19"/>
                <w:color w:val="auto"/>
              </w:rPr>
            </w:pPr>
          </w:p>
        </w:tc>
      </w:tr>
      <w:tr>
        <w:trPr>
          <w:trHeight w:val="219"/>
        </w:trPr>
        <w:tc>
          <w:tcPr>
            <w:tcW w:w="1620" w:type="dxa"/>
            <w:vAlign w:val="bottom"/>
            <w:tcBorders>
              <w:right w:val="single" w:sz="8" w:color="auto"/>
            </w:tcBorders>
          </w:tcPr>
          <w:p>
            <w:pPr>
              <w:spacing w:after="0"/>
              <w:rPr>
                <w:sz w:val="19"/>
                <w:szCs w:val="19"/>
                <w:color w:val="auto"/>
              </w:rPr>
            </w:pPr>
          </w:p>
        </w:tc>
        <w:tc>
          <w:tcPr>
            <w:tcW w:w="5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Accumulated Deficit</w:t>
            </w:r>
          </w:p>
        </w:tc>
        <w:tc>
          <w:tcPr>
            <w:tcW w:w="1640" w:type="dxa"/>
            <w:vAlign w:val="bottom"/>
            <w:tcBorders>
              <w:right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(347,385,409)</w:t>
            </w:r>
          </w:p>
        </w:tc>
        <w:tc>
          <w:tcPr>
            <w:tcW w:w="2320" w:type="dxa"/>
            <w:vAlign w:val="bottom"/>
          </w:tcPr>
          <w:p>
            <w:pPr>
              <w:spacing w:after="0"/>
              <w:rPr>
                <w:sz w:val="19"/>
                <w:szCs w:val="19"/>
                <w:color w:val="auto"/>
              </w:rPr>
            </w:pPr>
          </w:p>
        </w:tc>
      </w:tr>
      <w:tr>
        <w:trPr>
          <w:trHeight w:val="219"/>
        </w:trPr>
        <w:tc>
          <w:tcPr>
            <w:tcW w:w="1620" w:type="dxa"/>
            <w:vAlign w:val="bottom"/>
            <w:tcBorders>
              <w:right w:val="single" w:sz="8" w:color="auto"/>
            </w:tcBorders>
          </w:tcPr>
          <w:p>
            <w:pPr>
              <w:spacing w:after="0"/>
              <w:rPr>
                <w:sz w:val="19"/>
                <w:szCs w:val="19"/>
                <w:color w:val="auto"/>
              </w:rPr>
            </w:pPr>
          </w:p>
        </w:tc>
        <w:tc>
          <w:tcPr>
            <w:tcW w:w="51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1640" w:type="dxa"/>
            <w:vAlign w:val="bottom"/>
            <w:tcBorders>
              <w:right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(26,933,040)</w:t>
            </w:r>
          </w:p>
        </w:tc>
        <w:tc>
          <w:tcPr>
            <w:tcW w:w="2320" w:type="dxa"/>
            <w:vAlign w:val="bottom"/>
          </w:tcPr>
          <w:p>
            <w:pPr>
              <w:spacing w:after="0"/>
              <w:rPr>
                <w:sz w:val="19"/>
                <w:szCs w:val="19"/>
                <w:color w:val="auto"/>
              </w:rPr>
            </w:pPr>
          </w:p>
        </w:tc>
      </w:tr>
      <w:tr>
        <w:trPr>
          <w:trHeight w:val="225"/>
        </w:trPr>
        <w:tc>
          <w:tcPr>
            <w:tcW w:w="1620" w:type="dxa"/>
            <w:vAlign w:val="bottom"/>
            <w:tcBorders>
              <w:right w:val="single" w:sz="8" w:color="auto"/>
            </w:tcBorders>
          </w:tcPr>
          <w:p>
            <w:pPr>
              <w:spacing w:after="0"/>
              <w:rPr>
                <w:sz w:val="19"/>
                <w:szCs w:val="19"/>
                <w:color w:val="auto"/>
              </w:rPr>
            </w:pPr>
          </w:p>
        </w:tc>
        <w:tc>
          <w:tcPr>
            <w:tcW w:w="51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TOTAL LIABILITIES &amp; EQUITY</w:t>
            </w:r>
          </w:p>
        </w:tc>
        <w:tc>
          <w:tcPr>
            <w:tcW w:w="164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(24,366,242)</w:t>
            </w:r>
          </w:p>
        </w:tc>
        <w:tc>
          <w:tcPr>
            <w:tcW w:w="2320" w:type="dxa"/>
            <w:vAlign w:val="bottom"/>
          </w:tcPr>
          <w:p>
            <w:pPr>
              <w:spacing w:after="0"/>
              <w:rPr>
                <w:sz w:val="19"/>
                <w:szCs w:val="19"/>
                <w:color w:val="auto"/>
              </w:rPr>
            </w:pPr>
          </w:p>
        </w:tc>
      </w:tr>
    </w:tbl>
    <w:p>
      <w:pPr>
        <w:spacing w:after="0"/>
        <w:rPr>
          <w:sz w:val="20"/>
          <w:szCs w:val="20"/>
          <w:color w:val="auto"/>
        </w:rPr>
        <w:sectPr>
          <w:pgSz w:w="11900" w:h="16838" w:orient="portrait"/>
          <w:cols w:equalWidth="0" w:num="1">
            <w:col w:w="10700"/>
          </w:cols>
          <w:pgMar w:left="960" w:top="230" w:right="239" w:bottom="1440" w:gutter="0" w:footer="0" w:header="0"/>
        </w:sect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186295" cy="36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295" cy="36195"/>
                    </a:xfrm>
                    <a:prstGeom prst="rect">
                      <a:avLst/>
                    </a:prstGeom>
                    <a:noFill/>
                  </pic:spPr>
                </pic:pic>
              </a:graphicData>
            </a:graphic>
          </wp:anchor>
        </w:drawing>
      </w:r>
    </w:p>
    <w:bookmarkStart w:id="20" w:name="page21"/>
    <w:bookmarkEnd w:id="20"/>
    <w:tbl>
      <w:tblPr>
        <w:tblLayout w:type="fixed"/>
        <w:tblInd w:w="0" w:type="dxa"/>
        <w:tblCellMar>
          <w:top w:w="0" w:type="dxa"/>
          <w:left w:w="0" w:type="dxa"/>
          <w:bottom w:w="0" w:type="dxa"/>
          <w:right w:w="0" w:type="dxa"/>
        </w:tblCellMar>
      </w:tblPr>
      <w:tr>
        <w:trPr>
          <w:trHeight w:val="230"/>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 xml:space="preserve">In re Clearside Biomedical, Inc.       </w:t>
            </w:r>
            <w:r>
              <w:rPr>
                <w:rFonts w:ascii="Times New Roman" w:cs="Times New Roman" w:eastAsia="Times New Roman" w:hAnsi="Times New Roman"/>
                <w:sz w:val="19"/>
                <w:szCs w:val="19"/>
                <w:color w:val="auto"/>
                <w:w w:val="97"/>
              </w:rPr>
              <w:t>Case 25-12109-TMH   Doc 115   Filed 12/23/25 </w:t>
            </w:r>
          </w:p>
        </w:tc>
        <w:tc>
          <w:tcPr>
            <w:tcW w:w="1600" w:type="dxa"/>
            <w:vAlign w:val="bottom"/>
          </w:tcPr>
          <w:p>
            <w:pPr>
              <w:jc w:val="right"/>
              <w:ind w:right="297"/>
              <w:spacing w:after="0"/>
              <w:rPr>
                <w:sz w:val="20"/>
                <w:szCs w:val="20"/>
                <w:color w:val="auto"/>
              </w:rPr>
            </w:pPr>
            <w:r>
              <w:rPr>
                <w:rFonts w:ascii="Times New Roman" w:cs="Times New Roman" w:eastAsia="Times New Roman" w:hAnsi="Times New Roman"/>
                <w:sz w:val="20"/>
                <w:szCs w:val="20"/>
                <w:color w:val="auto"/>
              </w:rPr>
              <w:t>Page 17 of 18</w:t>
            </w:r>
          </w:p>
        </w:tc>
        <w:tc>
          <w:tcPr>
            <w:tcW w:w="400" w:type="dxa"/>
            <w:vAlign w:val="bottom"/>
          </w:tcPr>
          <w:p>
            <w:pPr>
              <w:spacing w:after="0"/>
              <w:rPr>
                <w:sz w:val="19"/>
                <w:szCs w:val="19"/>
                <w:color w:val="auto"/>
              </w:rPr>
            </w:pPr>
          </w:p>
        </w:tc>
        <w:tc>
          <w:tcPr>
            <w:tcW w:w="19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Case No. 2</w:t>
            </w:r>
          </w:p>
        </w:tc>
      </w:tr>
      <w:tr>
        <w:trPr>
          <w:trHeight w:val="233"/>
        </w:trPr>
        <w:tc>
          <w:tcPr>
            <w:tcW w:w="6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Debtor</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2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6"/>
              </w:rPr>
              <w:t>Reporting Period: 11/23/25 to 1</w:t>
            </w:r>
          </w:p>
        </w:tc>
      </w:tr>
      <w:tr>
        <w:trPr>
          <w:trHeight w:val="591"/>
        </w:trPr>
        <w:tc>
          <w:tcPr>
            <w:tcW w:w="1220" w:type="dxa"/>
            <w:vAlign w:val="bottom"/>
          </w:tcPr>
          <w:p>
            <w:pPr>
              <w:spacing w:after="0"/>
              <w:rPr>
                <w:sz w:val="24"/>
                <w:szCs w:val="24"/>
                <w:color w:val="auto"/>
              </w:rPr>
            </w:pPr>
          </w:p>
        </w:tc>
        <w:tc>
          <w:tcPr>
            <w:tcW w:w="5560" w:type="dxa"/>
            <w:vAlign w:val="bottom"/>
          </w:tcPr>
          <w:p>
            <w:pPr>
              <w:ind w:left="2020"/>
              <w:spacing w:after="0"/>
              <w:rPr>
                <w:sz w:val="20"/>
                <w:szCs w:val="20"/>
                <w:color w:val="auto"/>
              </w:rPr>
            </w:pPr>
            <w:r>
              <w:rPr>
                <w:rFonts w:ascii="Times New Roman" w:cs="Times New Roman" w:eastAsia="Times New Roman" w:hAnsi="Times New Roman"/>
                <w:sz w:val="16"/>
                <w:szCs w:val="16"/>
                <w:b w:val="1"/>
                <w:bCs w:val="1"/>
                <w:color w:val="auto"/>
              </w:rPr>
              <w:t>STATEMENT OF OPERATIONS (UNAUDITED)</w:t>
            </w:r>
          </w:p>
        </w:tc>
        <w:tc>
          <w:tcPr>
            <w:tcW w:w="1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25"/>
        </w:trPr>
        <w:tc>
          <w:tcPr>
            <w:tcW w:w="1220" w:type="dxa"/>
            <w:vAlign w:val="bottom"/>
          </w:tcPr>
          <w:p>
            <w:pPr>
              <w:spacing w:after="0"/>
              <w:rPr>
                <w:sz w:val="19"/>
                <w:szCs w:val="19"/>
                <w:color w:val="auto"/>
              </w:rPr>
            </w:pPr>
          </w:p>
        </w:tc>
        <w:tc>
          <w:tcPr>
            <w:tcW w:w="55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920" w:type="dxa"/>
            <w:vAlign w:val="bottom"/>
          </w:tcPr>
          <w:p>
            <w:pPr>
              <w:spacing w:after="0"/>
              <w:rPr>
                <w:sz w:val="19"/>
                <w:szCs w:val="19"/>
                <w:color w:val="auto"/>
              </w:rPr>
            </w:pPr>
          </w:p>
        </w:tc>
      </w:tr>
      <w:tr>
        <w:trPr>
          <w:trHeight w:val="195"/>
        </w:trPr>
        <w:tc>
          <w:tcPr>
            <w:tcW w:w="1220" w:type="dxa"/>
            <w:vAlign w:val="bottom"/>
            <w:tcBorders>
              <w:right w:val="single" w:sz="8" w:color="auto"/>
            </w:tcBorders>
          </w:tcPr>
          <w:p>
            <w:pPr>
              <w:spacing w:after="0"/>
              <w:rPr>
                <w:sz w:val="16"/>
                <w:szCs w:val="16"/>
                <w:color w:val="auto"/>
              </w:rPr>
            </w:pPr>
          </w:p>
        </w:tc>
        <w:tc>
          <w:tcPr>
            <w:tcW w:w="5560" w:type="dxa"/>
            <w:vAlign w:val="bottom"/>
            <w:shd w:val="clear" w:color="auto" w:fill="BFBFBF"/>
          </w:tcPr>
          <w:p>
            <w:pPr>
              <w:ind w:left="120"/>
              <w:spacing w:after="0"/>
              <w:rPr>
                <w:sz w:val="20"/>
                <w:szCs w:val="20"/>
                <w:color w:val="auto"/>
              </w:rPr>
            </w:pPr>
            <w:r>
              <w:rPr>
                <w:rFonts w:ascii="Times New Roman" w:cs="Times New Roman" w:eastAsia="Times New Roman" w:hAnsi="Times New Roman"/>
                <w:sz w:val="16"/>
                <w:szCs w:val="16"/>
                <w:b w:val="1"/>
                <w:bCs w:val="1"/>
                <w:color w:val="auto"/>
              </w:rPr>
              <w:t>Line Item</w:t>
            </w:r>
          </w:p>
        </w:tc>
        <w:tc>
          <w:tcPr>
            <w:tcW w:w="1600" w:type="dxa"/>
            <w:vAlign w:val="bottom"/>
            <w:shd w:val="clear" w:color="auto" w:fill="BFBFBF"/>
          </w:tcPr>
          <w:p>
            <w:pPr>
              <w:jc w:val="right"/>
              <w:spacing w:after="0"/>
              <w:rPr>
                <w:sz w:val="20"/>
                <w:szCs w:val="20"/>
                <w:color w:val="auto"/>
              </w:rPr>
            </w:pPr>
            <w:r>
              <w:rPr>
                <w:rFonts w:ascii="Times New Roman" w:cs="Times New Roman" w:eastAsia="Times New Roman" w:hAnsi="Times New Roman"/>
                <w:sz w:val="16"/>
                <w:szCs w:val="16"/>
                <w:b w:val="1"/>
                <w:bCs w:val="1"/>
                <w:color w:val="auto"/>
              </w:rPr>
              <w:t>Current Period </w:t>
            </w:r>
          </w:p>
        </w:tc>
        <w:tc>
          <w:tcPr>
            <w:tcW w:w="400" w:type="dxa"/>
            <w:vAlign w:val="bottom"/>
            <w:tcBorders>
              <w:right w:val="single" w:sz="8" w:color="auto"/>
            </w:tcBorders>
            <w:shd w:val="clear" w:color="auto" w:fill="BFBFBF"/>
          </w:tcPr>
          <w:p>
            <w:pPr>
              <w:ind w:left="60"/>
              <w:spacing w:after="0"/>
              <w:rPr>
                <w:sz w:val="20"/>
                <w:szCs w:val="20"/>
                <w:color w:val="auto"/>
              </w:rPr>
            </w:pPr>
            <w:r>
              <w:rPr>
                <w:rFonts w:ascii="Times New Roman" w:cs="Times New Roman" w:eastAsia="Times New Roman" w:hAnsi="Times New Roman"/>
                <w:sz w:val="16"/>
                <w:szCs w:val="16"/>
                <w:b w:val="1"/>
                <w:bCs w:val="1"/>
                <w:color w:val="auto"/>
              </w:rPr>
              <w:t> </w:t>
            </w:r>
          </w:p>
        </w:tc>
        <w:tc>
          <w:tcPr>
            <w:tcW w:w="1920" w:type="dxa"/>
            <w:vAlign w:val="bottom"/>
          </w:tcPr>
          <w:p>
            <w:pPr>
              <w:spacing w:after="0"/>
              <w:rPr>
                <w:sz w:val="16"/>
                <w:szCs w:val="16"/>
                <w:color w:val="auto"/>
              </w:rPr>
            </w:pPr>
          </w:p>
        </w:tc>
      </w:tr>
      <w:tr>
        <w:trPr>
          <w:trHeight w:val="195"/>
        </w:trPr>
        <w:tc>
          <w:tcPr>
            <w:tcW w:w="1220" w:type="dxa"/>
            <w:vAlign w:val="bottom"/>
            <w:tcBorders>
              <w:right w:val="single" w:sz="8" w:color="auto"/>
            </w:tcBorders>
          </w:tcPr>
          <w:p>
            <w:pPr>
              <w:spacing w:after="0"/>
              <w:rPr>
                <w:sz w:val="16"/>
                <w:szCs w:val="16"/>
                <w:color w:val="auto"/>
              </w:rPr>
            </w:pPr>
          </w:p>
        </w:tc>
        <w:tc>
          <w:tcPr>
            <w:tcW w:w="5560" w:type="dxa"/>
            <w:vAlign w:val="bottom"/>
            <w:shd w:val="clear" w:color="auto" w:fill="BFBFBF"/>
          </w:tcPr>
          <w:p>
            <w:pPr>
              <w:ind w:left="1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600" w:type="dxa"/>
            <w:vAlign w:val="bottom"/>
            <w:shd w:val="clear" w:color="auto" w:fill="BFBFBF"/>
          </w:tcPr>
          <w:p>
            <w:pPr>
              <w:spacing w:after="0"/>
              <w:rPr>
                <w:sz w:val="16"/>
                <w:szCs w:val="16"/>
                <w:color w:val="auto"/>
              </w:rPr>
            </w:pPr>
          </w:p>
        </w:tc>
        <w:tc>
          <w:tcPr>
            <w:tcW w:w="400" w:type="dxa"/>
            <w:vAlign w:val="bottom"/>
            <w:tcBorders>
              <w:right w:val="single" w:sz="8" w:color="auto"/>
            </w:tcBorders>
            <w:shd w:val="clear" w:color="auto" w:fill="BFBFBF"/>
          </w:tcPr>
          <w:p>
            <w:pPr>
              <w:spacing w:after="0"/>
              <w:rPr>
                <w:sz w:val="16"/>
                <w:szCs w:val="16"/>
                <w:color w:val="auto"/>
              </w:rPr>
            </w:pPr>
          </w:p>
        </w:tc>
        <w:tc>
          <w:tcPr>
            <w:tcW w:w="1920" w:type="dxa"/>
            <w:vAlign w:val="bottom"/>
          </w:tcPr>
          <w:p>
            <w:pPr>
              <w:spacing w:after="0"/>
              <w:rPr>
                <w:sz w:val="16"/>
                <w:szCs w:val="16"/>
                <w:color w:val="auto"/>
              </w:rPr>
            </w:pPr>
          </w:p>
        </w:tc>
      </w:tr>
      <w:tr>
        <w:trPr>
          <w:trHeight w:val="199"/>
        </w:trPr>
        <w:tc>
          <w:tcPr>
            <w:tcW w:w="1220" w:type="dxa"/>
            <w:vAlign w:val="bottom"/>
            <w:tcBorders>
              <w:right w:val="single" w:sz="8" w:color="auto"/>
            </w:tcBorders>
          </w:tcPr>
          <w:p>
            <w:pPr>
              <w:spacing w:after="0"/>
              <w:rPr>
                <w:sz w:val="17"/>
                <w:szCs w:val="17"/>
                <w:color w:val="auto"/>
              </w:rPr>
            </w:pPr>
          </w:p>
        </w:tc>
        <w:tc>
          <w:tcPr>
            <w:tcW w:w="5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License and Other Revenue</w:t>
            </w:r>
          </w:p>
        </w:tc>
        <w:tc>
          <w:tcPr>
            <w:tcW w:w="2000" w:type="dxa"/>
            <w:vAlign w:val="bottom"/>
            <w:tcBorders>
              <w:bottom w:val="single" w:sz="8" w:color="auto"/>
              <w:right w:val="single" w:sz="8" w:color="auto"/>
            </w:tcBorders>
            <w:gridSpan w:val="2"/>
          </w:tcPr>
          <w:p>
            <w:pPr>
              <w:jc w:val="right"/>
              <w:ind w:right="77"/>
              <w:spacing w:after="0"/>
              <w:rPr>
                <w:sz w:val="20"/>
                <w:szCs w:val="20"/>
                <w:color w:val="auto"/>
              </w:rPr>
            </w:pPr>
            <w:r>
              <w:rPr>
                <w:rFonts w:ascii="Times New Roman" w:cs="Times New Roman" w:eastAsia="Times New Roman" w:hAnsi="Times New Roman"/>
                <w:sz w:val="16"/>
                <w:szCs w:val="16"/>
                <w:color w:val="auto"/>
              </w:rPr>
              <w:t>1,080</w:t>
            </w:r>
          </w:p>
        </w:tc>
        <w:tc>
          <w:tcPr>
            <w:tcW w:w="1920" w:type="dxa"/>
            <w:vAlign w:val="bottom"/>
          </w:tcPr>
          <w:p>
            <w:pPr>
              <w:spacing w:after="0"/>
              <w:rPr>
                <w:sz w:val="17"/>
                <w:szCs w:val="17"/>
                <w:color w:val="auto"/>
              </w:rPr>
            </w:pPr>
          </w:p>
        </w:tc>
      </w:tr>
      <w:tr>
        <w:trPr>
          <w:trHeight w:val="195"/>
        </w:trPr>
        <w:tc>
          <w:tcPr>
            <w:tcW w:w="1220" w:type="dxa"/>
            <w:vAlign w:val="bottom"/>
            <w:tcBorders>
              <w:right w:val="single" w:sz="8" w:color="auto"/>
            </w:tcBorders>
          </w:tcPr>
          <w:p>
            <w:pPr>
              <w:spacing w:after="0"/>
              <w:rPr>
                <w:sz w:val="16"/>
                <w:szCs w:val="16"/>
                <w:color w:val="auto"/>
              </w:rPr>
            </w:pPr>
          </w:p>
        </w:tc>
        <w:tc>
          <w:tcPr>
            <w:tcW w:w="55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2000" w:type="dxa"/>
            <w:vAlign w:val="bottom"/>
            <w:tcBorders>
              <w:right w:val="single" w:sz="8" w:color="auto"/>
            </w:tcBorders>
            <w:gridSpan w:val="2"/>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rPr>
              <w:t>1,080</w:t>
            </w:r>
          </w:p>
        </w:tc>
        <w:tc>
          <w:tcPr>
            <w:tcW w:w="1920" w:type="dxa"/>
            <w:vAlign w:val="bottom"/>
          </w:tcPr>
          <w:p>
            <w:pPr>
              <w:spacing w:after="0"/>
              <w:rPr>
                <w:sz w:val="16"/>
                <w:szCs w:val="16"/>
                <w:color w:val="auto"/>
              </w:rPr>
            </w:pPr>
          </w:p>
        </w:tc>
      </w:tr>
      <w:tr>
        <w:trPr>
          <w:trHeight w:val="219"/>
        </w:trPr>
        <w:tc>
          <w:tcPr>
            <w:tcW w:w="1220" w:type="dxa"/>
            <w:vAlign w:val="bottom"/>
            <w:tcBorders>
              <w:right w:val="single" w:sz="8" w:color="auto"/>
            </w:tcBorders>
          </w:tcPr>
          <w:p>
            <w:pPr>
              <w:spacing w:after="0"/>
              <w:rPr>
                <w:sz w:val="19"/>
                <w:szCs w:val="19"/>
                <w:color w:val="auto"/>
              </w:rPr>
            </w:pPr>
          </w:p>
        </w:tc>
        <w:tc>
          <w:tcPr>
            <w:tcW w:w="5560" w:type="dxa"/>
            <w:vAlign w:val="bottom"/>
            <w:shd w:val="clear" w:color="auto" w:fill="BFBFBF"/>
          </w:tcPr>
          <w:p>
            <w:pPr>
              <w:ind w:left="1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600" w:type="dxa"/>
            <w:vAlign w:val="bottom"/>
            <w:shd w:val="clear" w:color="auto" w:fill="BFBFBF"/>
          </w:tcPr>
          <w:p>
            <w:pPr>
              <w:spacing w:after="0"/>
              <w:rPr>
                <w:sz w:val="19"/>
                <w:szCs w:val="19"/>
                <w:color w:val="auto"/>
              </w:rPr>
            </w:pPr>
          </w:p>
        </w:tc>
        <w:tc>
          <w:tcPr>
            <w:tcW w:w="400" w:type="dxa"/>
            <w:vAlign w:val="bottom"/>
            <w:tcBorders>
              <w:right w:val="single" w:sz="8" w:color="auto"/>
            </w:tcBorders>
            <w:shd w:val="clear" w:color="auto" w:fill="BFBFBF"/>
          </w:tcPr>
          <w:p>
            <w:pPr>
              <w:spacing w:after="0"/>
              <w:rPr>
                <w:sz w:val="19"/>
                <w:szCs w:val="19"/>
                <w:color w:val="auto"/>
              </w:rPr>
            </w:pPr>
          </w:p>
        </w:tc>
        <w:tc>
          <w:tcPr>
            <w:tcW w:w="1920" w:type="dxa"/>
            <w:vAlign w:val="bottom"/>
          </w:tcPr>
          <w:p>
            <w:pPr>
              <w:spacing w:after="0"/>
              <w:rPr>
                <w:sz w:val="19"/>
                <w:szCs w:val="19"/>
                <w:color w:val="auto"/>
              </w:rPr>
            </w:pPr>
          </w:p>
        </w:tc>
      </w:tr>
      <w:tr>
        <w:trPr>
          <w:trHeight w:val="179"/>
        </w:trPr>
        <w:tc>
          <w:tcPr>
            <w:tcW w:w="1220" w:type="dxa"/>
            <w:vAlign w:val="bottom"/>
            <w:tcBorders>
              <w:right w:val="single" w:sz="8" w:color="auto"/>
            </w:tcBorders>
          </w:tcPr>
          <w:p>
            <w:pPr>
              <w:spacing w:after="0"/>
              <w:rPr>
                <w:sz w:val="15"/>
                <w:szCs w:val="15"/>
                <w:color w:val="auto"/>
              </w:rPr>
            </w:pPr>
          </w:p>
        </w:tc>
        <w:tc>
          <w:tcPr>
            <w:tcW w:w="5560" w:type="dxa"/>
            <w:vAlign w:val="bottom"/>
          </w:tcPr>
          <w:p>
            <w:pPr>
              <w:ind w:left="120"/>
              <w:spacing w:after="0" w:line="178" w:lineRule="exact"/>
              <w:rPr>
                <w:sz w:val="20"/>
                <w:szCs w:val="20"/>
                <w:color w:val="auto"/>
              </w:rPr>
            </w:pPr>
            <w:r>
              <w:rPr>
                <w:rFonts w:ascii="Times New Roman" w:cs="Times New Roman" w:eastAsia="Times New Roman" w:hAnsi="Times New Roman"/>
                <w:sz w:val="16"/>
                <w:szCs w:val="16"/>
                <w:color w:val="auto"/>
              </w:rPr>
              <w:t>Cost of Goods Sold</w:t>
            </w:r>
          </w:p>
        </w:tc>
        <w:tc>
          <w:tcPr>
            <w:tcW w:w="1600" w:type="dxa"/>
            <w:vAlign w:val="bottom"/>
          </w:tcPr>
          <w:p>
            <w:pPr>
              <w:spacing w:after="0"/>
              <w:rPr>
                <w:sz w:val="15"/>
                <w:szCs w:val="15"/>
                <w:color w:val="auto"/>
              </w:rPr>
            </w:pPr>
          </w:p>
        </w:tc>
        <w:tc>
          <w:tcPr>
            <w:tcW w:w="400" w:type="dxa"/>
            <w:vAlign w:val="bottom"/>
            <w:tcBorders>
              <w:right w:val="single" w:sz="8" w:color="auto"/>
            </w:tcBorders>
          </w:tcPr>
          <w:p>
            <w:pPr>
              <w:ind w:left="100"/>
              <w:spacing w:after="0" w:line="178" w:lineRule="exact"/>
              <w:rPr>
                <w:sz w:val="20"/>
                <w:szCs w:val="20"/>
                <w:color w:val="auto"/>
              </w:rPr>
            </w:pPr>
            <w:r>
              <w:rPr>
                <w:rFonts w:ascii="Times New Roman" w:cs="Times New Roman" w:eastAsia="Times New Roman" w:hAnsi="Times New Roman"/>
                <w:sz w:val="16"/>
                <w:szCs w:val="16"/>
                <w:color w:val="auto"/>
              </w:rPr>
              <w:t xml:space="preserve">- </w:t>
            </w:r>
          </w:p>
        </w:tc>
        <w:tc>
          <w:tcPr>
            <w:tcW w:w="1920" w:type="dxa"/>
            <w:vAlign w:val="bottom"/>
          </w:tcPr>
          <w:p>
            <w:pPr>
              <w:spacing w:after="0"/>
              <w:rPr>
                <w:sz w:val="15"/>
                <w:szCs w:val="15"/>
                <w:color w:val="auto"/>
              </w:rPr>
            </w:pPr>
          </w:p>
        </w:tc>
      </w:tr>
      <w:tr>
        <w:trPr>
          <w:trHeight w:val="195"/>
        </w:trPr>
        <w:tc>
          <w:tcPr>
            <w:tcW w:w="1220" w:type="dxa"/>
            <w:vAlign w:val="bottom"/>
            <w:tcBorders>
              <w:right w:val="single" w:sz="8" w:color="auto"/>
            </w:tcBorders>
          </w:tcPr>
          <w:p>
            <w:pPr>
              <w:spacing w:after="0"/>
              <w:rPr>
                <w:sz w:val="16"/>
                <w:szCs w:val="16"/>
                <w:color w:val="auto"/>
              </w:rPr>
            </w:pPr>
          </w:p>
        </w:tc>
        <w:tc>
          <w:tcPr>
            <w:tcW w:w="5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000" w:type="dxa"/>
            <w:vAlign w:val="bottom"/>
            <w:tcBorders>
              <w:right w:val="single" w:sz="8" w:color="auto"/>
            </w:tcBorders>
            <w:gridSpan w:val="2"/>
          </w:tcPr>
          <w:p>
            <w:pPr>
              <w:jc w:val="right"/>
              <w:ind w:right="17"/>
              <w:spacing w:after="0"/>
              <w:rPr>
                <w:sz w:val="20"/>
                <w:szCs w:val="20"/>
                <w:color w:val="auto"/>
              </w:rPr>
            </w:pPr>
            <w:r>
              <w:rPr>
                <w:rFonts w:ascii="Times New Roman" w:cs="Times New Roman" w:eastAsia="Times New Roman" w:hAnsi="Times New Roman"/>
                <w:sz w:val="16"/>
                <w:szCs w:val="16"/>
                <w:color w:val="auto"/>
              </w:rPr>
              <w:t>(6,868)</w:t>
            </w:r>
          </w:p>
        </w:tc>
        <w:tc>
          <w:tcPr>
            <w:tcW w:w="1920" w:type="dxa"/>
            <w:vAlign w:val="bottom"/>
          </w:tcPr>
          <w:p>
            <w:pPr>
              <w:spacing w:after="0"/>
              <w:rPr>
                <w:sz w:val="16"/>
                <w:szCs w:val="16"/>
                <w:color w:val="auto"/>
              </w:rPr>
            </w:pPr>
          </w:p>
        </w:tc>
      </w:tr>
      <w:tr>
        <w:trPr>
          <w:trHeight w:val="195"/>
        </w:trPr>
        <w:tc>
          <w:tcPr>
            <w:tcW w:w="1220" w:type="dxa"/>
            <w:vAlign w:val="bottom"/>
            <w:tcBorders>
              <w:right w:val="single" w:sz="8" w:color="auto"/>
            </w:tcBorders>
          </w:tcPr>
          <w:p>
            <w:pPr>
              <w:spacing w:after="0"/>
              <w:rPr>
                <w:sz w:val="16"/>
                <w:szCs w:val="16"/>
                <w:color w:val="auto"/>
              </w:rPr>
            </w:pPr>
          </w:p>
        </w:tc>
        <w:tc>
          <w:tcPr>
            <w:tcW w:w="5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000" w:type="dxa"/>
            <w:vAlign w:val="bottom"/>
            <w:tcBorders>
              <w:right w:val="single" w:sz="8" w:color="auto"/>
            </w:tcBorders>
            <w:gridSpan w:val="2"/>
          </w:tcPr>
          <w:p>
            <w:pPr>
              <w:jc w:val="right"/>
              <w:ind w:right="17"/>
              <w:spacing w:after="0"/>
              <w:rPr>
                <w:sz w:val="20"/>
                <w:szCs w:val="20"/>
                <w:color w:val="auto"/>
              </w:rPr>
            </w:pPr>
            <w:r>
              <w:rPr>
                <w:rFonts w:ascii="Times New Roman" w:cs="Times New Roman" w:eastAsia="Times New Roman" w:hAnsi="Times New Roman"/>
                <w:sz w:val="16"/>
                <w:szCs w:val="16"/>
                <w:color w:val="auto"/>
              </w:rPr>
              <w:t>(261,497)</w:t>
            </w:r>
          </w:p>
        </w:tc>
        <w:tc>
          <w:tcPr>
            <w:tcW w:w="1920" w:type="dxa"/>
            <w:vAlign w:val="bottom"/>
          </w:tcPr>
          <w:p>
            <w:pPr>
              <w:spacing w:after="0"/>
              <w:rPr>
                <w:sz w:val="16"/>
                <w:szCs w:val="16"/>
                <w:color w:val="auto"/>
              </w:rPr>
            </w:pPr>
          </w:p>
        </w:tc>
      </w:tr>
      <w:tr>
        <w:trPr>
          <w:trHeight w:val="195"/>
        </w:trPr>
        <w:tc>
          <w:tcPr>
            <w:tcW w:w="1220" w:type="dxa"/>
            <w:vAlign w:val="bottom"/>
            <w:tcBorders>
              <w:right w:val="single" w:sz="8" w:color="auto"/>
            </w:tcBorders>
          </w:tcPr>
          <w:p>
            <w:pPr>
              <w:spacing w:after="0"/>
              <w:rPr>
                <w:sz w:val="16"/>
                <w:szCs w:val="16"/>
                <w:color w:val="auto"/>
              </w:rPr>
            </w:pPr>
          </w:p>
        </w:tc>
        <w:tc>
          <w:tcPr>
            <w:tcW w:w="5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 Based Compensation</w:t>
            </w:r>
          </w:p>
        </w:tc>
        <w:tc>
          <w:tcPr>
            <w:tcW w:w="2000" w:type="dxa"/>
            <w:vAlign w:val="bottom"/>
            <w:tcBorders>
              <w:right w:val="single" w:sz="8" w:color="auto"/>
            </w:tcBorders>
            <w:gridSpan w:val="2"/>
          </w:tcPr>
          <w:p>
            <w:pPr>
              <w:jc w:val="right"/>
              <w:ind w:right="17"/>
              <w:spacing w:after="0"/>
              <w:rPr>
                <w:sz w:val="20"/>
                <w:szCs w:val="20"/>
                <w:color w:val="auto"/>
              </w:rPr>
            </w:pPr>
            <w:r>
              <w:rPr>
                <w:rFonts w:ascii="Times New Roman" w:cs="Times New Roman" w:eastAsia="Times New Roman" w:hAnsi="Times New Roman"/>
                <w:sz w:val="16"/>
                <w:szCs w:val="16"/>
                <w:color w:val="auto"/>
              </w:rPr>
              <w:t>(204,953)</w:t>
            </w:r>
          </w:p>
        </w:tc>
        <w:tc>
          <w:tcPr>
            <w:tcW w:w="1920" w:type="dxa"/>
            <w:vAlign w:val="bottom"/>
          </w:tcPr>
          <w:p>
            <w:pPr>
              <w:spacing w:after="0"/>
              <w:rPr>
                <w:sz w:val="16"/>
                <w:szCs w:val="16"/>
                <w:color w:val="auto"/>
              </w:rPr>
            </w:pPr>
          </w:p>
        </w:tc>
      </w:tr>
      <w:tr>
        <w:trPr>
          <w:trHeight w:val="216"/>
        </w:trPr>
        <w:tc>
          <w:tcPr>
            <w:tcW w:w="1220" w:type="dxa"/>
            <w:vAlign w:val="bottom"/>
            <w:tcBorders>
              <w:right w:val="single" w:sz="8" w:color="auto"/>
            </w:tcBorders>
          </w:tcPr>
          <w:p>
            <w:pPr>
              <w:spacing w:after="0"/>
              <w:rPr>
                <w:sz w:val="18"/>
                <w:szCs w:val="18"/>
                <w:color w:val="auto"/>
              </w:rPr>
            </w:pPr>
          </w:p>
        </w:tc>
        <w:tc>
          <w:tcPr>
            <w:tcW w:w="5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Depreciation</w:t>
            </w:r>
          </w:p>
        </w:tc>
        <w:tc>
          <w:tcPr>
            <w:tcW w:w="2000" w:type="dxa"/>
            <w:vAlign w:val="bottom"/>
            <w:tcBorders>
              <w:bottom w:val="single" w:sz="8" w:color="auto"/>
              <w:right w:val="single" w:sz="8" w:color="auto"/>
            </w:tcBorders>
            <w:gridSpan w:val="2"/>
          </w:tcPr>
          <w:p>
            <w:pPr>
              <w:jc w:val="right"/>
              <w:ind w:right="17"/>
              <w:spacing w:after="0"/>
              <w:rPr>
                <w:sz w:val="20"/>
                <w:szCs w:val="20"/>
                <w:color w:val="auto"/>
              </w:rPr>
            </w:pPr>
            <w:r>
              <w:rPr>
                <w:rFonts w:ascii="Times New Roman" w:cs="Times New Roman" w:eastAsia="Times New Roman" w:hAnsi="Times New Roman"/>
                <w:sz w:val="16"/>
                <w:szCs w:val="16"/>
                <w:color w:val="auto"/>
              </w:rPr>
              <w:t>(27,933)</w:t>
            </w:r>
          </w:p>
        </w:tc>
        <w:tc>
          <w:tcPr>
            <w:tcW w:w="1920" w:type="dxa"/>
            <w:vAlign w:val="bottom"/>
          </w:tcPr>
          <w:p>
            <w:pPr>
              <w:spacing w:after="0"/>
              <w:rPr>
                <w:sz w:val="18"/>
                <w:szCs w:val="18"/>
                <w:color w:val="auto"/>
              </w:rPr>
            </w:pPr>
          </w:p>
        </w:tc>
      </w:tr>
      <w:tr>
        <w:trPr>
          <w:trHeight w:val="213"/>
        </w:trPr>
        <w:tc>
          <w:tcPr>
            <w:tcW w:w="1220" w:type="dxa"/>
            <w:vAlign w:val="bottom"/>
            <w:tcBorders>
              <w:right w:val="single" w:sz="8" w:color="auto"/>
            </w:tcBorders>
          </w:tcPr>
          <w:p>
            <w:pPr>
              <w:spacing w:after="0"/>
              <w:rPr>
                <w:sz w:val="18"/>
                <w:szCs w:val="18"/>
                <w:color w:val="auto"/>
              </w:rPr>
            </w:pPr>
          </w:p>
        </w:tc>
        <w:tc>
          <w:tcPr>
            <w:tcW w:w="55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TOTAL EXPENSES</w:t>
            </w:r>
          </w:p>
        </w:tc>
        <w:tc>
          <w:tcPr>
            <w:tcW w:w="2000" w:type="dxa"/>
            <w:vAlign w:val="bottom"/>
            <w:tcBorders>
              <w:right w:val="single" w:sz="8" w:color="auto"/>
            </w:tcBorders>
            <w:gridSpan w:val="2"/>
          </w:tcPr>
          <w:p>
            <w:pPr>
              <w:jc w:val="right"/>
              <w:ind w:right="17"/>
              <w:spacing w:after="0"/>
              <w:rPr>
                <w:sz w:val="20"/>
                <w:szCs w:val="20"/>
                <w:color w:val="auto"/>
              </w:rPr>
            </w:pPr>
            <w:r>
              <w:rPr>
                <w:rFonts w:ascii="Times New Roman" w:cs="Times New Roman" w:eastAsia="Times New Roman" w:hAnsi="Times New Roman"/>
                <w:sz w:val="16"/>
                <w:szCs w:val="16"/>
                <w:b w:val="1"/>
                <w:bCs w:val="1"/>
                <w:color w:val="auto"/>
              </w:rPr>
              <w:t>(501,251)</w:t>
            </w:r>
          </w:p>
        </w:tc>
        <w:tc>
          <w:tcPr>
            <w:tcW w:w="1920" w:type="dxa"/>
            <w:vAlign w:val="bottom"/>
          </w:tcPr>
          <w:p>
            <w:pPr>
              <w:spacing w:after="0"/>
              <w:rPr>
                <w:sz w:val="18"/>
                <w:szCs w:val="18"/>
                <w:color w:val="auto"/>
              </w:rPr>
            </w:pPr>
          </w:p>
        </w:tc>
      </w:tr>
      <w:tr>
        <w:trPr>
          <w:trHeight w:val="238"/>
        </w:trPr>
        <w:tc>
          <w:tcPr>
            <w:tcW w:w="1220" w:type="dxa"/>
            <w:vAlign w:val="bottom"/>
            <w:tcBorders>
              <w:right w:val="single" w:sz="8" w:color="auto"/>
            </w:tcBorders>
          </w:tcPr>
          <w:p>
            <w:pPr>
              <w:spacing w:after="0"/>
              <w:rPr>
                <w:sz w:val="20"/>
                <w:szCs w:val="20"/>
                <w:color w:val="auto"/>
              </w:rPr>
            </w:pPr>
          </w:p>
        </w:tc>
        <w:tc>
          <w:tcPr>
            <w:tcW w:w="55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INCOME (LOSS) BEFORE OTHER INCOME (LOSS)</w:t>
            </w:r>
          </w:p>
        </w:tc>
        <w:tc>
          <w:tcPr>
            <w:tcW w:w="2000" w:type="dxa"/>
            <w:vAlign w:val="bottom"/>
            <w:tcBorders>
              <w:right w:val="single" w:sz="8" w:color="auto"/>
            </w:tcBorders>
            <w:gridSpan w:val="2"/>
          </w:tcPr>
          <w:p>
            <w:pPr>
              <w:jc w:val="right"/>
              <w:ind w:right="17"/>
              <w:spacing w:after="0"/>
              <w:rPr>
                <w:sz w:val="20"/>
                <w:szCs w:val="20"/>
                <w:color w:val="auto"/>
              </w:rPr>
            </w:pPr>
            <w:r>
              <w:rPr>
                <w:rFonts w:ascii="Times New Roman" w:cs="Times New Roman" w:eastAsia="Times New Roman" w:hAnsi="Times New Roman"/>
                <w:sz w:val="16"/>
                <w:szCs w:val="16"/>
                <w:b w:val="1"/>
                <w:bCs w:val="1"/>
                <w:color w:val="auto"/>
              </w:rPr>
              <w:t>(500,171)</w:t>
            </w:r>
          </w:p>
        </w:tc>
        <w:tc>
          <w:tcPr>
            <w:tcW w:w="1920" w:type="dxa"/>
            <w:vAlign w:val="bottom"/>
          </w:tcPr>
          <w:p>
            <w:pPr>
              <w:spacing w:after="0"/>
              <w:rPr>
                <w:sz w:val="20"/>
                <w:szCs w:val="20"/>
                <w:color w:val="auto"/>
              </w:rPr>
            </w:pPr>
          </w:p>
        </w:tc>
      </w:tr>
      <w:tr>
        <w:trPr>
          <w:trHeight w:val="220"/>
        </w:trPr>
        <w:tc>
          <w:tcPr>
            <w:tcW w:w="1220" w:type="dxa"/>
            <w:vAlign w:val="bottom"/>
            <w:tcBorders>
              <w:right w:val="single" w:sz="8" w:color="auto"/>
            </w:tcBorders>
          </w:tcPr>
          <w:p>
            <w:pPr>
              <w:spacing w:after="0"/>
              <w:rPr>
                <w:sz w:val="19"/>
                <w:szCs w:val="19"/>
                <w:color w:val="auto"/>
              </w:rPr>
            </w:pPr>
          </w:p>
        </w:tc>
        <w:tc>
          <w:tcPr>
            <w:tcW w:w="5560" w:type="dxa"/>
            <w:vAlign w:val="bottom"/>
            <w:shd w:val="clear" w:color="auto" w:fill="BFBFBF"/>
          </w:tcPr>
          <w:p>
            <w:pPr>
              <w:ind w:left="120"/>
              <w:spacing w:after="0"/>
              <w:rPr>
                <w:sz w:val="20"/>
                <w:szCs w:val="20"/>
                <w:color w:val="auto"/>
              </w:rPr>
            </w:pPr>
            <w:r>
              <w:rPr>
                <w:rFonts w:ascii="Times New Roman" w:cs="Times New Roman" w:eastAsia="Times New Roman" w:hAnsi="Times New Roman"/>
                <w:sz w:val="16"/>
                <w:szCs w:val="16"/>
                <w:b w:val="1"/>
                <w:bCs w:val="1"/>
                <w:color w:val="auto"/>
              </w:rPr>
              <w:t>OTHER INCOME (LOSS)</w:t>
            </w:r>
          </w:p>
        </w:tc>
        <w:tc>
          <w:tcPr>
            <w:tcW w:w="1600" w:type="dxa"/>
            <w:vAlign w:val="bottom"/>
            <w:shd w:val="clear" w:color="auto" w:fill="BFBFBF"/>
          </w:tcPr>
          <w:p>
            <w:pPr>
              <w:spacing w:after="0"/>
              <w:rPr>
                <w:sz w:val="19"/>
                <w:szCs w:val="19"/>
                <w:color w:val="auto"/>
              </w:rPr>
            </w:pPr>
          </w:p>
        </w:tc>
        <w:tc>
          <w:tcPr>
            <w:tcW w:w="400" w:type="dxa"/>
            <w:vAlign w:val="bottom"/>
            <w:tcBorders>
              <w:right w:val="single" w:sz="8" w:color="auto"/>
            </w:tcBorders>
            <w:shd w:val="clear" w:color="auto" w:fill="BFBFBF"/>
          </w:tcPr>
          <w:p>
            <w:pPr>
              <w:spacing w:after="0"/>
              <w:rPr>
                <w:sz w:val="19"/>
                <w:szCs w:val="19"/>
                <w:color w:val="auto"/>
              </w:rPr>
            </w:pPr>
          </w:p>
        </w:tc>
        <w:tc>
          <w:tcPr>
            <w:tcW w:w="1920" w:type="dxa"/>
            <w:vAlign w:val="bottom"/>
          </w:tcPr>
          <w:p>
            <w:pPr>
              <w:spacing w:after="0"/>
              <w:rPr>
                <w:sz w:val="19"/>
                <w:szCs w:val="19"/>
                <w:color w:val="auto"/>
              </w:rPr>
            </w:pPr>
          </w:p>
        </w:tc>
      </w:tr>
      <w:tr>
        <w:trPr>
          <w:trHeight w:val="179"/>
        </w:trPr>
        <w:tc>
          <w:tcPr>
            <w:tcW w:w="1220" w:type="dxa"/>
            <w:vAlign w:val="bottom"/>
            <w:tcBorders>
              <w:right w:val="single" w:sz="8" w:color="auto"/>
            </w:tcBorders>
          </w:tcPr>
          <w:p>
            <w:pPr>
              <w:spacing w:after="0"/>
              <w:rPr>
                <w:sz w:val="15"/>
                <w:szCs w:val="15"/>
                <w:color w:val="auto"/>
              </w:rPr>
            </w:pPr>
          </w:p>
        </w:tc>
        <w:tc>
          <w:tcPr>
            <w:tcW w:w="5560" w:type="dxa"/>
            <w:vAlign w:val="bottom"/>
          </w:tcPr>
          <w:p>
            <w:pPr>
              <w:ind w:left="120"/>
              <w:spacing w:after="0" w:line="178" w:lineRule="exact"/>
              <w:rPr>
                <w:sz w:val="20"/>
                <w:szCs w:val="20"/>
                <w:color w:val="auto"/>
              </w:rPr>
            </w:pPr>
            <w:r>
              <w:rPr>
                <w:rFonts w:ascii="Times New Roman" w:cs="Times New Roman" w:eastAsia="Times New Roman" w:hAnsi="Times New Roman"/>
                <w:sz w:val="16"/>
                <w:szCs w:val="16"/>
                <w:color w:val="auto"/>
              </w:rPr>
              <w:t>Interest Income</w:t>
            </w:r>
          </w:p>
        </w:tc>
        <w:tc>
          <w:tcPr>
            <w:tcW w:w="2000" w:type="dxa"/>
            <w:vAlign w:val="bottom"/>
            <w:tcBorders>
              <w:right w:val="single" w:sz="8" w:color="auto"/>
            </w:tcBorders>
            <w:gridSpan w:val="2"/>
          </w:tcPr>
          <w:p>
            <w:pPr>
              <w:jc w:val="right"/>
              <w:ind w:right="77"/>
              <w:spacing w:after="0" w:line="178" w:lineRule="exact"/>
              <w:rPr>
                <w:sz w:val="20"/>
                <w:szCs w:val="20"/>
                <w:color w:val="auto"/>
              </w:rPr>
            </w:pPr>
            <w:r>
              <w:rPr>
                <w:rFonts w:ascii="Times New Roman" w:cs="Times New Roman" w:eastAsia="Times New Roman" w:hAnsi="Times New Roman"/>
                <w:sz w:val="16"/>
                <w:szCs w:val="16"/>
                <w:color w:val="auto"/>
              </w:rPr>
              <w:t>9,286</w:t>
            </w:r>
          </w:p>
        </w:tc>
        <w:tc>
          <w:tcPr>
            <w:tcW w:w="1920" w:type="dxa"/>
            <w:vAlign w:val="bottom"/>
          </w:tcPr>
          <w:p>
            <w:pPr>
              <w:spacing w:after="0"/>
              <w:rPr>
                <w:sz w:val="15"/>
                <w:szCs w:val="15"/>
                <w:color w:val="auto"/>
              </w:rPr>
            </w:pPr>
          </w:p>
        </w:tc>
      </w:tr>
      <w:tr>
        <w:trPr>
          <w:trHeight w:val="216"/>
        </w:trPr>
        <w:tc>
          <w:tcPr>
            <w:tcW w:w="1220" w:type="dxa"/>
            <w:vAlign w:val="bottom"/>
            <w:tcBorders>
              <w:right w:val="single" w:sz="8" w:color="auto"/>
            </w:tcBorders>
          </w:tcPr>
          <w:p>
            <w:pPr>
              <w:spacing w:after="0"/>
              <w:rPr>
                <w:sz w:val="18"/>
                <w:szCs w:val="18"/>
                <w:color w:val="auto"/>
              </w:rPr>
            </w:pPr>
          </w:p>
        </w:tc>
        <w:tc>
          <w:tcPr>
            <w:tcW w:w="5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Other Income, Net</w:t>
            </w:r>
          </w:p>
        </w:tc>
        <w:tc>
          <w:tcPr>
            <w:tcW w:w="160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 xml:space="preserve">- </w:t>
            </w:r>
          </w:p>
        </w:tc>
        <w:tc>
          <w:tcPr>
            <w:tcW w:w="1920" w:type="dxa"/>
            <w:vAlign w:val="bottom"/>
          </w:tcPr>
          <w:p>
            <w:pPr>
              <w:spacing w:after="0"/>
              <w:rPr>
                <w:sz w:val="18"/>
                <w:szCs w:val="18"/>
                <w:color w:val="auto"/>
              </w:rPr>
            </w:pPr>
          </w:p>
        </w:tc>
      </w:tr>
      <w:tr>
        <w:trPr>
          <w:trHeight w:val="213"/>
        </w:trPr>
        <w:tc>
          <w:tcPr>
            <w:tcW w:w="1220" w:type="dxa"/>
            <w:vAlign w:val="bottom"/>
            <w:tcBorders>
              <w:right w:val="single" w:sz="8" w:color="auto"/>
            </w:tcBorders>
          </w:tcPr>
          <w:p>
            <w:pPr>
              <w:spacing w:after="0"/>
              <w:rPr>
                <w:sz w:val="18"/>
                <w:szCs w:val="18"/>
                <w:color w:val="auto"/>
              </w:rPr>
            </w:pPr>
          </w:p>
        </w:tc>
        <w:tc>
          <w:tcPr>
            <w:tcW w:w="55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TOTAL OTHER INCOME (LOSS)</w:t>
            </w:r>
          </w:p>
        </w:tc>
        <w:tc>
          <w:tcPr>
            <w:tcW w:w="2000" w:type="dxa"/>
            <w:vAlign w:val="bottom"/>
            <w:tcBorders>
              <w:right w:val="single" w:sz="8" w:color="auto"/>
            </w:tcBorders>
            <w:gridSpan w:val="2"/>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rPr>
              <w:t>9,286</w:t>
            </w:r>
          </w:p>
        </w:tc>
        <w:tc>
          <w:tcPr>
            <w:tcW w:w="1920" w:type="dxa"/>
            <w:vAlign w:val="bottom"/>
          </w:tcPr>
          <w:p>
            <w:pPr>
              <w:spacing w:after="0"/>
              <w:rPr>
                <w:sz w:val="18"/>
                <w:szCs w:val="18"/>
                <w:color w:val="auto"/>
              </w:rPr>
            </w:pPr>
          </w:p>
        </w:tc>
      </w:tr>
      <w:tr>
        <w:trPr>
          <w:trHeight w:val="243"/>
        </w:trPr>
        <w:tc>
          <w:tcPr>
            <w:tcW w:w="1220" w:type="dxa"/>
            <w:vAlign w:val="bottom"/>
            <w:tcBorders>
              <w:right w:val="single" w:sz="8" w:color="auto"/>
            </w:tcBorders>
          </w:tcPr>
          <w:p>
            <w:pPr>
              <w:spacing w:after="0"/>
              <w:rPr>
                <w:sz w:val="21"/>
                <w:szCs w:val="21"/>
                <w:color w:val="auto"/>
              </w:rPr>
            </w:pPr>
          </w:p>
        </w:tc>
        <w:tc>
          <w:tcPr>
            <w:tcW w:w="5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2000" w:type="dxa"/>
            <w:vAlign w:val="bottom"/>
            <w:tcBorders>
              <w:bottom w:val="single" w:sz="8" w:color="auto"/>
              <w:right w:val="single" w:sz="8" w:color="auto"/>
            </w:tcBorders>
            <w:gridSpan w:val="2"/>
          </w:tcPr>
          <w:p>
            <w:pPr>
              <w:jc w:val="right"/>
              <w:ind w:right="17"/>
              <w:spacing w:after="0"/>
              <w:rPr>
                <w:sz w:val="20"/>
                <w:szCs w:val="20"/>
                <w:color w:val="auto"/>
              </w:rPr>
            </w:pPr>
            <w:r>
              <w:rPr>
                <w:rFonts w:ascii="Times New Roman" w:cs="Times New Roman" w:eastAsia="Times New Roman" w:hAnsi="Times New Roman"/>
                <w:sz w:val="16"/>
                <w:szCs w:val="16"/>
                <w:b w:val="1"/>
                <w:bCs w:val="1"/>
                <w:color w:val="auto"/>
              </w:rPr>
              <w:t>(490,885)</w:t>
            </w:r>
          </w:p>
        </w:tc>
        <w:tc>
          <w:tcPr>
            <w:tcW w:w="1920" w:type="dxa"/>
            <w:vAlign w:val="bottom"/>
          </w:tcPr>
          <w:p>
            <w:pPr>
              <w:spacing w:after="0"/>
              <w:rPr>
                <w:sz w:val="21"/>
                <w:szCs w:val="21"/>
                <w:color w:val="auto"/>
              </w:rPr>
            </w:pPr>
          </w:p>
        </w:tc>
      </w:tr>
    </w:tbl>
    <w:p>
      <w:pPr>
        <w:spacing w:after="0"/>
        <w:rPr>
          <w:sz w:val="20"/>
          <w:szCs w:val="20"/>
          <w:color w:val="auto"/>
        </w:rPr>
        <w:sectPr>
          <w:pgSz w:w="11900" w:h="16838" w:orient="portrait"/>
          <w:cols w:equalWidth="0" w:num="1">
            <w:col w:w="10700"/>
          </w:cols>
          <w:pgMar w:left="960" w:top="230" w:right="239" w:bottom="1440" w:gutter="0" w:footer="0" w:header="0"/>
        </w:sect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186295" cy="361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295" cy="36195"/>
                    </a:xfrm>
                    <a:prstGeom prst="rect">
                      <a:avLst/>
                    </a:prstGeom>
                    <a:noFill/>
                  </pic:spPr>
                </pic:pic>
              </a:graphicData>
            </a:graphic>
          </wp:anchor>
        </w:drawing>
      </w:r>
    </w:p>
    <w:bookmarkStart w:id="21" w:name="page22"/>
    <w:bookmarkEnd w:id="21"/>
    <w:tbl>
      <w:tblPr>
        <w:tblLayout w:type="fixed"/>
        <w:tblInd w:w="10" w:type="dxa"/>
        <w:tblCellMar>
          <w:top w:w="0" w:type="dxa"/>
          <w:left w:w="0" w:type="dxa"/>
          <w:bottom w:w="0" w:type="dxa"/>
          <w:right w:w="0" w:type="dxa"/>
        </w:tblCellMar>
      </w:tblPr>
      <w:tr>
        <w:trPr>
          <w:trHeight w:val="230"/>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 re Clearside Biomedical, Inc.    </w:t>
            </w:r>
          </w:p>
        </w:tc>
        <w:tc>
          <w:tcPr>
            <w:tcW w:w="284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2"/>
              </w:rPr>
              <w:t>Case 25-12109-TMH   Doc 115 </w:t>
            </w:r>
          </w:p>
        </w:tc>
        <w:tc>
          <w:tcPr>
            <w:tcW w:w="3520" w:type="dxa"/>
            <w:vAlign w:val="bottom"/>
            <w:gridSpan w:val="2"/>
          </w:tcPr>
          <w:p>
            <w:pPr>
              <w:jc w:val="right"/>
              <w:ind w:right="918"/>
              <w:spacing w:after="0"/>
              <w:rPr>
                <w:sz w:val="20"/>
                <w:szCs w:val="20"/>
                <w:color w:val="auto"/>
              </w:rPr>
            </w:pPr>
            <w:r>
              <w:rPr>
                <w:rFonts w:ascii="Times New Roman" w:cs="Times New Roman" w:eastAsia="Times New Roman" w:hAnsi="Times New Roman"/>
                <w:sz w:val="20"/>
                <w:szCs w:val="20"/>
                <w:color w:val="auto"/>
                <w:w w:val="96"/>
              </w:rPr>
              <w:t>Filed 12/23/25   Page 18 of 18</w:t>
            </w:r>
          </w:p>
        </w:tc>
        <w:tc>
          <w:tcPr>
            <w:tcW w:w="17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Case No. 2</w:t>
            </w:r>
          </w:p>
        </w:tc>
        <w:tc>
          <w:tcPr>
            <w:tcW w:w="0" w:type="dxa"/>
            <w:vAlign w:val="bottom"/>
          </w:tcPr>
          <w:p>
            <w:pPr>
              <w:spacing w:after="0"/>
              <w:rPr>
                <w:sz w:val="1"/>
                <w:szCs w:val="1"/>
                <w:color w:val="auto"/>
              </w:rPr>
            </w:pPr>
          </w:p>
        </w:tc>
      </w:tr>
      <w:tr>
        <w:trPr>
          <w:trHeight w:val="233"/>
        </w:trPr>
        <w:tc>
          <w:tcPr>
            <w:tcW w:w="2640" w:type="dxa"/>
            <w:vAlign w:val="bottom"/>
          </w:tcPr>
          <w:p>
            <w:pPr>
              <w:spacing w:after="0"/>
              <w:rPr>
                <w:sz w:val="20"/>
                <w:szCs w:val="20"/>
                <w:color w:val="auto"/>
              </w:rPr>
            </w:pPr>
            <w:r>
              <w:rPr>
                <w:rFonts w:ascii="Times New Roman" w:cs="Times New Roman" w:eastAsia="Times New Roman" w:hAnsi="Times New Roman"/>
                <w:sz w:val="16"/>
                <w:szCs w:val="16"/>
                <w:color w:val="auto"/>
              </w:rPr>
              <w:t>Debtor</w:t>
            </w:r>
          </w:p>
        </w:tc>
        <w:tc>
          <w:tcPr>
            <w:tcW w:w="28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46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w w:val="95"/>
              </w:rPr>
              <w:t>      Reporting Period: 11/23/25 to 1</w:t>
            </w:r>
          </w:p>
        </w:tc>
        <w:tc>
          <w:tcPr>
            <w:tcW w:w="0" w:type="dxa"/>
            <w:vAlign w:val="bottom"/>
          </w:tcPr>
          <w:p>
            <w:pPr>
              <w:spacing w:after="0"/>
              <w:rPr>
                <w:sz w:val="1"/>
                <w:szCs w:val="1"/>
                <w:color w:val="auto"/>
              </w:rPr>
            </w:pPr>
          </w:p>
        </w:tc>
      </w:tr>
      <w:tr>
        <w:trPr>
          <w:trHeight w:val="591"/>
        </w:trPr>
        <w:tc>
          <w:tcPr>
            <w:tcW w:w="2640" w:type="dxa"/>
            <w:vAlign w:val="bottom"/>
          </w:tcPr>
          <w:p>
            <w:pPr>
              <w:spacing w:after="0"/>
              <w:rPr>
                <w:sz w:val="24"/>
                <w:szCs w:val="24"/>
                <w:color w:val="auto"/>
              </w:rPr>
            </w:pPr>
          </w:p>
        </w:tc>
        <w:tc>
          <w:tcPr>
            <w:tcW w:w="4600" w:type="dxa"/>
            <w:vAlign w:val="bottom"/>
            <w:gridSpan w:val="2"/>
          </w:tcPr>
          <w:p>
            <w:pPr>
              <w:jc w:val="right"/>
              <w:ind w:right="1456"/>
              <w:spacing w:after="0"/>
              <w:rPr>
                <w:sz w:val="20"/>
                <w:szCs w:val="20"/>
                <w:color w:val="auto"/>
              </w:rPr>
            </w:pPr>
            <w:r>
              <w:rPr>
                <w:rFonts w:ascii="Times New Roman" w:cs="Times New Roman" w:eastAsia="Times New Roman" w:hAnsi="Times New Roman"/>
                <w:sz w:val="16"/>
                <w:szCs w:val="16"/>
                <w:b w:val="1"/>
                <w:bCs w:val="1"/>
                <w:color w:val="auto"/>
              </w:rPr>
              <w:t>BANK ACCOUNTS</w:t>
            </w:r>
          </w:p>
        </w:tc>
        <w:tc>
          <w:tcPr>
            <w:tcW w:w="1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64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640" w:type="dxa"/>
            <w:vAlign w:val="bottom"/>
            <w:tcBorders>
              <w:left w:val="single" w:sz="8" w:color="auto"/>
              <w:right w:val="single" w:sz="8" w:color="BFBFBF"/>
            </w:tcBorders>
            <w:shd w:val="clear" w:color="auto" w:fill="BFBFBF"/>
          </w:tcPr>
          <w:p>
            <w:pPr>
              <w:spacing w:after="0"/>
              <w:rPr>
                <w:sz w:val="14"/>
                <w:szCs w:val="14"/>
                <w:color w:val="auto"/>
              </w:rPr>
            </w:pPr>
          </w:p>
        </w:tc>
        <w:tc>
          <w:tcPr>
            <w:tcW w:w="2840" w:type="dxa"/>
            <w:vAlign w:val="bottom"/>
            <w:tcBorders>
              <w:right w:val="single" w:sz="8" w:color="BFBFBF"/>
            </w:tcBorders>
            <w:shd w:val="clear" w:color="auto" w:fill="BFBFBF"/>
          </w:tcPr>
          <w:p>
            <w:pPr>
              <w:spacing w:after="0"/>
              <w:rPr>
                <w:sz w:val="14"/>
                <w:szCs w:val="14"/>
                <w:color w:val="auto"/>
              </w:rPr>
            </w:pPr>
          </w:p>
        </w:tc>
        <w:tc>
          <w:tcPr>
            <w:tcW w:w="1760" w:type="dxa"/>
            <w:vAlign w:val="bottom"/>
            <w:tcBorders>
              <w:right w:val="single" w:sz="8" w:color="BFBFBF"/>
            </w:tcBorders>
            <w:shd w:val="clear" w:color="auto" w:fill="BFBFBF"/>
          </w:tcPr>
          <w:p>
            <w:pPr>
              <w:jc w:val="right"/>
              <w:ind w:right="276"/>
              <w:spacing w:after="0" w:line="169" w:lineRule="exact"/>
              <w:rPr>
                <w:sz w:val="20"/>
                <w:szCs w:val="20"/>
                <w:color w:val="auto"/>
              </w:rPr>
            </w:pPr>
            <w:r>
              <w:rPr>
                <w:rFonts w:ascii="Times New Roman" w:cs="Times New Roman" w:eastAsia="Times New Roman" w:hAnsi="Times New Roman"/>
                <w:sz w:val="16"/>
                <w:szCs w:val="16"/>
                <w:b w:val="1"/>
                <w:bCs w:val="1"/>
                <w:color w:val="auto"/>
              </w:rPr>
              <w:t>Account number</w:t>
            </w:r>
          </w:p>
        </w:tc>
        <w:tc>
          <w:tcPr>
            <w:tcW w:w="1760" w:type="dxa"/>
            <w:vAlign w:val="bottom"/>
            <w:tcBorders>
              <w:right w:val="single" w:sz="8" w:color="BFBFBF"/>
            </w:tcBorders>
            <w:shd w:val="clear" w:color="auto" w:fill="BFBFBF"/>
          </w:tcPr>
          <w:p>
            <w:pPr>
              <w:jc w:val="right"/>
              <w:ind w:right="278"/>
              <w:spacing w:after="0" w:line="169" w:lineRule="exact"/>
              <w:rPr>
                <w:sz w:val="20"/>
                <w:szCs w:val="20"/>
                <w:color w:val="auto"/>
              </w:rPr>
            </w:pPr>
            <w:r>
              <w:rPr>
                <w:rFonts w:ascii="Times New Roman" w:cs="Times New Roman" w:eastAsia="Times New Roman" w:hAnsi="Times New Roman"/>
                <w:sz w:val="16"/>
                <w:szCs w:val="16"/>
                <w:b w:val="1"/>
                <w:bCs w:val="1"/>
                <w:color w:val="auto"/>
              </w:rPr>
              <w:t>Period-end bank</w:t>
            </w:r>
          </w:p>
        </w:tc>
        <w:tc>
          <w:tcPr>
            <w:tcW w:w="980" w:type="dxa"/>
            <w:vAlign w:val="bottom"/>
            <w:tcBorders>
              <w:right w:val="single" w:sz="8" w:color="auto"/>
            </w:tcBorders>
            <w:shd w:val="clear" w:color="auto" w:fill="BFBFBF"/>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640" w:type="dxa"/>
            <w:vAlign w:val="bottom"/>
            <w:tcBorders>
              <w:left w:val="single" w:sz="8" w:color="auto"/>
              <w:bottom w:val="single" w:sz="8" w:color="auto"/>
              <w:right w:val="single" w:sz="8" w:color="BFBFBF"/>
            </w:tcBorders>
            <w:shd w:val="clear" w:color="auto" w:fill="BFBFBF"/>
          </w:tcPr>
          <w:p>
            <w:pPr>
              <w:ind w:left="1000"/>
              <w:spacing w:after="0"/>
              <w:rPr>
                <w:sz w:val="20"/>
                <w:szCs w:val="20"/>
                <w:color w:val="auto"/>
              </w:rPr>
            </w:pPr>
            <w:r>
              <w:rPr>
                <w:rFonts w:ascii="Times New Roman" w:cs="Times New Roman" w:eastAsia="Times New Roman" w:hAnsi="Times New Roman"/>
                <w:sz w:val="16"/>
                <w:szCs w:val="16"/>
                <w:b w:val="1"/>
                <w:bCs w:val="1"/>
                <w:color w:val="auto"/>
              </w:rPr>
              <w:t>Bank name</w:t>
            </w:r>
          </w:p>
        </w:tc>
        <w:tc>
          <w:tcPr>
            <w:tcW w:w="2840" w:type="dxa"/>
            <w:vAlign w:val="bottom"/>
            <w:tcBorders>
              <w:bottom w:val="single" w:sz="8" w:color="auto"/>
              <w:right w:val="single" w:sz="8" w:color="BFBFBF"/>
            </w:tcBorders>
            <w:shd w:val="clear" w:color="auto" w:fill="BFBFBF"/>
          </w:tcPr>
          <w:p>
            <w:pPr>
              <w:ind w:left="1020"/>
              <w:spacing w:after="0"/>
              <w:rPr>
                <w:sz w:val="20"/>
                <w:szCs w:val="20"/>
                <w:color w:val="auto"/>
              </w:rPr>
            </w:pPr>
            <w:r>
              <w:rPr>
                <w:rFonts w:ascii="Times New Roman" w:cs="Times New Roman" w:eastAsia="Times New Roman" w:hAnsi="Times New Roman"/>
                <w:sz w:val="16"/>
                <w:szCs w:val="16"/>
                <w:b w:val="1"/>
                <w:bCs w:val="1"/>
                <w:color w:val="auto"/>
              </w:rPr>
              <w:t>Account type</w:t>
            </w:r>
          </w:p>
        </w:tc>
        <w:tc>
          <w:tcPr>
            <w:tcW w:w="1760" w:type="dxa"/>
            <w:vAlign w:val="bottom"/>
            <w:tcBorders>
              <w:bottom w:val="single" w:sz="8" w:color="auto"/>
              <w:right w:val="single" w:sz="8" w:color="BFBFBF"/>
            </w:tcBorders>
            <w:shd w:val="clear" w:color="auto" w:fill="BFBFBF"/>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(last four digits)</w:t>
            </w:r>
          </w:p>
        </w:tc>
        <w:tc>
          <w:tcPr>
            <w:tcW w:w="1760" w:type="dxa"/>
            <w:vAlign w:val="bottom"/>
            <w:tcBorders>
              <w:bottom w:val="single" w:sz="8" w:color="auto"/>
              <w:right w:val="single" w:sz="8" w:color="BFBFBF"/>
            </w:tcBorders>
            <w:shd w:val="clear" w:color="auto" w:fill="BFBFBF"/>
          </w:tcPr>
          <w:p>
            <w:pPr>
              <w:jc w:val="right"/>
              <w:ind w:right="578"/>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980" w:type="dxa"/>
            <w:vAlign w:val="bottom"/>
            <w:tcBorders>
              <w:bottom w:val="single" w:sz="8" w:color="auto"/>
              <w:right w:val="single" w:sz="8" w:color="auto"/>
            </w:tcBorders>
            <w:shd w:val="clear" w:color="auto" w:fill="BFBFBF"/>
          </w:tcPr>
          <w:p>
            <w:pPr>
              <w:jc w:val="center"/>
              <w:ind w:left="117"/>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6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Silicon Valley Bank</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Clearside Operating Account</w:t>
            </w:r>
          </w:p>
        </w:tc>
        <w:tc>
          <w:tcPr>
            <w:tcW w:w="1760" w:type="dxa"/>
            <w:vAlign w:val="bottom"/>
            <w:tcBorders>
              <w:bottom w:val="single" w:sz="8" w:color="auto"/>
              <w:right w:val="single" w:sz="8" w:color="auto"/>
            </w:tcBorders>
          </w:tcPr>
          <w:p>
            <w:pPr>
              <w:jc w:val="right"/>
              <w:ind w:right="276"/>
              <w:spacing w:after="0"/>
              <w:rPr>
                <w:sz w:val="20"/>
                <w:szCs w:val="20"/>
                <w:color w:val="auto"/>
              </w:rPr>
            </w:pPr>
            <w:r>
              <w:rPr>
                <w:rFonts w:ascii="Times New Roman" w:cs="Times New Roman" w:eastAsia="Times New Roman" w:hAnsi="Times New Roman"/>
                <w:sz w:val="16"/>
                <w:szCs w:val="16"/>
                <w:color w:val="auto"/>
              </w:rPr>
              <w:t>1971</w:t>
            </w:r>
          </w:p>
        </w:tc>
        <w:tc>
          <w:tcPr>
            <w:tcW w:w="1760" w:type="dxa"/>
            <w:vAlign w:val="bottom"/>
            <w:tcBorders>
              <w:bottom w:val="single" w:sz="8" w:color="auto"/>
              <w:right w:val="single" w:sz="8" w:color="auto"/>
            </w:tcBorders>
          </w:tcPr>
          <w:p>
            <w:pPr>
              <w:jc w:val="right"/>
              <w:ind w:right="258"/>
              <w:spacing w:after="0"/>
              <w:rPr>
                <w:sz w:val="20"/>
                <w:szCs w:val="20"/>
                <w:color w:val="auto"/>
              </w:rPr>
            </w:pPr>
            <w:r>
              <w:rPr>
                <w:rFonts w:ascii="Times New Roman" w:cs="Times New Roman" w:eastAsia="Times New Roman" w:hAnsi="Times New Roman"/>
                <w:sz w:val="16"/>
                <w:szCs w:val="16"/>
                <w:color w:val="auto"/>
              </w:rPr>
              <w:t>250,000</w:t>
            </w:r>
          </w:p>
        </w:tc>
        <w:tc>
          <w:tcPr>
            <w:tcW w:w="980" w:type="dxa"/>
            <w:vAlign w:val="bottom"/>
            <w:tcBorders>
              <w:bottom w:val="single" w:sz="8" w:color="auto"/>
              <w:right w:val="single" w:sz="8" w:color="auto"/>
            </w:tcBorders>
          </w:tcPr>
          <w:p>
            <w:pPr>
              <w:jc w:val="center"/>
              <w:ind w:left="117"/>
              <w:spacing w:after="0"/>
              <w:rPr>
                <w:sz w:val="20"/>
                <w:szCs w:val="20"/>
                <w:color w:val="auto"/>
              </w:rPr>
            </w:pPr>
            <w:r>
              <w:rPr>
                <w:rFonts w:ascii="Times New Roman" w:cs="Times New Roman" w:eastAsia="Times New Roman" w:hAnsi="Times New Roman"/>
                <w:sz w:val="16"/>
                <w:szCs w:val="16"/>
                <w:color w:val="auto"/>
              </w:rPr>
              <w:t>USD</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6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Silicon Valley Bank</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Cash Sweep Account</w:t>
            </w:r>
          </w:p>
        </w:tc>
        <w:tc>
          <w:tcPr>
            <w:tcW w:w="1760" w:type="dxa"/>
            <w:vAlign w:val="bottom"/>
            <w:tcBorders>
              <w:bottom w:val="single" w:sz="8" w:color="auto"/>
              <w:right w:val="single" w:sz="8" w:color="auto"/>
            </w:tcBorders>
          </w:tcPr>
          <w:p>
            <w:pPr>
              <w:jc w:val="right"/>
              <w:ind w:right="276"/>
              <w:spacing w:after="0"/>
              <w:rPr>
                <w:sz w:val="20"/>
                <w:szCs w:val="20"/>
                <w:color w:val="auto"/>
              </w:rPr>
            </w:pPr>
            <w:r>
              <w:rPr>
                <w:rFonts w:ascii="Times New Roman" w:cs="Times New Roman" w:eastAsia="Times New Roman" w:hAnsi="Times New Roman"/>
                <w:sz w:val="16"/>
                <w:szCs w:val="16"/>
                <w:color w:val="auto"/>
              </w:rPr>
              <w:t>9063</w:t>
            </w:r>
          </w:p>
        </w:tc>
        <w:tc>
          <w:tcPr>
            <w:tcW w:w="1760" w:type="dxa"/>
            <w:vAlign w:val="bottom"/>
            <w:tcBorders>
              <w:bottom w:val="single" w:sz="8" w:color="auto"/>
              <w:right w:val="single" w:sz="8" w:color="auto"/>
            </w:tcBorders>
          </w:tcPr>
          <w:p>
            <w:pPr>
              <w:jc w:val="right"/>
              <w:ind w:right="258"/>
              <w:spacing w:after="0"/>
              <w:rPr>
                <w:sz w:val="20"/>
                <w:szCs w:val="20"/>
                <w:color w:val="auto"/>
              </w:rPr>
            </w:pPr>
            <w:r>
              <w:rPr>
                <w:rFonts w:ascii="Times New Roman" w:cs="Times New Roman" w:eastAsia="Times New Roman" w:hAnsi="Times New Roman"/>
                <w:sz w:val="16"/>
                <w:szCs w:val="16"/>
                <w:color w:val="auto"/>
              </w:rPr>
              <w:t>1,194,380</w:t>
            </w:r>
          </w:p>
        </w:tc>
        <w:tc>
          <w:tcPr>
            <w:tcW w:w="980" w:type="dxa"/>
            <w:vAlign w:val="bottom"/>
            <w:tcBorders>
              <w:bottom w:val="single" w:sz="8" w:color="auto"/>
              <w:right w:val="single" w:sz="8" w:color="auto"/>
            </w:tcBorders>
          </w:tcPr>
          <w:p>
            <w:pPr>
              <w:jc w:val="center"/>
              <w:ind w:left="117"/>
              <w:spacing w:after="0"/>
              <w:rPr>
                <w:sz w:val="20"/>
                <w:szCs w:val="20"/>
                <w:color w:val="auto"/>
              </w:rPr>
            </w:pPr>
            <w:r>
              <w:rPr>
                <w:rFonts w:ascii="Times New Roman" w:cs="Times New Roman" w:eastAsia="Times New Roman" w:hAnsi="Times New Roman"/>
                <w:sz w:val="16"/>
                <w:szCs w:val="16"/>
                <w:color w:val="auto"/>
              </w:rPr>
              <w:t>USD</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6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Morgan Stanley</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Money Market Investment Account </w:t>
            </w:r>
          </w:p>
        </w:tc>
        <w:tc>
          <w:tcPr>
            <w:tcW w:w="1760" w:type="dxa"/>
            <w:vAlign w:val="bottom"/>
            <w:tcBorders>
              <w:bottom w:val="single" w:sz="8" w:color="auto"/>
              <w:right w:val="single" w:sz="8" w:color="auto"/>
            </w:tcBorders>
          </w:tcPr>
          <w:p>
            <w:pPr>
              <w:jc w:val="right"/>
              <w:ind w:right="276"/>
              <w:spacing w:after="0"/>
              <w:rPr>
                <w:sz w:val="20"/>
                <w:szCs w:val="20"/>
                <w:color w:val="auto"/>
              </w:rPr>
            </w:pPr>
            <w:r>
              <w:rPr>
                <w:rFonts w:ascii="Times New Roman" w:cs="Times New Roman" w:eastAsia="Times New Roman" w:hAnsi="Times New Roman"/>
                <w:sz w:val="16"/>
                <w:szCs w:val="16"/>
                <w:color w:val="auto"/>
              </w:rPr>
              <w:t>3453</w:t>
            </w:r>
          </w:p>
        </w:tc>
        <w:tc>
          <w:tcPr>
            <w:tcW w:w="1760" w:type="dxa"/>
            <w:vAlign w:val="bottom"/>
            <w:tcBorders>
              <w:bottom w:val="single" w:sz="8" w:color="auto"/>
              <w:right w:val="single" w:sz="8" w:color="auto"/>
            </w:tcBorders>
          </w:tcPr>
          <w:p>
            <w:pPr>
              <w:jc w:val="right"/>
              <w:ind w:right="258"/>
              <w:spacing w:after="0"/>
              <w:rPr>
                <w:sz w:val="20"/>
                <w:szCs w:val="20"/>
                <w:color w:val="auto"/>
              </w:rPr>
            </w:pPr>
            <w:r>
              <w:rPr>
                <w:rFonts w:ascii="Times New Roman" w:cs="Times New Roman" w:eastAsia="Times New Roman" w:hAnsi="Times New Roman"/>
                <w:sz w:val="16"/>
                <w:szCs w:val="16"/>
                <w:color w:val="auto"/>
              </w:rPr>
              <w:t>1,608,740</w:t>
            </w:r>
          </w:p>
        </w:tc>
        <w:tc>
          <w:tcPr>
            <w:tcW w:w="980" w:type="dxa"/>
            <w:vAlign w:val="bottom"/>
            <w:tcBorders>
              <w:bottom w:val="single" w:sz="8" w:color="auto"/>
              <w:right w:val="single" w:sz="8" w:color="auto"/>
            </w:tcBorders>
          </w:tcPr>
          <w:p>
            <w:pPr>
              <w:jc w:val="center"/>
              <w:ind w:left="117"/>
              <w:spacing w:after="0"/>
              <w:rPr>
                <w:sz w:val="20"/>
                <w:szCs w:val="20"/>
                <w:color w:val="auto"/>
              </w:rPr>
            </w:pPr>
            <w:r>
              <w:rPr>
                <w:rFonts w:ascii="Times New Roman" w:cs="Times New Roman" w:eastAsia="Times New Roman" w:hAnsi="Times New Roman"/>
                <w:sz w:val="16"/>
                <w:szCs w:val="16"/>
                <w:color w:val="auto"/>
              </w:rPr>
              <w:t>USD</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640" w:type="dxa"/>
            <w:vAlign w:val="bottom"/>
            <w:tcBorders>
              <w:left w:val="single" w:sz="8" w:color="auto"/>
              <w:bottom w:val="single" w:sz="8" w:color="auto"/>
            </w:tcBorders>
          </w:tcPr>
          <w:p>
            <w:pPr>
              <w:spacing w:after="0"/>
              <w:rPr>
                <w:sz w:val="4"/>
                <w:szCs w:val="4"/>
                <w:color w:val="auto"/>
              </w:rPr>
            </w:pPr>
          </w:p>
        </w:tc>
        <w:tc>
          <w:tcPr>
            <w:tcW w:w="284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7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64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TOTAL BANK BALANCE</w:t>
            </w:r>
          </w:p>
        </w:tc>
        <w:tc>
          <w:tcPr>
            <w:tcW w:w="28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6"/>
                <w:szCs w:val="16"/>
                <w:b w:val="1"/>
                <w:bCs w:val="1"/>
                <w:color w:val="auto"/>
              </w:rPr>
              <w:t>3,053,119</w:t>
            </w:r>
          </w:p>
        </w:tc>
        <w:tc>
          <w:tcPr>
            <w:tcW w:w="980" w:type="dxa"/>
            <w:vAlign w:val="bottom"/>
            <w:tcBorders>
              <w:bottom w:val="single" w:sz="8" w:color="auto"/>
              <w:right w:val="single" w:sz="8" w:color="auto"/>
            </w:tcBorders>
          </w:tcPr>
          <w:p>
            <w:pPr>
              <w:jc w:val="center"/>
              <w:ind w:left="117"/>
              <w:spacing w:after="0"/>
              <w:rPr>
                <w:sz w:val="20"/>
                <w:szCs w:val="20"/>
                <w:color w:val="auto"/>
              </w:rPr>
            </w:pPr>
            <w:r>
              <w:rPr>
                <w:rFonts w:ascii="Times New Roman" w:cs="Times New Roman" w:eastAsia="Times New Roman" w:hAnsi="Times New Roman"/>
                <w:sz w:val="16"/>
                <w:szCs w:val="16"/>
                <w:color w:val="auto"/>
              </w:rPr>
              <w:t>USD</w:t>
            </w: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186295" cy="361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295" cy="36195"/>
                    </a:xfrm>
                    <a:prstGeom prst="rect">
                      <a:avLst/>
                    </a:prstGeom>
                    <a:noFill/>
                  </pic:spPr>
                </pic:pic>
              </a:graphicData>
            </a:graphic>
          </wp:anchor>
        </w:drawing>
      </w:r>
    </w:p>
    <w:sectPr>
      <w:pgSz w:w="11900" w:h="16838" w:orient="portrait"/>
      <w:cols w:equalWidth="0" w:num="1">
        <w:col w:w="10700"/>
      </w:cols>
      <w:pgMar w:left="960" w:top="23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bullet"/>
      <w:start w:val="1"/>
    </w:lvl>
  </w:abstractNum>
  <w:abstractNum w:abstractNumId="3">
    <w:nsid w:val="625558EC"/>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2025-12-29T05:24:27Z</dcterms:created>
  <dcterms:modified xsi:type="dcterms:W3CDTF">2025-12-29T05:24:27Z</dcterms:modified>
</cp:coreProperties>
</file>