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95250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40" w:right="1720" w:hanging="3732"/>
        <w:spacing w:after="0" w:line="345" w:lineRule="auto"/>
        <w:tabs>
          <w:tab w:leader="none" w:pos="51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52" w:lineRule="exact"/>
        <w:rPr>
          <w:sz w:val="24"/>
          <w:szCs w:val="24"/>
          <w:color w:val="auto"/>
        </w:rPr>
      </w:pPr>
    </w:p>
    <w:p>
      <w:pPr>
        <w:ind w:left="4280" w:right="1720" w:hanging="4272"/>
        <w:spacing w:after="0" w:line="365" w:lineRule="auto"/>
        <w:tabs>
          <w:tab w:leader="none" w:pos="51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Clearside Biomedical, Inc.</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46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45-2437375</w:t>
            </w:r>
          </w:p>
        </w:tc>
      </w:tr>
      <w:tr>
        <w:trPr>
          <w:trHeight w:val="149"/>
        </w:trPr>
        <w:tc>
          <w:tcPr>
            <w:tcW w:w="464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640" w:type="dxa"/>
            <w:vAlign w:val="bottom"/>
          </w:tcPr>
          <w:p>
            <w:pPr>
              <w:jc w:val="center"/>
              <w:ind w:right="179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0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6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900 North Point Parkway, Suite 200</w:t>
            </w:r>
          </w:p>
        </w:tc>
        <w:tc>
          <w:tcPr>
            <w:tcW w:w="3020" w:type="dxa"/>
            <w:vAlign w:val="bottom"/>
          </w:tcPr>
          <w:p>
            <w:pPr>
              <w:spacing w:after="0"/>
              <w:rPr>
                <w:sz w:val="18"/>
                <w:szCs w:val="18"/>
                <w:color w:val="auto"/>
              </w:rPr>
            </w:pPr>
          </w:p>
        </w:tc>
      </w:tr>
      <w:tr>
        <w:trPr>
          <w:trHeight w:val="214"/>
        </w:trPr>
        <w:tc>
          <w:tcPr>
            <w:tcW w:w="46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Alpharetta, GA</w:t>
            </w:r>
          </w:p>
        </w:tc>
        <w:tc>
          <w:tcPr>
            <w:tcW w:w="30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30005</w:t>
            </w:r>
          </w:p>
        </w:tc>
      </w:tr>
      <w:tr>
        <w:trPr>
          <w:trHeight w:val="190"/>
        </w:trPr>
        <w:tc>
          <w:tcPr>
            <w:tcW w:w="464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2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270-3631</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00"/>
          </w:cols>
          <w:pgMar w:left="240" w:top="612" w:right="259" w:bottom="1440" w:gutter="0" w:footer="0" w:header="0"/>
        </w:sectPr>
      </w:pPr>
    </w:p>
    <w:p>
      <w:pPr>
        <w:spacing w:after="0" w:line="90"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CLSD</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58" w:lineRule="exact"/>
        <w:rPr>
          <w:sz w:val="24"/>
          <w:szCs w:val="24"/>
          <w:color w:val="auto"/>
        </w:rPr>
      </w:pPr>
    </w:p>
    <w:p>
      <w:pPr>
        <w:sectPr>
          <w:pgSz w:w="11900" w:h="16838" w:orient="portrait"/>
          <w:cols w:equalWidth="0" w:num="3">
            <w:col w:w="4100" w:space="720"/>
            <w:col w:w="2020" w:space="720"/>
            <w:col w:w="3840"/>
          </w:cols>
          <w:pgMar w:left="240" w:top="612" w:right="259" w:bottom="1440" w:gutter="0" w:footer="0" w:header="0"/>
          <w:type w:val="continuous"/>
        </w:sectPr>
      </w:pPr>
    </w:p>
    <w:p>
      <w:pPr>
        <w:ind w:right="22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7" w:lineRule="exact"/>
        <w:rPr>
          <w:sz w:val="24"/>
          <w:szCs w:val="24"/>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4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6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4, 2019, the registrant had 41,149,781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gridSpan w:val="7"/>
            <w:vMerge w:val="restart"/>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3460" w:type="dxa"/>
            <w:vAlign w:val="bottom"/>
            <w:gridSpan w:val="4"/>
            <w:vMerge w:val="restart"/>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tcBorders>
              <w:bottom w:val="single" w:sz="8" w:color="0000EE"/>
            </w:tcBorders>
            <w:gridSpan w:val="7"/>
            <w:vMerge w:val="continue"/>
          </w:tcPr>
          <w:p>
            <w:pPr>
              <w:spacing w:after="0"/>
              <w:rPr>
                <w:sz w:val="15"/>
                <w:szCs w:val="15"/>
                <w:color w:val="auto"/>
              </w:rPr>
            </w:pPr>
          </w:p>
        </w:tc>
        <w:tc>
          <w:tcPr>
            <w:tcW w:w="346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854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Balance Sheets as of September 30, 2019 (unaudited) and December 31, 2018</w:t>
              </w:r>
            </w:hyperlink>
          </w:p>
        </w:tc>
        <w:tc>
          <w:tcPr>
            <w:tcW w:w="44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Statements of Operations for the three and nine months ended September 30, 2019 and 2018 (unaudited)</w:t>
              </w:r>
            </w:hyperlink>
          </w:p>
        </w:tc>
        <w:tc>
          <w:tcPr>
            <w:tcW w:w="25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Statements of Stockholders’ Equity for the three and nine months ended September 30, 2019 and 2018 (unaudited)</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Statements of Cash Flows for the nine months ended September 30, 2019 and 2018 (unaudited)</w:t>
              </w:r>
            </w:hyperlink>
          </w:p>
        </w:tc>
        <w:tc>
          <w:tcPr>
            <w:tcW w:w="18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Financial Statements</w:t>
              </w:r>
            </w:hyperlink>
          </w:p>
        </w:tc>
        <w:tc>
          <w:tcPr>
            <w:tcW w:w="31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19"/>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1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10"/>
          </w:tcPr>
          <w:p>
            <w:pPr>
              <w:jc w:val="center"/>
              <w:ind w:right="3620"/>
              <w:spacing w:after="0"/>
              <w:rPr>
                <w:rFonts w:ascii="Times New Roman" w:cs="Times New Roman" w:eastAsia="Times New Roman" w:hAnsi="Times New Roman"/>
                <w:sz w:val="18"/>
                <w:szCs w:val="18"/>
                <w:b w:val="1"/>
                <w:bCs w:val="1"/>
                <w:color w:val="0000EE"/>
                <w:w w:val="98"/>
              </w:rPr>
            </w:pPr>
            <w:hyperlink w:anchor="page28">
              <w:r>
                <w:rPr>
                  <w:rFonts w:ascii="Times New Roman" w:cs="Times New Roman" w:eastAsia="Times New Roman" w:hAnsi="Times New Roman"/>
                  <w:sz w:val="18"/>
                  <w:szCs w:val="18"/>
                  <w:b w:val="1"/>
                  <w:bCs w:val="1"/>
                  <w:color w:val="0000EE"/>
                  <w:w w:val="98"/>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620" w:type="dxa"/>
            <w:vAlign w:val="bottom"/>
            <w:gridSpan w:val="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2820" w:type="dxa"/>
            <w:vAlign w:val="bottom"/>
            <w:tcBorders>
              <w:top w:val="single" w:sz="8" w:color="0000EE"/>
            </w:tcBorders>
            <w:gridSpan w:val="4"/>
          </w:tcPr>
          <w:p>
            <w:pPr>
              <w:spacing w:after="0"/>
              <w:rPr>
                <w:sz w:val="18"/>
                <w:szCs w:val="18"/>
                <w:color w:val="auto"/>
              </w:rPr>
            </w:pPr>
          </w:p>
        </w:tc>
        <w:tc>
          <w:tcPr>
            <w:tcW w:w="3620" w:type="dxa"/>
            <w:vAlign w:val="bottom"/>
            <w:gridSpan w:val="6"/>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Unregistered Sales of Equity Securities and Use of Proceeds</w:t>
              </w:r>
            </w:hyperlink>
          </w:p>
        </w:tc>
        <w:tc>
          <w:tcPr>
            <w:tcW w:w="570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19"/>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87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0"/>
        </w:trPr>
        <w:tc>
          <w:tcPr>
            <w:tcW w:w="76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CLEARSIDE BIOMEDICAL, INC.</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640" w:type="dxa"/>
            <w:vAlign w:val="bottom"/>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640" w:type="dxa"/>
            <w:vAlign w:val="bottom"/>
          </w:tcPr>
          <w:p>
            <w:pPr>
              <w:jc w:val="center"/>
              <w:ind w:left="371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40" w:type="dxa"/>
            <w:vAlign w:val="bottom"/>
          </w:tcPr>
          <w:p>
            <w:pPr>
              <w:jc w:val="center"/>
              <w:ind w:left="369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44,120</w:t>
            </w:r>
          </w:p>
        </w:tc>
        <w:tc>
          <w:tcPr>
            <w:tcW w:w="12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r>
      <w:tr>
        <w:trPr>
          <w:trHeight w:val="223"/>
        </w:trPr>
        <w:tc>
          <w:tcPr>
            <w:tcW w:w="764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and no shares issued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 September 30, 2019 and December 31, 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 September 30, 2019 and</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December 31, 2018; 41,149,781 and 32,119,227 shares issued and</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September 30, 2019 and December 31, 2018, respectively</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(234,561)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(206,887)</w:t>
            </w:r>
          </w:p>
        </w:tc>
      </w:tr>
      <w:tr>
        <w:trPr>
          <w:trHeight w:val="223"/>
        </w:trPr>
        <w:tc>
          <w:tcPr>
            <w:tcW w:w="7640" w:type="dxa"/>
            <w:vAlign w:val="bottom"/>
            <w:tcBorders>
              <w:bottom w:val="single" w:sz="8" w:color="CFF0FC"/>
            </w:tcBorders>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38,414,751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32,024,223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36,747,314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30,292,909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2019</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73"/>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1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4"/>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900" w:type="dxa"/>
            <w:vAlign w:val="bottom"/>
            <w:gridSpan w:val="4"/>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540" w:type="dxa"/>
            <w:vAlign w:val="bottom"/>
            <w:gridSpan w:val="6"/>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December 31, 2018</w:t>
            </w:r>
          </w:p>
        </w:tc>
        <w:tc>
          <w:tcPr>
            <w:tcW w:w="5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32,119,227</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8"/>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230,475</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(206,887)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23,620</w:t>
            </w:r>
          </w:p>
        </w:tc>
        <w:tc>
          <w:tcPr>
            <w:tcW w:w="100" w:type="dxa"/>
            <w:vAlign w:val="bottom"/>
            <w:tcBorders>
              <w:top w:val="single" w:sz="8" w:color="CFF0FC"/>
            </w:tcBorders>
            <w:shd w:val="clear" w:color="auto" w:fill="CFF0FC"/>
          </w:tcPr>
          <w:p>
            <w:pPr>
              <w:spacing w:after="0"/>
              <w:rPr>
                <w:sz w:val="18"/>
                <w:szCs w:val="18"/>
                <w:color w:val="auto"/>
              </w:rPr>
            </w:pPr>
          </w:p>
        </w:tc>
      </w:tr>
      <w:tr>
        <w:trPr>
          <w:trHeight w:val="194"/>
        </w:trPr>
        <w:tc>
          <w:tcPr>
            <w:tcW w:w="4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Issuance of common shares from at-the-market sales</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agreement</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4,660,966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6,627</w:t>
            </w:r>
          </w:p>
        </w:tc>
        <w:tc>
          <w:tcPr>
            <w:tcW w:w="100" w:type="dxa"/>
            <w:vAlign w:val="bottom"/>
          </w:tcPr>
          <w:p>
            <w:pPr>
              <w:spacing w:after="0"/>
              <w:rPr>
                <w:sz w:val="19"/>
                <w:szCs w:val="19"/>
                <w:color w:val="auto"/>
              </w:rPr>
            </w:pPr>
          </w:p>
        </w:tc>
      </w:tr>
      <w:tr>
        <w:trPr>
          <w:trHeight w:val="218"/>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(15,404)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(15,404)</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Balance at March 31, 2019</w:t>
            </w:r>
          </w:p>
        </w:tc>
        <w:tc>
          <w:tcPr>
            <w:tcW w:w="500" w:type="dxa"/>
            <w:vAlign w:val="bottom"/>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36,782,920</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238,345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16,091</w:t>
            </w:r>
          </w:p>
        </w:tc>
        <w:tc>
          <w:tcPr>
            <w:tcW w:w="100" w:type="dxa"/>
            <w:vAlign w:val="bottom"/>
          </w:tcPr>
          <w:p>
            <w:pPr>
              <w:spacing w:after="0"/>
              <w:rPr>
                <w:sz w:val="18"/>
                <w:szCs w:val="18"/>
                <w:color w:val="auto"/>
              </w:rPr>
            </w:pPr>
          </w:p>
        </w:tc>
      </w:tr>
      <w:tr>
        <w:trPr>
          <w:trHeight w:val="194"/>
        </w:trPr>
        <w:tc>
          <w:tcPr>
            <w:tcW w:w="42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Issuance of common shares from at-the-market sales</w:t>
            </w:r>
          </w:p>
        </w:tc>
        <w:tc>
          <w:tcPr>
            <w:tcW w:w="5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4"/>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agreement</w:t>
            </w: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945,974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shd w:val="clear" w:color="auto" w:fill="CFF0FC"/>
          </w:tcPr>
          <w:p>
            <w:pPr>
              <w:spacing w:after="0"/>
              <w:rPr>
                <w:sz w:val="19"/>
                <w:szCs w:val="19"/>
                <w:color w:val="auto"/>
              </w:rPr>
            </w:pPr>
          </w:p>
        </w:tc>
      </w:tr>
      <w:tr>
        <w:trPr>
          <w:trHeight w:val="194"/>
        </w:trPr>
        <w:tc>
          <w:tcPr>
            <w:tcW w:w="4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Issuance of common shares under employee</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purchase plan</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17,252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(5,734)</w:t>
            </w: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June 30, 2019</w:t>
            </w:r>
          </w:p>
        </w:tc>
        <w:tc>
          <w:tcPr>
            <w:tcW w:w="5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37,746,146</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240,888</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(228,025)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12,901</w:t>
            </w:r>
          </w:p>
        </w:tc>
        <w:tc>
          <w:tcPr>
            <w:tcW w:w="100" w:type="dxa"/>
            <w:vAlign w:val="bottom"/>
            <w:tcBorders>
              <w:top w:val="single" w:sz="8" w:color="CFF0FC"/>
            </w:tcBorders>
            <w:shd w:val="clear" w:color="auto" w:fill="CFF0FC"/>
          </w:tcPr>
          <w:p>
            <w:pPr>
              <w:spacing w:after="0"/>
              <w:rPr>
                <w:sz w:val="18"/>
                <w:szCs w:val="18"/>
                <w:color w:val="auto"/>
              </w:rPr>
            </w:pPr>
          </w:p>
        </w:tc>
      </w:tr>
      <w:tr>
        <w:trPr>
          <w:trHeight w:val="194"/>
        </w:trPr>
        <w:tc>
          <w:tcPr>
            <w:tcW w:w="4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Issuance of common shares from at-the-market sales</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agreement</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3,370,000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2,419</w:t>
            </w:r>
          </w:p>
        </w:tc>
        <w:tc>
          <w:tcPr>
            <w:tcW w:w="100" w:type="dxa"/>
            <w:vAlign w:val="bottom"/>
          </w:tcPr>
          <w:p>
            <w:pPr>
              <w:spacing w:after="0"/>
              <w:rPr>
                <w:sz w:val="19"/>
                <w:szCs w:val="19"/>
                <w:color w:val="auto"/>
              </w:rPr>
            </w:pPr>
          </w:p>
        </w:tc>
      </w:tr>
      <w:tr>
        <w:trPr>
          <w:trHeight w:val="218"/>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13,635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Vesting of restricted stock units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(6,536)</w:t>
            </w: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September 30, 2019</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41,149,781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8"/>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244,279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(234,561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9,759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2018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4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gridSpan w:val="2"/>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CFF0FC"/>
            </w:tcBorders>
            <w:gridSpan w:val="2"/>
          </w:tcPr>
          <w:p>
            <w:pPr>
              <w:spacing w:after="0"/>
              <w:rPr>
                <w:sz w:val="13"/>
                <w:szCs w:val="13"/>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December 31, 2017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25,354,651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2"/>
              </w:rPr>
              <w:t>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145,618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(124,220)</w:t>
            </w:r>
          </w:p>
        </w:tc>
        <w:tc>
          <w:tcPr>
            <w:tcW w:w="14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gridSpan w:val="2"/>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Cumulative effect of accounting change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2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Issuance of common shares from follow-on</w:t>
            </w:r>
          </w:p>
        </w:tc>
        <w:tc>
          <w:tcPr>
            <w:tcW w:w="5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4"/>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public offering</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6,538,462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79,574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79,581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(16,607)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(16,607)</w:t>
            </w: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March 31, 2018</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31,947,033</w:t>
            </w: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2"/>
              </w:rPr>
              <w:t>32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226,567</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(140,676)</w:t>
            </w:r>
          </w:p>
        </w:tc>
        <w:tc>
          <w:tcPr>
            <w:tcW w:w="140" w:type="dxa"/>
            <w:vAlign w:val="bottom"/>
            <w:tcBorders>
              <w:top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85,923</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194"/>
        </w:trPr>
        <w:tc>
          <w:tcPr>
            <w:tcW w:w="4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Issuance of common shares under employee</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purchase plan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7,386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69,804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(20,701)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(20,701)</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Balance at June 30, 2018</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32,024,223</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2"/>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228,007</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(161,377)</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(23,872)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(23,872)</w:t>
            </w: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September 30, 2018</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32,024,223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2"/>
              </w:rPr>
              <w:t>32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229,293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(185,249</w:t>
            </w:r>
          </w:p>
        </w:tc>
        <w:tc>
          <w:tcPr>
            <w:tcW w:w="1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44,076</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65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(27,674)</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(61,180)</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accretion on available-for-sale investments, net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r>
      <w:tr>
        <w:trPr>
          <w:trHeight w:val="230"/>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(28,757)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available-for-sale investments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59,970</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available-for-sale investments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(80,137)</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follow-on public offering, net of issuance costs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79,581</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made on long-term debt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(8,300)</w:t>
            </w:r>
          </w:p>
        </w:tc>
      </w:tr>
      <w:tr>
        <w:trPr>
          <w:trHeight w:val="223"/>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81,759</w:t>
            </w:r>
          </w:p>
        </w:tc>
        <w:tc>
          <w:tcPr>
            <w:tcW w:w="12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20" w:type="dxa"/>
            <w:vAlign w:val="bottom"/>
            <w:tcBorders>
              <w:bottom w:val="single" w:sz="8" w:color="CFF0FC"/>
            </w:tcBorders>
          </w:tcPr>
          <w:p>
            <w:pPr>
              <w:spacing w:after="0"/>
              <w:rPr>
                <w:sz w:val="19"/>
                <w:szCs w:val="19"/>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p>
      <w:pPr>
        <w:spacing w:after="0" w:line="43"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Borders>
              <w:bottom w:val="single" w:sz="8" w:color="CFF0FC"/>
            </w:tcBorders>
          </w:tcPr>
          <w:p>
            <w:pPr>
              <w:spacing w:after="0"/>
              <w:rPr>
                <w:sz w:val="14"/>
                <w:szCs w:val="14"/>
                <w:color w:val="auto"/>
              </w:rPr>
            </w:pPr>
          </w:p>
        </w:tc>
        <w:tc>
          <w:tcPr>
            <w:tcW w:w="182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3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Clearside Biomedical, Inc. (the “Company”) is a clinical biopharmaceutical company developing first-in-class pharmacological therapies to restore and preserve vision for people with serious eye diseases. The Company’s current product candidates focus on treatments for diseases affecting the retina and choroid and are injected into the suprachoroidal space (“SCS”) using its proprietary SCS Microinjector™. Incorporated in the State of Delaware on May 26, 2011, the Company has its corporate headquarters in Alpharetta, Georgia.</w:t>
      </w:r>
    </w:p>
    <w:p>
      <w:pPr>
        <w:spacing w:after="0" w:line="180"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regulatory approval of products, compliance with government regulations, successful commercialization of potential products, protection of proprietary technology and dependence on key individuals.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The Company has funded its operations primarily through the sale of convertible preferred stock and common stock and the issuance of long-term debt. On June 30, 2017, the Company entered into an at-the-market sales agreement (“the ATM agreement”) with Cowen and Company LLC (“Cowen”) under which the Company may offer and sell, from time to time at its sole discretion, shares of its common stock having an aggregate offering price of up to $50.0 million through Cowen acting as sales agent. During the nine months ended September 30, 2019, the Company sold 9.0 million shares of its common stock for net proceeds of $10.3 million under the ATM agreement. The Company’s registration statement on Form S-3 contemplated under the ATM agreement was declared effective by the SEC on July 13, 2017. The registration statement on Form S-3 includes a prospectus supplement covering the offering up to $18.5 million of shares of common stock over the 12 months ending March 15, 2020 in accordance with the ATM agreement.</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(the “License Agreement”) with Bausch Health Ireland Limited (“Bausch”). Under the License Agreement, the Company has granted an exclusive license to Bausch for the commercialization and development of XIPERE</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the Company’s proprietary suspension of the corticosteroid triamcinolone acetonide formulated for administration to the back of the eye, in the United States and Canada. Under the License Agreement, the Company received an upfront payment of $5.0 million (see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entry by the Company into the License Agreement, on October 18, 2019, the Company entered into a Third Amendment to Second Amended and Restated Loan and Security Agreement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with Silicon Valley Bank (“SVB”). Pursuant to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the Company repaid $5.0 million of the outstanding principal balance of the $10.0 million term loan. In addition, the Company agreed that if the Company’s cash and cash equivalents balance with SVB falls below $10.0 million, then the Company will transfer to a pledged account an amount of cash and cash equivalents equal to the sum of the then-outstanding principal balance of the term loan plus an amount for a final payment fee of $340,441 (see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The Company will need to obtain additional resources to fund future operations, including to conduct additional clinical trials and to complete the development of its product candidates. If any such products were to receive regulatory approval, the Company may need to prepare for the potential commercialization of its product candidates, which could include additional collaborations with third parties for the commercial launch of the products.</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Company had cash and cash equivalents of $22.6 million as of September 30, 2019. The Company has suffered recurring losses and negative cash flows from operations since inception and anticipates incurring additional losses until such time, if ever, that it can obtain approval from the U.S. Food and Drug Administration (the “FDA”) to market and then generate significant revenue from any of its product candidates. In the absence of product or other revenues, the amount, timing, nature or source of which cannot be predicted, the Company’s losses will continue. The Company will need additional resources to fund its operations and may finance future cash needs through public or private equity offerings, license agreements, debt financings, collaborations, strategic alliances and marketing or distribution arrangements.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Based on its current license agreements, research and development plans and forecasted expenses, the Company expects that its existing cash and cash equivalents as of the filing date, November 8, 2019, will enable it to fund its operating expenses and capital expenditure requirements into the third quarter of 2020. The Company’s ability to fund its operations into the third quarter of 2020 gives effect to the potential restriction of cash pursuant to the Second Amended and Restated Loan and Security Agreement, as amended by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These conditions raise substantial doubt about the Company’s ability to continue as a going concern within one year after the date these financial statements are being issued. Accordingly, the Company has plans to mitigate its going concern risk by raising additional capital, potentially in a combination of equity or debt financings, license agreements or by potentially entering into additional collaborations, partnering and other strategic arrangements. The Company has based this estimate on assumptions that may prove to be wrong, and the Company could exhaust its capital resources sooner than it expects.</w:t>
      </w:r>
    </w:p>
    <w:p>
      <w:pPr>
        <w:spacing w:after="0" w:line="18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accompanying balance sheet as of September 30, 2019, statements of operations for the three and nine months ended September 30, 2019 and 2018, statements of stockholders’ equity for the three and nine months ended September 30, 2019 and 2018 and statements of cash flows for the nine months ended September 30, 2019 and 2018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September 30, 2019, its results of its operations for the three and nine months ended September 30, 2019 and 2018, its changes in stockholders’ equity for the three and nine months ended September 30, 2019 and 2018 and its cash flows for the nine months ended September 30, 2019 and 2018. The financial data and other information disclosed in these notes related to the three and nine months ended September 30, 2019 and 2018 are unaudited. The results for the nine months ended September 30, 2019 are not indicative of results to be expected for the year ending December 31, 2019, any other interim periods or any future year or period. These unaudited financial statements should be read in conjunction with the audited financial statements and related footnotes, which are included in the Company’s Annual Report on Form 10-K for the year ended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expense accruals, share-based compensation expense and income tax valuation allowance. Actual results could differ from these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17"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clinical trials and preclinical studies;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5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20" w:firstLine="571"/>
        <w:spacing w:after="0" w:line="258"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Short-term investments are investments with original maturities of between 90 and 365 days when purchased and are comprised of commercial paper and treasury bills. The Company classifies its short-term investments as available-for-sale securities. Short-term investments are recorded at fair value and unrealized gains and losses are recorded within interest income. In addition, the Company evaluates the short-investments with unrealized losses to determine whether such losses are other-than-temporary.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xml:space="preserve"> and subsequently issued updates as part of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The new guidance requires organizations that lease assets with lease terms of more than 12 months to recognize assets and liabilities for the rights and obligations created by those leases on their balance sheets. The Company adopted the ASC 842 effective January 1, 2019 using the optional transition method, did not restate any prior periods and adopted the package of practical expedients. Under the package of practical expedients permitted by the new standard, the Company does not have to reassess whether any expired contracts are or contain leases, the classification of leases or whether initial direct costs should be capitalized. The adoption of the new standard resulted in the recognition of a right-of use asset of $1.0 million and lease obligations of $1.7 million on the Company’s balance sheet as of January 1, 2019. The adoption did not have a material impact on the Company’s statements of operations or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518"/>
        <w:spacing w:after="0" w:line="290" w:lineRule="auto"/>
        <w:rPr>
          <w:sz w:val="20"/>
          <w:szCs w:val="20"/>
          <w:color w:val="auto"/>
        </w:rPr>
      </w:pPr>
      <w:r>
        <w:rPr>
          <w:rFonts w:ascii="Times New Roman" w:cs="Times New Roman" w:eastAsia="Times New Roman" w:hAnsi="Times New Roman"/>
          <w:sz w:val="17"/>
          <w:szCs w:val="17"/>
          <w:color w:val="auto"/>
        </w:rPr>
        <w:t xml:space="preserve">In June 2018, the FASB issued ASU 2018-07, </w:t>
      </w:r>
      <w:r>
        <w:rPr>
          <w:rFonts w:ascii="Times New Roman" w:cs="Times New Roman" w:eastAsia="Times New Roman" w:hAnsi="Times New Roman"/>
          <w:sz w:val="17"/>
          <w:szCs w:val="17"/>
          <w:i w:val="1"/>
          <w:iCs w:val="1"/>
          <w:color w:val="auto"/>
        </w:rPr>
        <w:t>Compensation-Stock Compensation: Improvements to Nonemployee Shared-Based Payment Accounting</w:t>
      </w:r>
      <w:r>
        <w:rPr>
          <w:rFonts w:ascii="Times New Roman" w:cs="Times New Roman" w:eastAsia="Times New Roman" w:hAnsi="Times New Roman"/>
          <w:sz w:val="17"/>
          <w:szCs w:val="17"/>
          <w:color w:val="auto"/>
        </w:rPr>
        <w:t>. The ASU update expands the scope of Topic 718 to include share-based payment transactions for acquiring goods and services from nonemployees. The Company adopted ASU 2018-07 effective January 1, 2019, and the adoption did not have a material impact on its financial statements and related disclosures.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7"/>
                <w:szCs w:val="17"/>
                <w:color w:val="auto"/>
              </w:rPr>
            </w:pPr>
          </w:p>
        </w:tc>
        <w:tc>
          <w:tcPr>
            <w:tcW w:w="12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Borders>
              <w:top w:val="single" w:sz="8" w:color="auto"/>
            </w:tcBorders>
            <w:shd w:val="clear" w:color="auto" w:fill="CFF0FC"/>
          </w:tcPr>
          <w:p>
            <w:pPr>
              <w:jc w:val="center"/>
              <w:ind w:left="273"/>
              <w:spacing w:after="0"/>
              <w:rPr>
                <w:sz w:val="20"/>
                <w:szCs w:val="20"/>
                <w:color w:val="auto"/>
              </w:rPr>
            </w:pPr>
            <w:r>
              <w:rPr>
                <w:rFonts w:ascii="Times New Roman" w:cs="Times New Roman" w:eastAsia="Times New Roman" w:hAnsi="Times New Roman"/>
                <w:sz w:val="18"/>
                <w:szCs w:val="18"/>
                <w:color w:val="auto"/>
                <w:w w:val="88"/>
              </w:rPr>
              <w:t>5</w:t>
            </w:r>
          </w:p>
        </w:tc>
        <w:tc>
          <w:tcPr>
            <w:tcW w:w="3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8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88"/>
              </w:rPr>
              <w:t>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80" w:type="dxa"/>
            <w:vAlign w:val="bottom"/>
            <w:shd w:val="clear" w:color="auto" w:fill="CFF0FC"/>
          </w:tcPr>
          <w:p>
            <w:pPr>
              <w:jc w:val="center"/>
              <w:ind w:left="273"/>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Lesser of</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lease term</w:t>
            </w:r>
          </w:p>
        </w:tc>
        <w:tc>
          <w:tcPr>
            <w:tcW w:w="3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36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24"/>
                <w:szCs w:val="24"/>
                <w:color w:val="auto"/>
              </w:rPr>
            </w:pPr>
          </w:p>
        </w:tc>
        <w:tc>
          <w:tcPr>
            <w:tcW w:w="14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8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September 2016, the Company entered into an amended and restated loan and security agreement, which was subsequently amended on October 31, 2017 (as amended,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 with SVB, MidCap Funding XII Trust and MidCap Financial Trust, which amended and restated in its entirety the Company’s prior loan and security agreement.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 provided for new term loans of up to $15.0 million, with a floating interest rate equal to 7% plus the greater of (i) the 30-day U.S. LIBOR, as reported in the Wall Street Journal on the last business day of the month that immediately precedes the month in which the interest will accrue, or (ii) 0.50%.</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terms of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 an initial tranche of $8.0 million was advanced on September 28, 2016. The draw period for the remaining $7.0 million available under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prepayments through May 31, 2020. A final payment of $0.5 million was due at maturity of the loan on June 1, 2020, or upon the prepayment of the facility or the acceleration of amounts due under the facility as a result of an event of default, and was being accreted in long-term debt over the life of the loan. Of the $8.0 million borrowed, $5.3 million was used to repay all amounts outstanding under the original loan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were being accreted to long-term debt over the life of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On May 14, 2018, the Company entered into a second amended and restated loan and security agreement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A&amp;R Loan Agreement”) with SVB, MidCap Funding III Trust and MidCap Financial Trust (together, “MidCap” and collectively with SVB, the “Lenders”), which amended and restated in its entirety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A&amp;R Loan Agreement provided for new term loans of up to $20.0 million, with a floating interest rate equal to 6.50% plus the greater of (i) the 30-day U.S. LIBOR, as reported in the Wall Street Journal on the last business day of the month that immediately precedes the month in which the interest will accrue, or (ii) 1.89%.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A&amp;R Loan Agreement includes, among other things, the ability of the Lenders to accelerate the payment of the term loan in the event of material adverse change and restrictions on the Company’s ability to sell, assign, license, transfer or otherwise dispose of its assets, including intellectual property assets, without the prior written consent of the Lenders.</w:t>
      </w:r>
    </w:p>
    <w:p>
      <w:pPr>
        <w:spacing w:after="0" w:line="189" w:lineRule="exact"/>
        <w:rPr>
          <w:sz w:val="20"/>
          <w:szCs w:val="20"/>
          <w:color w:val="auto"/>
        </w:rPr>
      </w:pPr>
    </w:p>
    <w:p>
      <w:pPr>
        <w:jc w:val="both"/>
        <w:ind w:right="200" w:firstLine="518"/>
        <w:spacing w:after="0" w:line="289" w:lineRule="auto"/>
        <w:rPr>
          <w:sz w:val="20"/>
          <w:szCs w:val="20"/>
          <w:color w:val="auto"/>
        </w:rPr>
      </w:pPr>
      <w:r>
        <w:rPr>
          <w:rFonts w:ascii="Times New Roman" w:cs="Times New Roman" w:eastAsia="Times New Roman" w:hAnsi="Times New Roman"/>
          <w:sz w:val="17"/>
          <w:szCs w:val="17"/>
          <w:color w:val="auto"/>
        </w:rPr>
        <w:t>The Company borrowed an initial tranche of $10.0 million on May 14, 2018, of which $7.0 million was used to repay all amounts outstanding under the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xml:space="preserve"> A&amp;R loan agreement, including fees associated with the final payment. The prepayment fees were waived. Of the remaining $10.0 million under the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xml:space="preserve"> A&amp;R Loan Agreement, $5.0 million became available for draw but was not drawn by the Company, and the other $5.0 million is not available for draw.</w:t>
      </w:r>
    </w:p>
    <w:p>
      <w:pPr>
        <w:spacing w:after="0" w:line="15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As of September 30, 2019, the Company was required to pay accrued interest only on the $10 million borrowed under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A&amp;R Loan Agreement through October 31, 2019, followed by consecutive equal monthly payments of principal and interest in arrears continuing through the maturity date of October 1, 2022. The Company had the option to prepay the outstanding balance in full, subject to a prepayment fee of 2% of the original principal amount for any prepayment prior to October 1, 2022. A final payment of 5.50% of the aggregate borrowed amount was due at maturity of the loan on October 1, 2022, or upon the prepayment of the facility or the acceleration of amounts due under the facility as a result of an event of default.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borrowings under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A&amp;R Loan Agreement are secured by substantially all of the Company’s assets.</w:t>
      </w:r>
    </w:p>
    <w:p>
      <w:pPr>
        <w:spacing w:after="0" w:line="225"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On October 18, 2019, the Company entered into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with the Lenders. Pursuant to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provides for interest only payments through April 30, 2020, or if the Company completes a specified financial milestone, October 31, 2020, followed by consecutive equal monthly payments of principal and interest in arrears continuing through the maturity date of October 1, 2022. In addition, the Company agreed that if the Company’s cash and cash equivalents balance with SVB falls below $10.0 million, the Company will transfer to a pledged account an amount of cash and cash equivalents equal to the sum of the then-outstanding principal balance of the term loan plus a final payment fee of $340,441. As a result of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as of September 30, 2019, the Company has reflected in current liabilities the amount of principal it expects to pay within the next 12 months.</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Interest expense on the borrowings under the loan agreements described above was $223,000 and $220,000 for the three months ended September 30, 2019 and 2018, respectively, and $676,000 and $566,000 for the nine months ended September 30, 2019 and 2018, respectively. Accretion of the scheduled final payment was $47,000 for each of the three months ended September 30, 2019 and 2018, and $141,000 and $107,000 for the nine months ended September 30, 2019 and 2018, respectively. Accretion of the deferred debt issuance costs was $16,000 for each of the three months ended September 30, 2019 and 2018, and $47,000 and $95,000 for the nine months ended September 30, 2019 and 2018, respectively.</w:t>
      </w:r>
    </w:p>
    <w:p>
      <w:pPr>
        <w:spacing w:after="0" w:line="184"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 scheduled payments for the 2nd A&amp;R Loan Agreement, as amended, and the scheduled final payment in 2022,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Interest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Final Payment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2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bottom w:val="single" w:sz="8" w:color="CFF0FC"/>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100,000,000 shares of $0.001 par value common stock. As of September 30, 2019 and December 31, 2018, there were 41,149,781 and 32,119,227 shares of common stock outstanding,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Purchase Warrants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2016, in connection with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A&amp;R loan agreement (see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issued warrants to purchase up to</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29,796 shares of common stock at a price per share of $10.74. The warrants expire in September 2026, or earlier upon the occurrence of specified mergers or acquisitions of the Company, and are immediately exercisable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warrants were recorded in equity and had a weighted average remaining life of 7.00 years as of September 30,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7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options granted under the 2011 Plan and the 2016 Plan is reflected in the statements of operations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00" w:type="dxa"/>
            <w:vAlign w:val="bottom"/>
            <w:gridSpan w:val="5"/>
          </w:tcPr>
          <w:p>
            <w:pPr>
              <w:jc w:val="center"/>
              <w:ind w:left="33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6"/>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1,066</w:t>
            </w: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1,365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2,166</w:t>
            </w:r>
          </w:p>
        </w:tc>
        <w:tc>
          <w:tcPr>
            <w:tcW w:w="2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2,246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1,282</w:t>
            </w:r>
          </w:p>
        </w:tc>
        <w:tc>
          <w:tcPr>
            <w:tcW w:w="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3,232</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3,611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46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during the nine months ended September 30, 2019: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2018</w:t>
            </w:r>
          </w:p>
        </w:tc>
        <w:tc>
          <w:tcPr>
            <w:tcW w:w="14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3,463,096</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1,892,600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(16,362)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(1,146,450)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September 30, 2019</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4,192,884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December 31, 2018</w:t>
            </w:r>
          </w:p>
        </w:tc>
        <w:tc>
          <w:tcPr>
            <w:tcW w:w="14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1,583,749</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September 30, 2019</w:t>
            </w:r>
          </w:p>
        </w:tc>
        <w:tc>
          <w:tcPr>
            <w:tcW w:w="14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2,204,649</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$5.0 million of unrecognized compensation expense related to unvested stock options, which is expected to be recognized over a weighted average period of 2.4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380" w:firstLine="571"/>
        <w:spacing w:after="0" w:line="257"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from the 2016 Plan. The shares underlying the RSU awards have vesting terms of eight months to two years from the date of grant subject to the employees’ continuous service and subject to accelerated vesting in specified circumstances.</w:t>
      </w:r>
    </w:p>
    <w:p>
      <w:pPr>
        <w:spacing w:after="0" w:line="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fair value of the RSUs granted is measured based on the market value of the Company’s common stock on the date of grant and is recognized ratably over the requisite service period, which is generally the vesting period of the awards.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nine months ended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30"/>
        </w:trPr>
        <w:tc>
          <w:tcPr>
            <w:tcW w:w="7860" w:type="dxa"/>
            <w:vAlign w:val="bottom"/>
          </w:tcPr>
          <w:p>
            <w:pPr>
              <w:spacing w:after="0"/>
              <w:rPr>
                <w:sz w:val="19"/>
                <w:szCs w:val="19"/>
                <w:color w:val="auto"/>
              </w:rPr>
            </w:pPr>
          </w:p>
        </w:tc>
        <w:tc>
          <w:tcPr>
            <w:tcW w:w="2020" w:type="dxa"/>
            <w:vAlign w:val="bottom"/>
            <w:gridSpan w:val="3"/>
          </w:tcPr>
          <w:p>
            <w:pPr>
              <w:jc w:val="center"/>
              <w:ind w:right="37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860" w:type="dxa"/>
            <w:vAlign w:val="bottom"/>
          </w:tcPr>
          <w:p>
            <w:pPr>
              <w:spacing w:after="0"/>
              <w:rPr>
                <w:sz w:val="20"/>
                <w:szCs w:val="20"/>
                <w:color w:val="auto"/>
              </w:rPr>
            </w:pPr>
          </w:p>
        </w:tc>
        <w:tc>
          <w:tcPr>
            <w:tcW w:w="2020" w:type="dxa"/>
            <w:vAlign w:val="bottom"/>
            <w:gridSpan w:val="3"/>
          </w:tcPr>
          <w:p>
            <w:pPr>
              <w:jc w:val="center"/>
              <w:ind w:right="375"/>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outstanding at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Non-vested RSUs outstanding at September 30, 2019</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571"/>
        <w:spacing w:after="0" w:line="266" w:lineRule="auto"/>
        <w:rPr>
          <w:sz w:val="20"/>
          <w:szCs w:val="20"/>
          <w:color w:val="auto"/>
        </w:rPr>
      </w:pPr>
      <w:r>
        <w:rPr>
          <w:rFonts w:ascii="Times New Roman" w:cs="Times New Roman" w:eastAsia="Times New Roman" w:hAnsi="Times New Roman"/>
          <w:sz w:val="18"/>
          <w:szCs w:val="18"/>
          <w:color w:val="auto"/>
        </w:rPr>
        <w:t>The Company recorded $45,000 and $0.2 million of share-based compensation expense for the three and nine months ended September 30, 2019, respectively, for the RSUs. As of September 30, 2019, the Company had $1.0 million of unrecognized compensation expense related to the RSUs, which is expected to be recognized over a weighted average period of 1.4 years.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3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The Company has issued a total of 39,539 shares of common stock purchased under the 2016 ESPP. The Company has recorded $2,000 and $4,000 of share-based compensation expense for the three months ended September 30, 2019 and 2018, respectively, and $15,000 and $12,000 for the nine months ended September 30, 2019 and 2018, respectively, in the statements of operations for the estimated number of shares to be purchased on the next purchase date following the conclusion of the applicable reporting period.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 Summary</w:t>
      </w:r>
    </w:p>
    <w:p>
      <w:pPr>
        <w:spacing w:after="0" w:line="33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space in March 2017.</w:t>
      </w:r>
    </w:p>
    <w:p>
      <w:pPr>
        <w:spacing w:after="0" w:line="184" w:lineRule="exact"/>
        <w:rPr>
          <w:sz w:val="20"/>
          <w:szCs w:val="20"/>
          <w:color w:val="auto"/>
        </w:rPr>
      </w:pPr>
    </w:p>
    <w:p>
      <w:pPr>
        <w:jc w:val="both"/>
        <w:ind w:right="120" w:firstLine="518"/>
        <w:spacing w:after="0" w:line="258" w:lineRule="auto"/>
        <w:rPr>
          <w:sz w:val="20"/>
          <w:szCs w:val="20"/>
          <w:color w:val="auto"/>
        </w:rPr>
      </w:pPr>
      <w:r>
        <w:rPr>
          <w:rFonts w:ascii="Times New Roman" w:cs="Times New Roman" w:eastAsia="Times New Roman" w:hAnsi="Times New Roman"/>
          <w:sz w:val="18"/>
          <w:szCs w:val="18"/>
          <w:color w:val="auto"/>
        </w:rPr>
        <w:t>In August 2018, the Company signed an office lease agreement to lease approximately 3,500 square feet of office space in Berkeley, California for its commercial operations. The lease agreement is for a two-year term with a renewal option for an additional one-year term. The Company has determined that it will not exercise the renewal option for the Berkeley lease. Rental payments are $12,775 per month subject to a 3% increase per year. Rent expense under this lease is recognized on a straight-line basis over the term of the lease. The Company will pay a pro-rata share of the annual operating expenses associated with the premises.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operating leases included on the balance sheet are as follows (in thousands):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September 30, 2019, the Company’s weighted average discount rate was 5.3% and the weighted average lease term was 2.4 years.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future undiscounted minimum lease payments were as follows at September 30, 2019 (in thousands):</w:t>
      </w:r>
    </w:p>
    <w:p>
      <w:pPr>
        <w:spacing w:after="0" w:line="24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shd w:val="clear" w:color="auto" w:fill="CFF0FC"/>
          </w:tcPr>
          <w:p>
            <w:pPr>
              <w:spacing w:after="0"/>
              <w:rPr>
                <w:sz w:val="19"/>
                <w:szCs w:val="19"/>
                <w:color w:val="auto"/>
              </w:rPr>
            </w:pPr>
          </w:p>
        </w:tc>
      </w:tr>
      <w:tr>
        <w:trPr>
          <w:trHeight w:val="230"/>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Borders>
              <w:bottom w:val="single" w:sz="8" w:color="CFF0FC"/>
            </w:tcBorders>
          </w:tcPr>
          <w:p>
            <w:pPr>
              <w:spacing w:after="0"/>
              <w:rPr>
                <w:sz w:val="19"/>
                <w:szCs w:val="19"/>
                <w:color w:val="auto"/>
              </w:rPr>
            </w:pPr>
          </w:p>
        </w:tc>
      </w:tr>
      <w:tr>
        <w:trPr>
          <w:trHeight w:val="223"/>
        </w:trPr>
        <w:tc>
          <w:tcPr>
            <w:tcW w:w="6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on a straight-line basis over the lease term. The equipment leases were deemed to be immaterial.</w:t>
      </w:r>
    </w:p>
    <w:p>
      <w:pPr>
        <w:spacing w:after="0" w:line="162"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Rent expense was $100,000 and $79,000 for the three months ended September 30, 2019 and 2018, respectively, and $300,000 and $195,000 for the nine months ended September 30, 2019 and 2018, respectively. Cash payments included in operating activities on the statement of cash flows for operating lease liabilities were $386,000 for the nine months ended September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121"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Agreements</w:t>
      </w:r>
    </w:p>
    <w:p>
      <w:pPr>
        <w:spacing w:after="0" w:line="283"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auto"/>
        </w:rPr>
        <w:t>The Company has periodically entered into other short-term collaboration agreements, generally with performance obligations of one to two months, to evaluate the potential use of its proprietary SCS Microinjector with third-party product candidates for the treatment of various diseases. Funds received from these collaboration agreements are recognized as revenue over the term of the agreement. The Company recorded $141,000 and $231,000 of revenue from these collaboration agreements during the three and nine months ended September 30, 2019, respectively. In addition, the Company recorded $0.4 million of deferred revenue in other current liabilities from these collaboration agreements as of September 30,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certain financial assets and liabilities at fair value in accordance with the provisions of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on fair value measurements. As defined in the guidance, fair value, defined as an exit price, represents the amount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received to sell an asset or pay to transfer a liability in an orderly transaction between market participants. As a result, fair value is a market-based approach that should be determined based on assumptions that market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participants would use in pricing an asset or a liability. As a basis for considering these assumptions, the guidance defines a three-tier value hierarchy that prioritizes the inputs used in the valuation methodologies in measuring fair value.</w:t>
      </w:r>
    </w:p>
    <w:p>
      <w:pPr>
        <w:spacing w:after="0" w:line="54"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1—Unadjusted quoted prices in active, accessible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2—Other inputs that are directly or indirectly observable in the marketplace.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w:t>
      </w:r>
    </w:p>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Company’s material financial instruments at September 30, 2019 and December 31, 2018 consisted primarily of cash and cash equivalents, short-term investments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 The Company has determined its short-term investments, comprised of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significant transfers between Levels 1, 2 and 3 during the nine months ended September 30, 2019 and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7"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financial assets that are measured at fair value and the classification by level of input within the fair value hierarchy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9"/>
                <w:szCs w:val="19"/>
                <w:color w:val="auto"/>
              </w:rPr>
            </w:pPr>
          </w:p>
        </w:tc>
        <w:tc>
          <w:tcPr>
            <w:tcW w:w="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7"/>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9"/>
                <w:szCs w:val="19"/>
                <w:color w:val="auto"/>
              </w:rPr>
            </w:pPr>
          </w:p>
        </w:tc>
        <w:tc>
          <w:tcPr>
            <w:tcW w:w="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9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584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9"/>
        </w:trPr>
        <w:tc>
          <w:tcPr>
            <w:tcW w:w="58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5"/>
              <w:spacing w:after="0" w:line="159"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9"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35"/>
              <w:spacing w:after="0" w:line="159"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9"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4,192,884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3,220,500</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4,192,884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3,220,500</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warrants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5,541,980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3,250,296</w:t>
            </w:r>
          </w:p>
        </w:tc>
        <w:tc>
          <w:tcPr>
            <w:tcW w:w="4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5,541,980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3,250,296</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ind w:right="160" w:firstLine="571"/>
        <w:spacing w:after="0" w:line="255" w:lineRule="auto"/>
        <w:rPr>
          <w:sz w:val="20"/>
          <w:szCs w:val="20"/>
          <w:color w:val="auto"/>
        </w:rPr>
      </w:pPr>
      <w:r>
        <w:rPr>
          <w:rFonts w:ascii="Times New Roman" w:cs="Times New Roman" w:eastAsia="Times New Roman" w:hAnsi="Times New Roman"/>
          <w:sz w:val="18"/>
          <w:szCs w:val="18"/>
          <w:color w:val="auto"/>
        </w:rPr>
        <w:t>On October 22, 2019, the Company entered into the License Agreement with Bausch. Pursuant to the License Agreement, the Company has granted an exclusive license to Bausch to develop, manufacture, distribute, promote, market and commercialize XIPERE using the Company’s proprietary microneedle (the “Device”), as well as specified other steroids, corticosteroids and NSAIDs in combination with the Device (“Other Products”), subject to specified exceptions, in the United States and Canada for the treatment of ophthalmology indications, including non-infectious uveitis.</w:t>
      </w:r>
    </w:p>
    <w:p>
      <w:pPr>
        <w:spacing w:after="0" w:line="3" w:lineRule="exact"/>
        <w:rPr>
          <w:sz w:val="20"/>
          <w:szCs w:val="20"/>
          <w:color w:val="auto"/>
        </w:rPr>
      </w:pPr>
    </w:p>
    <w:p>
      <w:pPr>
        <w:ind w:right="20" w:firstLine="571"/>
        <w:spacing w:after="0" w:line="250" w:lineRule="auto"/>
        <w:rPr>
          <w:sz w:val="20"/>
          <w:szCs w:val="20"/>
          <w:color w:val="auto"/>
        </w:rPr>
      </w:pPr>
      <w:r>
        <w:rPr>
          <w:rFonts w:ascii="Times New Roman" w:cs="Times New Roman" w:eastAsia="Times New Roman" w:hAnsi="Times New Roman"/>
          <w:sz w:val="18"/>
          <w:szCs w:val="18"/>
          <w:color w:val="auto"/>
        </w:rPr>
        <w:t>Pursuant to the License Agreement, Bausch made an upfront payment of $5.0 million, which is subject to a refund if the License Agreement is terminated in specified circumstances. In addition, Bausch has agreed to make additional payments of up to $15.0 million upon the achievement of specified pre-launch development and regulatory milestones and up to an aggregate of $56.0 million in additional milestone payments upon the achievement of (i) specified regulatory approvals for specified additional indications of XIPERE and (ii) specified levels of annual net sales (as defined in the License Agreement). Further, during the applicable royalty term, the Company will also be entitled to receive tiered royalties at increasing percentages, from the high-teens to twenty percent, based on the achievement of certain annual net sales thresholds in the United States and Canada, as well as a lower royalty on annual net sales of Other Products, in each case subject to reductions in specified circumstances; provided that the Company will not receive any royalties on the first $30.0 million of cumulative net sales of all products.</w:t>
      </w:r>
    </w:p>
    <w:p>
      <w:pPr>
        <w:spacing w:after="0" w:line="4" w:lineRule="exact"/>
        <w:rPr>
          <w:sz w:val="20"/>
          <w:szCs w:val="20"/>
          <w:color w:val="auto"/>
        </w:rPr>
      </w:pPr>
    </w:p>
    <w:p>
      <w:pPr>
        <w:ind w:right="20" w:firstLine="571"/>
        <w:spacing w:after="0" w:line="252" w:lineRule="auto"/>
        <w:rPr>
          <w:sz w:val="20"/>
          <w:szCs w:val="20"/>
          <w:color w:val="auto"/>
        </w:rPr>
      </w:pPr>
      <w:r>
        <w:rPr>
          <w:rFonts w:ascii="Times New Roman" w:cs="Times New Roman" w:eastAsia="Times New Roman" w:hAnsi="Times New Roman"/>
          <w:sz w:val="18"/>
          <w:szCs w:val="18"/>
          <w:color w:val="auto"/>
        </w:rPr>
        <w:t>The Company is responsible for all development expenses for XIPERE until the Company’s New Drug Application (“NDA”) for XIPERE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one-half of the costs of any post-approval clinical trials required by the FDA, up to a specified maximum amount.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Loan and Security Agreement</w:t>
      </w:r>
    </w:p>
    <w:p>
      <w:pPr>
        <w:spacing w:after="0" w:line="227"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On October 18, 2019, the Company entered into a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with its Lenders. Pursuant to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among other things, the Company repaid $5.0 million of the outstanding principal balance of its $10.0 million term loan on October 18, 2019. In addition, the Company agreed that if the Company’s cash and cash equivalents balance with SVB falls below $10.0 million, then the Company will transfer to a pledged account an amount of cash and cash equivalents equal to the sum of the then-outstanding principal balance of the term loan plus an amount for a final payment fee of $340,441 (see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 w:lineRule="exact"/>
        <w:rPr>
          <w:sz w:val="20"/>
          <w:szCs w:val="20"/>
          <w:color w:val="auto"/>
        </w:rPr>
      </w:pPr>
    </w:p>
    <w:p>
      <w:pPr>
        <w:ind w:right="300" w:firstLine="571"/>
        <w:spacing w:after="0" w:line="262" w:lineRule="auto"/>
        <w:rPr>
          <w:sz w:val="20"/>
          <w:szCs w:val="20"/>
          <w:color w:val="auto"/>
        </w:rPr>
      </w:pPr>
      <w:r>
        <w:rPr>
          <w:rFonts w:ascii="Times New Roman" w:cs="Times New Roman" w:eastAsia="Times New Roman" w:hAnsi="Times New Roman"/>
          <w:sz w:val="18"/>
          <w:szCs w:val="18"/>
          <w:color w:val="auto"/>
        </w:rPr>
        <w:t>On October 18, 2019, the Company entered into a Consent and Fourth Amendment to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A&amp;R Loan Agreement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with SVB. Pursuant to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among other things, SVB consented to the Company’s entry into the License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and License Agreement</w:t>
      </w:r>
    </w:p>
    <w:p>
      <w:pPr>
        <w:spacing w:after="0" w:line="227"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On August 29, 2019, the Company entered into an option and license agreement with REGENXBIO, Inc. (“REGENXBIO”) pursuant to which the Company granted REGENXBIO an exclusive option to enter into a commercial license agreement (the “Option”) granting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 REGENXBIO exercised the Option on October 29, 2019 and has agreed to pay the Company an option fee equal to $2.0 million, less a credit of $0.5 million previously received under a technology access agreement, within 30 days. In addition, REGENXBIO has agreed to pay the Company up to an aggregate of $34.0 million in milestone payments upon the achievement of specified development milestones and up to an aggregate of $102.0 million in sales-based milestone payments, as well as mid-single digit royalties on net sales of products using the SCS Microinjector during the royalty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particularly in Part II – Item 1A,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88"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2018 appearing in our Annual Report on Form 10-K filed with the SEC on March 15,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a clinical biopharmaceutical company developing first-in-class pharmacological therapies to restore and preserve vision for people with serious eye diseases. Our current product candidates focus on diseases affecting the retina, which is the tissue that lines the inside of the eye and is primarily responsible for vision, and the choroid, which is the layer adjacent to the retina that supplies the retina with blood, oxygen and nourishment.</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suprachoroidal injection platform is a novel, patented non-surgical approach for delivering pharmacotherapy to the back of the eye in the anatomic structure known as the suprachoroidal space, or SCS. The elasticity of the SCS allows for migration when fluid is injected between the choroid and sclera and allows the fluid to spread spherically toward the posterior regions of the eye where it is absorbed into adjacent tissue. We are able to precisely administer drugs into the SCS with our proprietary microinjector that utilizes a needle that is approximately 1 millimeter in length.</w:t>
      </w:r>
    </w:p>
    <w:p>
      <w:pPr>
        <w:spacing w:after="0" w:line="288"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Our suprachoroidal injection technology is used in conjunction with our proprietary formulations of existing drugs and novel therapies to create a therapeutic platform of product candidates to treat several serious eye diseases. Our lead product candidate, XIPERE, is a proprietary, preservative-free suspension of the corticosteroid triamcinolone acetonide formulated for administration via suprachoroidal injection. Based in part on the positive results from our Phase 3 PEACHTREE clinical trial, in December 2018, we submitted a New Drug Application, or NDA, to the U.S. Food and Drug Administration, or FDA, for XIPERE for the treatment of macular edema associated with uveitis. On February 19, 2019 we received notification from the FDA that it had accepted the XIPERE NDA for review and had determined that the application was sufficiently complete to permit a substantive review. On October 18, 2019, we received a Complete Response Letter, or CRL, from the FDA regarding the NDA for XIPERE. As part of the complete NDA review, the FDA did not identify any efficacy issues, and there were no requests for further clinical efficacy studies. As anticipated, the CRL included the FDA’s request for additional stability data and reinspection of the drug product manufacturer to resolve the FDA’s prior observations. The CRL included one new request for additional data on clinical use of the final to-be-marketed SCS Microinjector™ delivery system. We currently expect that this device use assessment will be conducted by at least three physicians in 30 patients, per the FDA’s request. We believe that these recommendations cited in the CRL can be addressed in a timely manner that will enable us to resubmit the NDA in the first quarter of 2020. We expect the Prescription Drug User Fee Act, or PDUFA, goal date for the resubmitted NDA will be six months from the FDA’s receipt of the resubmission. We will be requesting a meeting with the FDA to discuss and confirm our plans for addressing the recommendations contained in the CRL.</w:t>
      </w:r>
    </w:p>
    <w:p>
      <w:pPr>
        <w:spacing w:after="0" w:line="91" w:lineRule="exact"/>
        <w:rPr>
          <w:sz w:val="20"/>
          <w:szCs w:val="20"/>
          <w:color w:val="auto"/>
        </w:rPr>
      </w:pPr>
    </w:p>
    <w:p>
      <w:pPr>
        <w:ind w:right="20" w:firstLine="761"/>
        <w:spacing w:after="0" w:line="255" w:lineRule="auto"/>
        <w:rPr>
          <w:sz w:val="20"/>
          <w:szCs w:val="20"/>
          <w:color w:val="auto"/>
        </w:rPr>
      </w:pPr>
      <w:r>
        <w:rPr>
          <w:rFonts w:ascii="Times New Roman" w:cs="Times New Roman" w:eastAsia="Times New Roman" w:hAnsi="Times New Roman"/>
          <w:sz w:val="18"/>
          <w:szCs w:val="18"/>
          <w:color w:val="auto"/>
        </w:rPr>
        <w:t>On October 22, 2019, we entered into an exclusive license agreement with Bausch Health Ireland Limited, or Bausch, for the commercialization and development of XIPERE in the United States and Canada, or the License Agreement. Pursuant to the License Agreement, Bausch paid us an upfront payment of $5.0 million, which is subject to a refund if the License Agreement is terminated in specified circumstances. In addition, Bausch has agreed to make additional payments of up to $15.0 million upon the achievement of specified pre-launch development and regulatory milestones and up to an aggregate of $56.0 million in additional milestone payments upon the achievement of (i) specified regulatory approvals for specified additional indications of XIPERE and (ii) specified levels of annual net sales (as defined in the License Agreement). Further, during the applicable royalty term, we will also be entitled to receive tiered royalties at increasing percentages, from the high-teens to twenty percent, based on XIPERE achieving certain annual net sales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thresholds in the United States and Canada, as well as a lower royalty on annual net sales of other products, in each case subject to reductions in specified circumstances; provided that we will not receive any royalties on the first $30.0 million of cumulative net sales of all products.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We intend to continue discussions with potential collaborators for the commercialization and development of XIPERE in other countries around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t>
      </w:r>
    </w:p>
    <w:p>
      <w:pPr>
        <w:spacing w:after="0" w:line="207" w:lineRule="exact"/>
        <w:rPr>
          <w:sz w:val="20"/>
          <w:szCs w:val="20"/>
          <w:color w:val="auto"/>
        </w:rPr>
      </w:pPr>
    </w:p>
    <w:p>
      <w:pPr>
        <w:ind w:right="20" w:firstLine="761"/>
        <w:spacing w:after="0" w:line="255" w:lineRule="auto"/>
        <w:rPr>
          <w:sz w:val="20"/>
          <w:szCs w:val="20"/>
          <w:color w:val="auto"/>
        </w:rPr>
      </w:pPr>
      <w:r>
        <w:rPr>
          <w:rFonts w:ascii="Times New Roman" w:cs="Times New Roman" w:eastAsia="Times New Roman" w:hAnsi="Times New Roman"/>
          <w:sz w:val="18"/>
          <w:szCs w:val="18"/>
          <w:color w:val="auto"/>
        </w:rPr>
        <w:t>On August 29, 2019, we entered into an option and license agreement with REGENXBIO, Inc., or REGENXBIO, pursuant to which we granted REGENXBIO an exclusive option, or the Option, to enter into a commercial license agreement granting REGENXBIO an exclusive, worldwide and sublicensable license to our SCS Microinjector for the delivery of adeno-associated virus-based gene therapies for the treatment of wet age-related macular degeneration, diabetic retinopathy and other conditions for which anti-vascular endothelial growth factor, or anti-VEGF treatment is currently the standard of care. REGENXBIO exercised the Option on October 29, 2019 and has agreed to pay us an option fee equal to $2.0 million, less a credit of $0.5 million previously received under a technology access agreement, within 30 days. In addition, REGENXBIO has agreed to make additional payments to us of up to an aggregate of $34.0 million upon the achievement of specified development milestones and up to $102.0 million in sales-based milestone payments, as well as mid-single digit royalties on net sales of products using the SCS Microinjector during the royalty term.</w:t>
      </w:r>
    </w:p>
    <w:p>
      <w:pPr>
        <w:spacing w:after="0" w:line="185" w:lineRule="exact"/>
        <w:rPr>
          <w:sz w:val="20"/>
          <w:szCs w:val="20"/>
          <w:color w:val="auto"/>
        </w:rPr>
      </w:pPr>
    </w:p>
    <w:p>
      <w:pPr>
        <w:ind w:right="20" w:firstLine="761"/>
        <w:spacing w:after="0" w:line="258" w:lineRule="auto"/>
        <w:rPr>
          <w:sz w:val="20"/>
          <w:szCs w:val="20"/>
          <w:color w:val="auto"/>
        </w:rPr>
      </w:pPr>
      <w:r>
        <w:rPr>
          <w:rFonts w:ascii="Times New Roman" w:cs="Times New Roman" w:eastAsia="Times New Roman" w:hAnsi="Times New Roman"/>
          <w:sz w:val="18"/>
          <w:szCs w:val="18"/>
          <w:color w:val="auto"/>
        </w:rPr>
        <w:t>In the last several months, our research and development team has performed additional analyses on our proprietary suprachoroidal suspension of axitinib, or CLS-AX, an inhibitor of vascular endothelial growth factor receptor-1, -2 and -3 which may benefit patients who sub-optimally respond to current anti-VEGF therapies. In preclinical testing, we observed the potential for durability benefits which may maintain visual gains and reduce treatment burden in patients with angiogenic retinal diseases. We are advancing CLS-AX as our lead internal development asset and expect to submit an Investigational New Drug application for CLS-AX in mid-2020.</w:t>
      </w:r>
    </w:p>
    <w:p>
      <w:pPr>
        <w:spacing w:after="0" w:line="184"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have incurred net losses since our inception in May 2011. Our operations to date have been limited to organizing and staffing our company, raising capital, undertaking preclinical studies and other research and development initiatives, conducting clinical trials and preparing to commercialize XIPERE for the treatment of macular edema associated with uveitis, prior to entering into the License Agreement with Bausch as described above. To date, we have not generated any revenue, other than license and collaboration revenue, and we have primarily financed our operations through public offerings and private placements of our equity securities, issuances of convertible promissory notes and loan agreements. As of September 30, 2019, we had an accumulated deficit of $234.6 million. We recorded net losses of $6.5 million and $23.9 million for the three months ended September 30, 2019 and 2018, respectively, and net losses of $27.7 million and $61.2 million for the nine months ended September 30, 2019 and 2018, respectively. We anticipate that a substantial portion of our capital resources and efforts in the foreseeable future will be focused on completing the necessary clinical development of, and obtaining regulatory approval of, our product candidates.</w:t>
      </w:r>
    </w:p>
    <w:p>
      <w:pPr>
        <w:spacing w:after="0" w:line="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expect to continue to incur significant operating losses at least for the next several years. We do not expect to generate product or license and collaboration revenue unless and until we successfully complete necessary development of, obtain regulatory approval for and successfully commercialize one or more of our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will continue our efforts to seek to discover, research and develop additional product candidates and seek regulatory approvals in additional regions for XIPERE for the treatment of macular edema associated with uveitis.</w:t>
      </w:r>
    </w:p>
    <w:p>
      <w:pPr>
        <w:spacing w:after="0" w:line="297" w:lineRule="exact"/>
        <w:rPr>
          <w:sz w:val="20"/>
          <w:szCs w:val="20"/>
          <w:color w:val="auto"/>
        </w:rPr>
      </w:pPr>
    </w:p>
    <w:p>
      <w:pPr>
        <w:ind w:right="80" w:firstLine="761"/>
        <w:spacing w:after="0" w:line="258"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existing cash and cash equivalents as of the filing date, November 8, 2019, will enable us to fund our operating expenses and capital expenditure requirements into the third quarter of 2020. Our ability to fund our operations into the third quarter of 2020 gives effect to the potential restriction of cash pursuant to the Loan Agreement, as amended by the 3rd Amendment (each as defined below). This expectation does not give effect to any additional development milestone payments we might receive in connection with our license agreements for XIPERE or any other future license or collaboration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from the sale of any drugs, and we do not expect to generate any revenue unless or until we obtain regulatory approval of and commercialize our product candidates, either on our own or with a third party.</w:t>
      </w:r>
    </w:p>
    <w:p>
      <w:pPr>
        <w:spacing w:after="0" w:line="5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have periodically entered into short-term collaboration agreements, generally with performance obligations of one to two months, to evaluate the potential use of our proprietary SCS Microinjector with third-party product candidates for the treatment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various diseases. Funds received from these collaboration agreements are recognized as revenue generally over the term of the agreement or upon completion of performance obligations within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54"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117"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development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7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Unallocated costs are expenses related to preclinical activities and activities that support more than one development program such as salaries, share-based compensation and depreciation.</w:t>
      </w:r>
    </w:p>
    <w:p>
      <w:pPr>
        <w:spacing w:after="0" w:line="180"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2018, substantially all of our research and development expenses were related to the preclinical and clinical development of our product candidate.</w:t>
      </w:r>
    </w:p>
    <w:p>
      <w:pPr>
        <w:spacing w:after="0" w:line="162"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including those that have been discontinued, for the three and nine months ended September 30, 2019 and 2018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XIPERE (uveitis program)</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XIPERE (RVO program)</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XIPERE (DME program)</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5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5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25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recorded all estimated remaining accrued expenses reported by our CRO in connection with the termination of our development program for retinal vein occlusion, or RVO.</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may include, among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99" w:lineRule="exact"/>
        <w:rPr>
          <w:sz w:val="20"/>
          <w:szCs w:val="20"/>
          <w:color w:val="auto"/>
        </w:rPr>
      </w:pPr>
    </w:p>
    <w:p>
      <w:pPr>
        <w:ind w:left="1040" w:right="40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XIPERE and the SCS Microinjector in support of filings for regulatory approval;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Other income consists of interest income earned on our cash and cash equivalents and short-term investments. Interest income is not considered significant to our financial statements.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Other expense primarily consists of interest expense under our loan agreements for the three and nine months ended September 30, 2019 and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2019, there were no significant changes to our critical accounting policies disclosed in our audited financial statements for the year ended December 31, 2018, which are included in our Annual Report on Form 10-K, as filed with the SEC on March 15, 2019, other than our adoption of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described in Note 2 to our financial statements included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2019 and 2018.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gridSpan w:val="6"/>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14"/>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80" w:type="dxa"/>
            <w:vAlign w:val="bottom"/>
            <w:gridSpan w:val="2"/>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0"/>
                <w:szCs w:val="20"/>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(17,355)</w:t>
            </w:r>
          </w:p>
        </w:tc>
      </w:tr>
      <w:tr>
        <w:trPr>
          <w:trHeight w:val="23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45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(6,368)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(6,536)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p>
    <w:p>
      <w:pPr>
        <w:jc w:val="both"/>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the three months ended September 30, 2019, we recognized $141,000 of revenue associated with collaboration agreements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use of our proprietary SCS Microinjector with third-party product candidates for the treatment of various diseases.</w:t>
      </w:r>
    </w:p>
    <w:p>
      <w:pPr>
        <w:spacing w:after="0" w:line="158"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decreased by $17.4 million, from $20.1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2018 to $2.7 million for the three months ended September 30, 2019. This was primarily attributable to a $14.0 million decrease due to closing down two late-stage clinical trials, SAPPHIRE and TOPAZ, that were part of our RVO program. Additionally, there was a $1.0 million decrease due to the completion of the PEACHTREE trial during the first quarter of 2018, a $0.4 million decrease in costs related to our DME program, as the TYBEE trial was completed in the second quarter of 2018, a $0.5 million decrease in regulatory expenses as the NDA submission for XIPERE was completed in the fourth quarter of 2018, a $0.6 million decrease in costs related to device and drug manufacturing and a $0.5 million decrease in employee related costs.</w:t>
      </w:r>
    </w:p>
    <w:p>
      <w:pPr>
        <w:spacing w:after="0" w:line="183"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$92,000, from $3.9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to $3.8 million for the three months ended September 30, 2019. This was primarily attributable to a decrease of $0.4 million in marketing-related expenses related to the change of our business strategy to seek partners for XIPERE rather than commercialize XIPERE on our own and a decrease of $0.2 million in patent-related expenses offset by increases of $0.4 million in professional fees and $0.2 million in directors and officers insurance premiums.</w:t>
      </w:r>
    </w:p>
    <w:p>
      <w:pPr>
        <w:spacing w:after="0" w:line="180"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each of the three months ended September 30, 2019 and 2018 primarily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long-term debt, the amortization of financing costs, the accretion of warrants and the final payment related to our loan agreements, offset in part by interest income from our short-term investments. The decline from 2018 to 2019 was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result of higher interest income on short-term investment balances following our public offering of common stock in the first quarter of 2018, which balances decreased over time.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2019 and 2018.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14"/>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0"/>
                <w:szCs w:val="20"/>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(36,452)</w:t>
            </w:r>
          </w:p>
        </w:tc>
      </w:tr>
      <w:tr>
        <w:trPr>
          <w:trHeight w:val="230"/>
        </w:trPr>
        <w:tc>
          <w:tcPr>
            <w:tcW w:w="4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33,506</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the nine months ended September 30, 2019, we recognized $231,000 of revenue associated with collaboration agreements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use of our proprietary SCS Microinjector with third-party product candidates for the treatment of various diseases.</w:t>
      </w:r>
    </w:p>
    <w:p>
      <w:pPr>
        <w:spacing w:after="0" w:line="15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decreased by $36.5 million, from $50.8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2018 to $14.4 million for the nine months ended September 30, 2019. This was primarily attributable to a $28.7 million decrease due to closing down the SAPPHIRE and TOPAZ trials, including the one-time credit of $2.6 million upon reconciliation of final trial costs. Additionally, there was a $4.5 million decrease due to the completion of the PEACHTREE trial during the first quarter of 2018, a $2.8 million decrease in costs related to our DME program, as the TYBEE trial was completed in the second quarter of 2018, and a $0.9 million decrease in regulatory expenses as the NDA submission for XIPERE was completed in the fourth quarter of 2018. These decreases were partially offset by a $0.6 million increase in employee-related costs and a $0.6 million increase in nonclinical activities.</w:t>
      </w:r>
    </w:p>
    <w:p>
      <w:pPr>
        <w:spacing w:after="0" w:line="183"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$2.7 million, from $10.5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2018 to $13.2 million for the nine months ended September 30, 2019. The increase was primarily attributable to a $1.8 million increase in employee-related costs, including accrued expenses related to the resignation of our former CEO, and an increase of $0.5 million in marketing-related expenses as we prepared for the potential commercialization of XIPERE.</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each of the nine-month periods ended September 30, 2019 and 2018 primarily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on long-term debt, the amortization of financing costs, the accretion of warrants and the final payment related to our loan agreements, offset in part by interest income from our short-term investments. The decline from 2018 to 2019 was the result of higher interest income on short-term investment balances following our public offering of common stock in the first quarter of 2018, which balances decreased over time.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of public offerings of our common stock, sales of convertible preferred stock and the issuance of long-term debt. As of September 30, 2019, we had cash and cash equivalents of $22.6 million. On October 22, 2019, we entered into the License Agreement with Bausch, pursuant to which we received an upfront payment of $5.0 million, which is subject to a refund if the License Agreement is terminated in specified circumstances. On October 29, 2019, REGENXBIO exercised the Option and has agreed to pay us an option fee equal to $2.0 million, less a credit of $0.5 million previously received under a technology access agreement, within 30 days. We invest any cash in excess of our immediate requirements primarily with a view to liquidity and capital preservation. As of September 30, 2019, our funds were held in cash and money market funds.</w:t>
      </w:r>
    </w:p>
    <w:p>
      <w:pPr>
        <w:spacing w:after="0" w:line="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On June 30, 2017, we entered into an at-the-market sales agreement, or the ATM agreement, with Cowen and Company LLC, or Cowen, under which we may offer and sell, from time to time at our sole discretion, shares of our common stock having an aggregate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offering price of up to $50.0 million through Cowen acting as our sales agent. During the nine months ended September 30, 2019, we sold 9.0 million shares of our common stock for net proceeds of $10.3 million under the ATM agreement. Our registration statement on Form S-3 contemplated under the ATM agreement was declared effective by the SEC on July 13, 2017. The registration statement on Form S-3 includes a prospectus supplement covering the offering up to $18.5 million of shares of common stock over the 12 months ending March 15, 2020 in accordance with the ATM agreement.</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On September 28, 2016, we entered into an amended and restated loan and security agreement with Silicon Valley Bank, or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preceded the month in which the interest was to accrue, or (ii) 0.50%. We borrowed an initial tranche of $8.0 million on September 28, 2016, of which $5.3 million was used to repay all amounts outstanding under our prior loan agreement with SVB. The 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May 14, 2018, we entered into a second amended and restated loan and security agreement with the Lenders, or the Loan Agreement, which amended and restated in its entirety the prior amended and restated loan and security agreement with the Lenders. The Loan Agreement provides for new term loans of up to $20.0 million, with a floating interest rate equal to 6.5% plus the greater of (i) the 30-day U.S. LIBOR, as reported in the Wall Street Journal on the last business day of the month that immediately precedes the month in which the interest will accrue or (ii) 1.89%.</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$5.0 million became available but we elected not to draw it, and the other $5.0 million did not become available for draw. On October 18, 2019, we entered into a third amendment to the Loan Agreement, or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with our Lenders. Under the 3rd Amendment, among other things, we repaid $5.0 million of the outstanding principal balance of the $10.0 million term loan on October 18, 2019. We did not pay any final payment or termination fees in connection with the $5.0 million prepayment.</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Under the Loan Agreement, as amended, we are required to pay accrued interest only on the $5.0 million remaining outstanding balance through April 30, 2020, or if we complete a specified financial milestone, October 31, 2020, followed by consecutive equal monthly payments of principal and interest in arrears continuing through the maturity date of October 1, 2022. We have the option to prepay the outstanding balance in full, subject to a prepayment fee of 2% of the original principal amount for any prepayment prior to October 1, 2022. A final payment of 5.50% of the aggregate borrowed amount is due at maturity of the loan on October 1, 2022, or upon the prepayment of the facility or the acceleration of amounts due under the facility as a result of an event of default. In addition, we agreed that if our cash and cash equivalents balance with SVB falls below $10.0 million, we will transfer to a pledged account an amount of cash and cash equivalents equal to the sum of the then-outstanding principal balance of the term loan plus a final payment fee of $340,441.</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amounts due under the Loan Agreement are secured by substantially all of our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16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2"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62"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agreements with Bausch and REGENXBIO, we do not currently have any committed external source of funds, though, as described above, we may also be able to sell our common stock under the ATM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obtain FDA approval to market and then generate significant revenue from XIPERE. We will need additional financing to fund our operations. These conditions raise substantial doubt about our ability to continue as a going concern within one year after the date of this report. We have plans to mitigate this going concern risk, which primarily consist of raising additional capital, potentially in a combination of equity or debt financings, or potentially entering into additional collaborations, partnerships and other strategic arrangements.</w:t>
      </w:r>
    </w:p>
    <w:p>
      <w:pPr>
        <w:spacing w:after="0" w:line="76" w:lineRule="exact"/>
        <w:rPr>
          <w:sz w:val="20"/>
          <w:szCs w:val="20"/>
          <w:color w:val="auto"/>
        </w:rPr>
      </w:pPr>
    </w:p>
    <w:p>
      <w:pPr>
        <w:ind w:right="100" w:firstLine="761"/>
        <w:spacing w:after="0" w:line="256"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existing cash and cash equivalents as of the filing date, November 8, 2019, will enable us to fund our operating expenses and capital expenditure requirements into the third quarter of 2020. Our ability to fund our operations into the third quarter of 2020 gives effect to the potential restriction of cash pursuant to the Loan Agreement, as amended, by the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Amendment. This expectation does not give effect to any additional development milestone payments we might receive under the agreements with Bausch or REGENXBIO or in connection with any other potential license or collaboration agreement for XIPERE or any future product candidates. We have based this estimate on assumptions that may prove to be wrong, and we could exhaust our capital resources sooner than we expect.</w:t>
      </w:r>
    </w:p>
    <w:p>
      <w:pPr>
        <w:spacing w:after="0" w:line="8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provided by (used in) our operating, investing and financing activities (in thousands):</w:t>
      </w:r>
    </w:p>
    <w:p>
      <w:pPr>
        <w:spacing w:after="0" w:line="241"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43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r>
      <w:tr>
        <w:trPr>
          <w:trHeight w:val="22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6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(28,757)</w:t>
            </w: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(54,941)</w:t>
            </w: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(20,201)</w:t>
            </w:r>
          </w:p>
        </w:tc>
      </w:tr>
      <w:tr>
        <w:trPr>
          <w:trHeight w:val="230"/>
        </w:trPr>
        <w:tc>
          <w:tcPr>
            <w:tcW w:w="4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81,759</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2019 and 2018, our operating activities used net cash of $28.8 million and $54.9 million, respectively. The use of cash in each period primarily resulted from our net losses, offset in part by non-cash share-based compensation expense. The decrease in net loss for the nine months ended September 30, 2019 as compared to the nine months ended September 30, 2018 was primarily attributable to lower research and development expenses as a result of the completion of the PEACHTREE and TYBEE trials in the prior year and the discontinuation of the SAPPHIRE and TOPAZ trials, partially offset by increased commercialization activities related to XIPERE. The nine months ended September 30, 2019 also included a net cash outflow of $5.4 million from the decrease in our accounts payable balance, which was the result of payments we made in connection with winding down the clinical trials.</w:t>
      </w:r>
    </w:p>
    <w:p>
      <w:pPr>
        <w:spacing w:after="0" w:line="18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our net cash provided by investing activities was $32.9 million and was due to maturities of short-term, available-for-sale investments. During the nine months ended September 30, 2018, our net cash used in investing activities was $20.2 million and was due to the net amount of purchases and maturities of short-term, available-for-sale investments.</w:t>
      </w:r>
    </w:p>
    <w:p>
      <w:pPr>
        <w:spacing w:after="0" w:line="176"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2019 and 2018, our net cash provided by financing activities was $10.3 million and $81.8 million, respectively. The net cash provided by financing activities for the nine months ended September 30, 2019 was comprised of net proceeds of $10.3 million from the sales of shares of common stock under the ATM agreement. The net cash provided by financing activities for the nine months ended September 30, 2018 was comprised of the net proceeds of $79.6 million received from our March 2018 public offering of common stock, the net proceeds of $10.0 million from the second amended and restated loan and security agreement and $0.4 million of proceeds from the exercise of stock options, offset in part by $8.3 million paid to satisfy our obligations under the prior loan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 xml:space="preserve">As of September 30, 2019, there were no significant changes to our contractual obligations, other than the Loan Agreement, as amended (see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from those presented as of December 31, 2018 in our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 “Financial Statements – Note 2, Significant Accounting Policies” for a discussion of recent accounting pronouncements and their effect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2019 and December 31, 2018, we had cash and cash equivalents of $22.6 million and $8.0 million, respectively. We generally hold our cash in interest-bearing money market accounts. As of September 30, 2019, we had no short-term investments and as of December 31, 2018, we had short-term investments of $32.8 million. The short-term investments included commercial paper and treasury bills.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89"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We do not engage in any hedging activities against changes in interest rates. Our outstanding debt instruments carried a floating interest rate that is 6.5% plus the greater of (i) the 30-day U.S. LIBOR, reported in the Wall Street Journal on the last business day of the month that immediately precedes the month in which the interest will accrue or (ii) 1.89%. We estimate that a one percentage point increase in the applicable interest rate under our loan agreements would have resulted in a $75,000 and $100,000 increase in interest expense for the nine months ended September 30, 2019 and the year ended December 31, 2018, respectively.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foreign currency or other material derivative financial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9"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2019 that has materially affected, or is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2018, filed with the Securities and Exchange Commission on March 15, 2019. Except as described below, there have been no material changes to the risk factors described in that report.</w:t>
      </w:r>
    </w:p>
    <w:p>
      <w:pPr>
        <w:spacing w:after="0" w:line="176" w:lineRule="exact"/>
        <w:rPr>
          <w:sz w:val="20"/>
          <w:szCs w:val="20"/>
          <w:color w:val="auto"/>
        </w:rPr>
      </w:pPr>
    </w:p>
    <w:p>
      <w:pPr>
        <w:ind w:right="6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light of our receipt of a CRL from the FDA regarding our NDA for XIPERE, the U.S. regulatory requirements and timing for XIPERE approval are uncertain, and we may never obtain regulatory approval in the United States.</w:t>
      </w:r>
    </w:p>
    <w:p>
      <w:pPr>
        <w:spacing w:after="0" w:line="159" w:lineRule="exact"/>
        <w:rPr>
          <w:sz w:val="20"/>
          <w:szCs w:val="20"/>
          <w:color w:val="auto"/>
        </w:rPr>
      </w:pPr>
    </w:p>
    <w:p>
      <w:pPr>
        <w:ind w:firstLine="761"/>
        <w:spacing w:after="0" w:line="258" w:lineRule="auto"/>
        <w:rPr>
          <w:sz w:val="20"/>
          <w:szCs w:val="20"/>
          <w:color w:val="auto"/>
        </w:rPr>
      </w:pPr>
      <w:r>
        <w:rPr>
          <w:rFonts w:ascii="Times New Roman" w:cs="Times New Roman" w:eastAsia="Times New Roman" w:hAnsi="Times New Roman"/>
          <w:sz w:val="18"/>
          <w:szCs w:val="18"/>
          <w:color w:val="auto"/>
        </w:rPr>
        <w:t>In December 2018, we submitted an NDA to the FDA for XIPERE for the treatment of macular edema associated with uveitis. The NDA was accepted for review by the FDA in February 2019, and a PDUFA goal date was assigned for October 19, 2019. In August 2019, we announced that the FDA requested certain items related to chemistry, manufacturing and controls and that we expected to receive a CRL from the FDA. On October 18, 2019, the FDA issued a CRL regarding the NDA, indicating that their review was complete and the NDA was not ready for approval in its present form. As a result, the approval of our NDA for XIPERE has been delayed and may never occur.</w:t>
      </w:r>
    </w:p>
    <w:p>
      <w:pPr>
        <w:spacing w:after="0" w:line="184" w:lineRule="exact"/>
        <w:rPr>
          <w:sz w:val="20"/>
          <w:szCs w:val="20"/>
          <w:color w:val="auto"/>
        </w:rPr>
      </w:pPr>
    </w:p>
    <w:p>
      <w:pPr>
        <w:ind w:right="220" w:firstLine="761"/>
        <w:spacing w:after="0" w:line="258" w:lineRule="auto"/>
        <w:rPr>
          <w:sz w:val="20"/>
          <w:szCs w:val="20"/>
          <w:color w:val="auto"/>
        </w:rPr>
      </w:pPr>
      <w:r>
        <w:rPr>
          <w:rFonts w:ascii="Times New Roman" w:cs="Times New Roman" w:eastAsia="Times New Roman" w:hAnsi="Times New Roman"/>
          <w:sz w:val="18"/>
          <w:szCs w:val="18"/>
          <w:color w:val="auto"/>
        </w:rPr>
        <w:t>In its CRL, the FDA requested additional stability data for the triamcinolone acetonide suspension, reinspection of the drug manufacturer and additional data on clinical use of the final to-be-marketed SCS Microinjector™ delivery system. We [intend to request] [have requested] a meeting with the FDA to discuss and confirm our plans for addressing the recommendations contained in the CRL. While we believe that the recommendations cited in the CRL can be addressed in a timely manner that will enable us to resubmit the NDA in the first quarter of 2020, we cannot predict the outcome of any interactions with the FDA nor can we guarantee when, or if, we will be successful in receiving regulatory approval for XIPERE.</w:t>
      </w:r>
    </w:p>
    <w:p>
      <w:pPr>
        <w:spacing w:after="0" w:line="184" w:lineRule="exact"/>
        <w:rPr>
          <w:sz w:val="20"/>
          <w:szCs w:val="20"/>
          <w:color w:val="auto"/>
        </w:rPr>
      </w:pPr>
    </w:p>
    <w:p>
      <w:pPr>
        <w:ind w:right="240" w:firstLine="761"/>
        <w:spacing w:after="0" w:line="266" w:lineRule="auto"/>
        <w:rPr>
          <w:sz w:val="20"/>
          <w:szCs w:val="20"/>
          <w:color w:val="auto"/>
        </w:rPr>
      </w:pPr>
      <w:r>
        <w:rPr>
          <w:rFonts w:ascii="Times New Roman" w:cs="Times New Roman" w:eastAsia="Times New Roman" w:hAnsi="Times New Roman"/>
          <w:sz w:val="18"/>
          <w:szCs w:val="18"/>
          <w:color w:val="auto"/>
        </w:rPr>
        <w:t>The U.S. regulatory requirements and timing for XIPERE approval are uncertain at this time, and we may never obtain regulatory approval of XIPERE or any of our other product candidates in the United States. If we do not obtain approval for XIPERE or are delayed in obtaining such approval, it would have a material adverse effect on our operations and financial condition.</w:t>
      </w:r>
    </w:p>
    <w:p>
      <w:pPr>
        <w:spacing w:after="0" w:line="28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granted an exclusive license to Bausch for the commercialization and development of XIPERE in the United States and Canada, and we intend to seek one or more partners for the commercialization of XIPERE in other jurisdictions around the world. If we are unable to secure additional commercialization partners, or if our partners fail to successfully commercialize XIPERE in their respective markets, our business and prospects will be materially harmed.</w:t>
      </w:r>
    </w:p>
    <w:p>
      <w:pPr>
        <w:spacing w:after="0" w:line="181" w:lineRule="exact"/>
        <w:rPr>
          <w:sz w:val="20"/>
          <w:szCs w:val="20"/>
          <w:color w:val="auto"/>
        </w:rPr>
      </w:pPr>
    </w:p>
    <w:p>
      <w:pPr>
        <w:ind w:right="60" w:firstLine="761"/>
        <w:spacing w:after="0" w:line="255" w:lineRule="auto"/>
        <w:rPr>
          <w:sz w:val="20"/>
          <w:szCs w:val="20"/>
          <w:color w:val="auto"/>
        </w:rPr>
      </w:pPr>
      <w:r>
        <w:rPr>
          <w:rFonts w:ascii="Times New Roman" w:cs="Times New Roman" w:eastAsia="Times New Roman" w:hAnsi="Times New Roman"/>
          <w:sz w:val="18"/>
          <w:szCs w:val="18"/>
          <w:color w:val="auto"/>
        </w:rPr>
        <w:t>Our business prospects and our ability to generate product revenue related to XIPERE, if any, will be heavily dependent on the efforts of third parties with whom we have entered, or will enter, into arrangements to perform sales, marketing and distribution services for XIPERE in the United States and internationally. For instance, 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The successful or timely achievement of many of these milestones is outside of our control because the relevant activities will be conducted by Bausch. We expect to depend to a large degree on the payments from Bausch and future potential commercialization partners in order to fund our operations, and a failure to receive such payments may cause us to:</w:t>
      </w:r>
    </w:p>
    <w:p>
      <w:pPr>
        <w:spacing w:after="0" w:line="230"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reduce or terminate certain research and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headcount;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raising of additional funds through equity or convertible debt financings that could be dilutive to our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funds by entering into agreements that require us to assign rights to technologies or products that we would have otherwise retained;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arrangements that may be less favorable than those we would have obtained under different circumstances;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strategic transactions or engaging in a joint venture with a third party.</w:t>
      </w:r>
    </w:p>
    <w:p>
      <w:pPr>
        <w:spacing w:after="0" w:line="266" w:lineRule="exact"/>
        <w:rPr>
          <w:sz w:val="20"/>
          <w:szCs w:val="20"/>
          <w:color w:val="auto"/>
        </w:rPr>
      </w:pPr>
    </w:p>
    <w:p>
      <w:pPr>
        <w:ind w:firstLine="27"/>
        <w:spacing w:after="0" w:line="254" w:lineRule="auto"/>
        <w:rPr>
          <w:sz w:val="20"/>
          <w:szCs w:val="20"/>
          <w:color w:val="auto"/>
        </w:rPr>
      </w:pPr>
      <w:r>
        <w:rPr>
          <w:rFonts w:ascii="Times New Roman" w:cs="Times New Roman" w:eastAsia="Times New Roman" w:hAnsi="Times New Roman"/>
          <w:sz w:val="18"/>
          <w:szCs w:val="18"/>
          <w:color w:val="auto"/>
        </w:rPr>
        <w:t>We intend to enter into similar arrangements with third parties for the commercialization of XIPERE in other jurisdictions outside of the United States and Canada. We may be unsuccessful in entering into such commercialization arrangements with third parties or may be unable to do so on terms that are favorable to us. Our product revenue related to XIPERE, if any, or the profitability of such product revenue, may be lower, perhaps substantially lower, than if we directly marketed and sold XIPERE. Such revenue will be heavily dependent on the commercialization efforts of our partners, and we may have little or no control over such third parties. Any disputes with our commercialization partners concerning the adequacy of their efforts will substantially divert the attention of our senior management from other business activities and will require us to incur substantial legal costs to fund litigation or arbitration proceedings. If we are unable to establish licensing or collaboration arrangements with additional partners or if our partners fail to exercise commercially reasonable efforts to market and sell XIPERE in their respective licensed jurisdictions or are otherwise ineffective in doing so, our business will be materially harmed, and we may not be able to adequately remedy the harm through negotiation, litigation, arbitration or termination of the commercialization agreements.</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Market, we may be delisted and the price of our common stock and our ability to access the capital markets could be negatively impacted.</w:t>
      </w:r>
    </w:p>
    <w:p>
      <w:pPr>
        <w:spacing w:after="0" w:line="159" w:lineRule="exact"/>
        <w:rPr>
          <w:sz w:val="20"/>
          <w:szCs w:val="20"/>
          <w:color w:val="auto"/>
        </w:rPr>
      </w:pPr>
    </w:p>
    <w:p>
      <w:pPr>
        <w:ind w:right="160" w:firstLine="751"/>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To maintain the listing of our common stock on The Nasdaq Global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88" w:lineRule="exact"/>
        <w:rPr>
          <w:sz w:val="20"/>
          <w:szCs w:val="20"/>
          <w:color w:val="auto"/>
        </w:rPr>
      </w:pPr>
    </w:p>
    <w:p>
      <w:pPr>
        <w:ind w:firstLine="885"/>
        <w:spacing w:after="0" w:line="255" w:lineRule="auto"/>
        <w:rPr>
          <w:sz w:val="20"/>
          <w:szCs w:val="20"/>
          <w:color w:val="auto"/>
        </w:rPr>
      </w:pPr>
      <w:r>
        <w:rPr>
          <w:rFonts w:ascii="Times New Roman" w:cs="Times New Roman" w:eastAsia="Times New Roman" w:hAnsi="Times New Roman"/>
          <w:sz w:val="18"/>
          <w:szCs w:val="18"/>
          <w:color w:val="auto"/>
        </w:rPr>
        <w:t>On October 4, 2019, we received a notice, or the Notice, from the Nasdaq Listing Qualifications Staff that we were not in compliance with Nasdaq Listing Rule 5550(a)(2), or the Rule, as the closing bid price of our common stock was below $1.00 for the prior 30 consecutive business days. In accordance with Nasdaq Listing Rule 5810(c)(3)(A), we have a period of 180 calendar days from the Notice, or until April 1, 2020, to regain compliance with the Rule. To regain compliance, the closing bid price of our common stock must be at least $1.00 for a minimum of ten consecutive business days before April 1, 2020. If we do not regain compliance with the Rule during the compliance period, our common stock will be subject to delisting, at which time we may appeal any delisting determination. In addition to our failure to meet the minimum bid price requirement, our stockholders’ equity as of September 30, 2019 was below $10 million.</w:t>
      </w:r>
    </w:p>
    <w:p>
      <w:pPr>
        <w:spacing w:after="0" w:line="189" w:lineRule="exact"/>
        <w:rPr>
          <w:sz w:val="20"/>
          <w:szCs w:val="20"/>
          <w:color w:val="auto"/>
        </w:rPr>
      </w:pPr>
    </w:p>
    <w:p>
      <w:pPr>
        <w:ind w:right="60" w:firstLine="761"/>
        <w:spacing w:after="0" w:line="256" w:lineRule="auto"/>
        <w:rPr>
          <w:sz w:val="20"/>
          <w:szCs w:val="20"/>
          <w:color w:val="auto"/>
        </w:rPr>
      </w:pPr>
      <w:r>
        <w:rPr>
          <w:rFonts w:ascii="Times New Roman" w:cs="Times New Roman" w:eastAsia="Times New Roman" w:hAnsi="Times New Roman"/>
          <w:sz w:val="18"/>
          <w:szCs w:val="18"/>
          <w:color w:val="auto"/>
        </w:rPr>
        <w:t>We may fail to regain compliance with the Rule or to satisfy one or more additional Nasdaq Global Market requirements for continued listing of our common stock in the future. There can be no assurance that we will be successful in maintaining the listing of our common stock on the Nasdaq Global Market, or, if transferred, on the Nasdaq Capital Market. This could impair the liquidity and market price of our common stock. In addition, the delisting of our common stock from a national exchange could have a material adverse effect on our ability to access the capital markets, and any limitation on market liquidity or reduction in the price of our common stock as a result of that delisting could adversely affect our ability to raise capital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7" w:lineRule="exact"/>
        <w:rPr>
          <w:sz w:val="20"/>
          <w:szCs w:val="20"/>
          <w:color w:val="auto"/>
        </w:rPr>
      </w:pPr>
    </w:p>
    <w:p>
      <w:pPr>
        <w:ind w:left="520" w:right="8380" w:hanging="512"/>
        <w:spacing w:after="0" w:line="398" w:lineRule="auto"/>
        <w:tabs>
          <w:tab w:leader="none" w:pos="5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On November 8, 2019, we entered into a settlement agreement with NovaMedica LLC, or NovaMedica, to terminate our licensing agreement dated August 29, 2014. Pursuant to the settlement agreement, we and NovaMedica agreed to terminate the licensing agreement, effective immediately, and NovaMedica retained no rights to our intellectual property previously licensed to them. In addition, NovaMedica paid us a termination fee of $115,000 and we refunded the upfront payment of $200,000 that we received from NovaMedica in connection with the licensing agreement.</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91"/>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4"/>
                <w:szCs w:val="24"/>
                <w:color w:val="auto"/>
              </w:rPr>
            </w:pPr>
          </w:p>
        </w:tc>
        <w:tc>
          <w:tcPr>
            <w:tcW w:w="9880" w:type="dxa"/>
            <w:vAlign w:val="bottom"/>
            <w:tcBorders>
              <w:top w:val="single" w:sz="8" w:color="auto"/>
              <w:bottom w:val="single" w:sz="8" w:color="0000EE"/>
            </w:tcBorders>
            <w:gridSpan w:val="7"/>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(incorporated herein by reference to Exhibit 3.1 to the Registrant’s Current Report on</w:t>
              </w:r>
            </w:hyperlink>
          </w:p>
        </w:tc>
        <w:tc>
          <w:tcPr>
            <w:tcW w:w="340" w:type="dxa"/>
            <w:vAlign w:val="bottom"/>
            <w:tcBorders>
              <w:top w:val="single" w:sz="8" w:color="auto"/>
            </w:tcBorders>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20" w:type="dxa"/>
            <w:vAlign w:val="bottom"/>
            <w:gridSpan w:val="9"/>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8-K (File No. 001-37783) filed with the SEC on June 7, 2016).</w:t>
              </w:r>
            </w:hyperlink>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9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Bylaws (incorporated herein by reference to Exhibit 3.2 to the Registrant’s Current Report on Form 8-K (File No.</w:t>
              </w:r>
            </w:hyperlink>
          </w:p>
        </w:tc>
        <w:tc>
          <w:tcPr>
            <w:tcW w:w="3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20" w:type="dxa"/>
            <w:vAlign w:val="bottom"/>
            <w:gridSpan w:val="9"/>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001-37783) filed with the SEC on June 7, 2016).</w:t>
              </w:r>
            </w:hyperlink>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102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Consent and Second Amendment to Second Amended and Restated Loan and Security Agreement, by and between the Registrant and Silicon</w:t>
              </w:r>
            </w:hyperlink>
          </w:p>
        </w:tc>
      </w:tr>
      <w:tr>
        <w:trPr>
          <w:trHeight w:val="196"/>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Valley Bank, dated as of August 29, 2019.</w:t>
              </w:r>
            </w:hyperlink>
          </w:p>
        </w:tc>
        <w:tc>
          <w:tcPr>
            <w:tcW w:w="7180" w:type="dxa"/>
            <w:vAlign w:val="bottom"/>
            <w:gridSpan w:val="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0220" w:type="dxa"/>
            <w:vAlign w:val="bottom"/>
            <w:gridSpan w:val="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Certification of Principal Executive Officer under Section 302 of the Sarbanes-Oxley Act.</w:t>
              </w:r>
            </w:hyperlink>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64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Certification of Principal Financial Officer under Section 302 of the Sarbanes-Oxley Act.</w:t>
              </w:r>
            </w:hyperlink>
          </w:p>
        </w:tc>
        <w:tc>
          <w:tcPr>
            <w:tcW w:w="40" w:type="dxa"/>
            <w:vAlign w:val="bottom"/>
            <w:tcBorders>
              <w:top w:val="single" w:sz="8" w:color="0000EE"/>
            </w:tcBorders>
          </w:tcPr>
          <w:p>
            <w:pPr>
              <w:spacing w:after="0"/>
              <w:rPr>
                <w:sz w:val="24"/>
                <w:szCs w:val="24"/>
                <w:color w:val="auto"/>
              </w:rPr>
            </w:pPr>
          </w:p>
        </w:tc>
        <w:tc>
          <w:tcPr>
            <w:tcW w:w="3740" w:type="dxa"/>
            <w:vAlign w:val="bottom"/>
            <w:gridSpan w:val="4"/>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10220" w:type="dxa"/>
            <w:vAlign w:val="bottom"/>
            <w:gridSpan w:val="9"/>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Certifications of Principal Executive Officer and Principal Financial Officer under Section 906 of the Sarbanes-Oxley Act.</w:t>
              </w:r>
            </w:hyperlink>
          </w:p>
        </w:tc>
      </w:tr>
      <w:tr>
        <w:trPr>
          <w:trHeight w:val="35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400" w:type="dxa"/>
            <w:vAlign w:val="bottom"/>
            <w:gridSpan w:val="3"/>
          </w:tcPr>
          <w:p>
            <w:pPr>
              <w:spacing w:after="0"/>
              <w:rPr>
                <w:sz w:val="24"/>
                <w:szCs w:val="24"/>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right="50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but will be furnished to the Securities and Exchange Commission upon request.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Clearside Biomedical, Inc.</w:t>
      </w:r>
    </w:p>
    <w:p>
      <w:pPr>
        <w:sectPr>
          <w:pgSz w:w="11900" w:h="16838" w:orient="portrait"/>
          <w:cols w:equalWidth="0" w:num="1">
            <w:col w:w="10800"/>
          </w:cols>
          <w:pgMar w:left="240" w:top="121" w:right="85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8, 2019</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18415</wp:posOffset>
            </wp:positionV>
            <wp:extent cx="2675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6140" w:space="720"/>
            <w:col w:w="900" w:space="720"/>
            <w:col w:w="2320"/>
          </w:cols>
          <w:pgMar w:left="240" w:top="121" w:right="859" w:bottom="1440" w:gutter="0" w:footer="0" w:header="0"/>
          <w:type w:val="continuous"/>
        </w:sectPr>
      </w:pPr>
    </w:p>
    <w:p>
      <w:pPr>
        <w:jc w:val="center"/>
        <w:ind w:left="71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23"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00"/>
          </w:cols>
          <w:pgMar w:left="240" w:top="121" w:right="859" w:bottom="1440" w:gutter="0" w:footer="0" w:header="0"/>
          <w:type w:val="continuous"/>
        </w:sectPr>
      </w:pPr>
    </w:p>
    <w:bookmarkStart w:id="32" w:name="page33"/>
    <w:bookmarkEnd w:id="32"/>
    <w:p>
      <w:pPr>
        <w:ind w:left="1006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AND SECOND AMENDMENT TO SECOND AMENDED AND RESTATED LOAN AND SECURITY AGREEMENT</w:t>
      </w:r>
    </w:p>
    <w:p>
      <w:pPr>
        <w:spacing w:after="0" w:line="190"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CONSENT AND SECOND AMENDMENT</w:t>
      </w:r>
      <w:r>
        <w:rPr>
          <w:rFonts w:ascii="Times New Roman" w:cs="Times New Roman" w:eastAsia="Times New Roman" w:hAnsi="Times New Roman"/>
          <w:sz w:val="20"/>
          <w:szCs w:val="20"/>
          <w:color w:val="auto"/>
        </w:rPr>
        <w:t xml:space="preserve"> to Second Amended and Restated Loan and Security Agreement (this “Amendment”) is entered into as of August 29, 2019, by and among </w:t>
      </w: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 xml:space="preserve">, a California corporation (“Bank”), as collateral agent (in such capacity, “Collateral Agent”), Bank in its capacity as a Lender, and the other Lenders party to that certain Second Amended and Restated Loan and Security Agreement dated as of May 14, 2018 (as the same may from time to time be amended, modified, supplemented or restated, including by that certain Consent and First Amendment to Second Amended and Restated Loan and Security Agreement dated as of July 3, 2019, collectively, the “Loan Agreement”) (together with Bank, each a “Lender” and collectively, the “Lenders”), and </w:t>
      </w:r>
      <w:r>
        <w:rPr>
          <w:rFonts w:ascii="Times New Roman" w:cs="Times New Roman" w:eastAsia="Times New Roman" w:hAnsi="Times New Roman"/>
          <w:sz w:val="20"/>
          <w:szCs w:val="20"/>
          <w:b w:val="1"/>
          <w:bCs w:val="1"/>
          <w:color w:val="auto"/>
        </w:rPr>
        <w:t>CLEARSIDE BIOMEDICAL, INC.</w:t>
      </w:r>
      <w:r>
        <w:rPr>
          <w:rFonts w:ascii="Times New Roman" w:cs="Times New Roman" w:eastAsia="Times New Roman" w:hAnsi="Times New Roman"/>
          <w:sz w:val="20"/>
          <w:szCs w:val="20"/>
          <w:color w:val="auto"/>
        </w:rPr>
        <w:t>, a Delaware corporation (“Borrower”).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20" w:lineRule="exact"/>
        <w:rPr>
          <w:sz w:val="20"/>
          <w:szCs w:val="20"/>
          <w:color w:val="auto"/>
        </w:rPr>
      </w:pPr>
    </w:p>
    <w:p>
      <w:pPr>
        <w:ind w:left="2380" w:hanging="1495"/>
        <w:spacing w:after="0"/>
        <w:tabs>
          <w:tab w:leader="none" w:pos="238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Lenders have extended credit to Borrower for the purposes permitted in the Loan Agreement.</w:t>
      </w:r>
    </w:p>
    <w:p>
      <w:pPr>
        <w:spacing w:after="0" w:line="215" w:lineRule="exact"/>
        <w:rPr>
          <w:rFonts w:ascii="Times New Roman" w:cs="Times New Roman" w:eastAsia="Times New Roman" w:hAnsi="Times New Roman"/>
          <w:sz w:val="20"/>
          <w:szCs w:val="20"/>
          <w:b w:val="1"/>
          <w:bCs w:val="1"/>
          <w:color w:val="auto"/>
        </w:rPr>
      </w:pPr>
    </w:p>
    <w:p>
      <w:pPr>
        <w:jc w:val="both"/>
        <w:ind w:firstLine="885"/>
        <w:spacing w:after="0" w:line="244" w:lineRule="auto"/>
        <w:tabs>
          <w:tab w:leader="none" w:pos="2355"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Borrower has informed Lenders that it desires to grant an exclusive option to enter into the Commercial License (as such term is defined in the Option and License Agreement) to Regenxbio Inc., a Delaware corporation (“Regenxbio”), to develop and commercialize certain products that are administered to patients using a Clearside Device (as such term is defined in the Option and License Agreement) on a worldwide basis, pursuant to the terms of that certain Option and License Agreement by and between Regenxbio and Borrower dated as of August 29, 2019 and attached hereto as Annex I (the “Option and License Agreement”). In connection therewith, Regenxbio has agreed, among other things, to pay to Borrower an option exercise fee in the amount of Two Million Dollars ($2,000,000) plus various conditional payments and royalties.</w:t>
      </w:r>
    </w:p>
    <w:p>
      <w:pPr>
        <w:spacing w:after="0" w:line="186" w:lineRule="exact"/>
        <w:rPr>
          <w:rFonts w:ascii="Times New Roman" w:cs="Times New Roman" w:eastAsia="Times New Roman" w:hAnsi="Times New Roman"/>
          <w:sz w:val="20"/>
          <w:szCs w:val="20"/>
          <w:b w:val="1"/>
          <w:bCs w:val="1"/>
          <w:color w:val="auto"/>
        </w:rPr>
      </w:pPr>
    </w:p>
    <w:p>
      <w:pPr>
        <w:jc w:val="both"/>
        <w:ind w:firstLine="885"/>
        <w:spacing w:after="0" w:line="249" w:lineRule="auto"/>
        <w:tabs>
          <w:tab w:leader="none" w:pos="2366"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7.1 of the Loan Agreement provides that Borrower shall not convey, sell, lease, transfer, assign, or otherwise dispose of all or any part of its business or property without Lenders’ prior written consent. Section 7.5 of the Loan Agreement provides that Borrower shall not create, incur allow or suffer any Lien on its property or agree with any Person not to encumber its Intellectual Property except to the extent permitted under Section 7.1 of the Loan Agreement or in the definition of “Permitted Liens” contained therein.</w:t>
      </w:r>
    </w:p>
    <w:p>
      <w:pPr>
        <w:spacing w:after="0" w:line="180" w:lineRule="exact"/>
        <w:rPr>
          <w:rFonts w:ascii="Times New Roman" w:cs="Times New Roman" w:eastAsia="Times New Roman" w:hAnsi="Times New Roman"/>
          <w:sz w:val="20"/>
          <w:szCs w:val="20"/>
          <w:b w:val="1"/>
          <w:bCs w:val="1"/>
          <w:color w:val="auto"/>
        </w:rPr>
      </w:pPr>
    </w:p>
    <w:p>
      <w:pPr>
        <w:jc w:val="both"/>
        <w:ind w:firstLine="885"/>
        <w:spacing w:after="0" w:line="254" w:lineRule="auto"/>
        <w:tabs>
          <w:tab w:leader="none" w:pos="2366"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Borrower has requested that Lenders consent to Borrower’s entry into and performance of the Option and License Agreement and agree that entry into and performance under the Option and License Agreement will not violate sections 7.1 or 7.5 of the Loan Agreement.</w:t>
      </w:r>
    </w:p>
    <w:p>
      <w:pPr>
        <w:spacing w:after="0" w:line="174" w:lineRule="exact"/>
        <w:rPr>
          <w:rFonts w:ascii="Times New Roman" w:cs="Times New Roman" w:eastAsia="Times New Roman" w:hAnsi="Times New Roman"/>
          <w:sz w:val="20"/>
          <w:szCs w:val="20"/>
          <w:b w:val="1"/>
          <w:bCs w:val="1"/>
          <w:color w:val="auto"/>
        </w:rPr>
      </w:pPr>
    </w:p>
    <w:p>
      <w:pPr>
        <w:ind w:firstLine="885"/>
        <w:spacing w:after="0" w:line="269" w:lineRule="auto"/>
        <w:tabs>
          <w:tab w:leader="none" w:pos="2355"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Lenders have agreed to so consent to Borrower’s entry into the Option and License Agreement, but only to the extent, in accordance with the terms, subject to the conditions and in reliance upon the representations and warranties set forth below.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16" w:lineRule="exact"/>
        <w:rPr>
          <w:sz w:val="20"/>
          <w:szCs w:val="20"/>
          <w:color w:val="auto"/>
        </w:rPr>
      </w:pPr>
    </w:p>
    <w:p>
      <w:pPr>
        <w:ind w:firstLine="877"/>
        <w:spacing w:after="0" w:line="273" w:lineRule="auto"/>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consideration of the foregoing recitals and other good and valuable consideration, the receipt and adequacy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 hereby acknowledged, and intending to be legally bound, the parties hereto agree as follows:</w:t>
      </w:r>
    </w:p>
    <w:p>
      <w:pPr>
        <w:spacing w:after="0" w:line="152" w:lineRule="exact"/>
        <w:rPr>
          <w:sz w:val="20"/>
          <w:szCs w:val="20"/>
          <w:color w:val="auto"/>
        </w:rPr>
      </w:pPr>
    </w:p>
    <w:p>
      <w:pPr>
        <w:ind w:left="2340" w:hanging="1455"/>
        <w:spacing w:after="0"/>
        <w:tabs>
          <w:tab w:leader="none" w:pos="23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Capitalized terms used but not defined in this Amendment shall have the meanings given to them in</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3" w:name="page34"/>
    <w:bookmarkEnd w:id="33"/>
    <w:p>
      <w:pPr>
        <w:jc w:val="both"/>
        <w:ind w:firstLine="885"/>
        <w:spacing w:after="0" w:line="256" w:lineRule="auto"/>
        <w:tabs>
          <w:tab w:leader="none" w:pos="2322"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Consent</w:t>
      </w:r>
      <w:r>
        <w:rPr>
          <w:rFonts w:ascii="Times New Roman" w:cs="Times New Roman" w:eastAsia="Times New Roman" w:hAnsi="Times New Roman"/>
          <w:sz w:val="20"/>
          <w:szCs w:val="20"/>
          <w:color w:val="auto"/>
        </w:rPr>
        <w:t>. Subject to the terms of Section 9 below, Lenders hereby consent to Borrower’s entry into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the Option and License Agreement attached as Annex I to this Amendment (without giving effect to any subsequent amendments or changes thereto).</w:t>
      </w:r>
    </w:p>
    <w:p>
      <w:pPr>
        <w:spacing w:after="0" w:line="168" w:lineRule="exact"/>
        <w:rPr>
          <w:rFonts w:ascii="Times New Roman" w:cs="Times New Roman" w:eastAsia="Times New Roman" w:hAnsi="Times New Roman"/>
          <w:sz w:val="20"/>
          <w:szCs w:val="20"/>
          <w:b w:val="1"/>
          <w:bCs w:val="1"/>
          <w:color w:val="auto"/>
        </w:rPr>
      </w:pPr>
    </w:p>
    <w:p>
      <w:pPr>
        <w:ind w:left="2340" w:hanging="1455"/>
        <w:spacing w:after="0"/>
        <w:tabs>
          <w:tab w:leader="none" w:pos="234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to Loan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3.1</w:t>
            </w:r>
          </w:p>
        </w:tc>
        <w:tc>
          <w:tcPr>
            <w:tcW w:w="9100" w:type="dxa"/>
            <w:vAlign w:val="bottom"/>
          </w:tcPr>
          <w:p>
            <w:pPr>
              <w:ind w:left="1640"/>
              <w:spacing w:after="0"/>
              <w:rPr>
                <w:sz w:val="20"/>
                <w:szCs w:val="20"/>
                <w:color w:val="auto"/>
              </w:rPr>
            </w:pPr>
            <w:r>
              <w:rPr>
                <w:rFonts w:ascii="Times New Roman" w:cs="Times New Roman" w:eastAsia="Times New Roman" w:hAnsi="Times New Roman"/>
                <w:sz w:val="20"/>
                <w:szCs w:val="20"/>
                <w:b w:val="1"/>
                <w:bCs w:val="1"/>
                <w:color w:val="auto"/>
              </w:rPr>
              <w:t>Section 6.8 (Protection of Intellectual Property Rights)</w:t>
            </w:r>
            <w:r>
              <w:rPr>
                <w:rFonts w:ascii="Times New Roman" w:cs="Times New Roman" w:eastAsia="Times New Roman" w:hAnsi="Times New Roman"/>
                <w:sz w:val="20"/>
                <w:szCs w:val="20"/>
                <w:color w:val="auto"/>
              </w:rPr>
              <w:t>.   Section 6.8 of the Loan</w:t>
            </w:r>
          </w:p>
        </w:tc>
      </w:tr>
      <w:tr>
        <w:trPr>
          <w:trHeight w:val="258"/>
        </w:trPr>
        <w:tc>
          <w:tcPr>
            <w:tcW w:w="11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hereby is amended in its entirety and replaced with the following:</w:t>
            </w:r>
          </w:p>
        </w:tc>
      </w:tr>
      <w:tr>
        <w:trPr>
          <w:trHeight w:val="446"/>
        </w:trPr>
        <w:tc>
          <w:tcPr>
            <w:tcW w:w="23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6.8</w:t>
            </w:r>
          </w:p>
        </w:tc>
        <w:tc>
          <w:tcPr>
            <w:tcW w:w="91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Protection and Registration of Intellectual Property Rights</w:t>
            </w:r>
            <w:r>
              <w:rPr>
                <w:rFonts w:ascii="Times New Roman" w:cs="Times New Roman" w:eastAsia="Times New Roman" w:hAnsi="Times New Roman"/>
                <w:sz w:val="20"/>
                <w:szCs w:val="20"/>
                <w:color w:val="auto"/>
              </w:rPr>
              <w:t>.</w:t>
            </w:r>
          </w:p>
        </w:tc>
      </w:tr>
    </w:tbl>
    <w:p>
      <w:pPr>
        <w:spacing w:after="0" w:line="187" w:lineRule="exact"/>
        <w:rPr>
          <w:sz w:val="20"/>
          <w:szCs w:val="20"/>
          <w:color w:val="auto"/>
        </w:rPr>
      </w:pPr>
    </w:p>
    <w:p>
      <w:pPr>
        <w:jc w:val="both"/>
        <w:ind w:left="880" w:right="880" w:firstLine="1396"/>
        <w:spacing w:after="0" w:line="247" w:lineRule="auto"/>
        <w:tabs>
          <w:tab w:leader="none" w:pos="313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Use commercially reasonable efforts to protect, defend and maintain the validity and enforceability of its Intellectual Property; (ii) promptly advise Collateral Agent in writing of material infringements or any other event that could reasonably be expected to materially and adversely affect the value of its Intellectual Property with any material value; and (iii) not allow any Intellectual Property material to Borrower’s business to be abandoned, forfeited or dedicated to the public without each Lender’s written consent.</w:t>
      </w:r>
    </w:p>
    <w:p>
      <w:pPr>
        <w:spacing w:after="0" w:line="181" w:lineRule="exact"/>
        <w:rPr>
          <w:sz w:val="20"/>
          <w:szCs w:val="20"/>
          <w:color w:val="auto"/>
        </w:rPr>
      </w:pPr>
    </w:p>
    <w:p>
      <w:pPr>
        <w:jc w:val="both"/>
        <w:ind w:left="880" w:right="880" w:firstLine="1391"/>
        <w:spacing w:after="0" w:line="241" w:lineRule="auto"/>
        <w:rPr>
          <w:sz w:val="20"/>
          <w:szCs w:val="20"/>
          <w:color w:val="auto"/>
        </w:rPr>
      </w:pPr>
      <w:r>
        <w:rPr>
          <w:rFonts w:ascii="Times New Roman" w:cs="Times New Roman" w:eastAsia="Times New Roman" w:hAnsi="Times New Roman"/>
          <w:sz w:val="20"/>
          <w:szCs w:val="20"/>
          <w:color w:val="auto"/>
        </w:rPr>
        <w:t>(b)To the extent not already disclosed in writing to Collateral Agent, if Borrower (i) obtains any Patent, registered Trademark, registered Copyright, registered mask work, or any pending application for any of the foregoing, whether as owner, licensee or otherwise, or (ii) applies for any Patent or the registration of any Trademark, then Borrower shall immediately provide written notice thereof to Collateral Agent and shall execute such intellectual property security agreements and other documents and take such other actions as Collateral Agent may request in its good faith business judgment to perfect and maintain a first priority perfected security interest in favor of Collateral Agent in such property. If Borrower decides to register any Copyrights or mask works in the United States Copyright Office, Borrower shall: (x) provide Collateral Agent with at least fifteen (15) days prior written notice of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Collateral Agent may request in its good faith business judgment to perfect and maintain a first priority perfected security interest in favor of Collateral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shall promptly provide to Collateral Agent copies of all applications that it files for Patents or for the registration of Trademarks, Copyrights or mask works, together with evidence of the recording of the intellectual property security agreement required for Collateral Agent to perfect and maintain a first priority perfected security interest in such property.</w:t>
      </w:r>
    </w:p>
    <w:p>
      <w:pPr>
        <w:spacing w:after="0" w:line="192" w:lineRule="exact"/>
        <w:rPr>
          <w:sz w:val="20"/>
          <w:szCs w:val="20"/>
          <w:color w:val="auto"/>
        </w:rPr>
      </w:pPr>
    </w:p>
    <w:p>
      <w:pPr>
        <w:jc w:val="both"/>
        <w:ind w:left="880" w:right="880" w:firstLine="1396"/>
        <w:spacing w:after="0" w:line="245" w:lineRule="auto"/>
        <w:tabs>
          <w:tab w:leader="none" w:pos="31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written notice to Collateral Agent and each Lender within ten (10) days of entering or becoming bound by any Restricted License (other than over-the-counter software that is commercially available to the public). Borrower shall take such commercially reasonable steps as Collateral Agent or any Lender requests to obtain the consent of, or waiver by, any person whose consent or waiver is necessary for (i) any Restricted License to be deemed “Collateral” and for Collateral Agent to have a security interest in it that might otherwise be restricted or prohibited by law or by the terms of any</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4" w:name="page35"/>
    <w:bookmarkEnd w:id="34"/>
    <w:p>
      <w:pPr>
        <w:jc w:val="both"/>
        <w:ind w:left="880" w:right="880"/>
        <w:spacing w:after="0" w:line="249" w:lineRule="auto"/>
        <w:rPr>
          <w:sz w:val="20"/>
          <w:szCs w:val="20"/>
          <w:color w:val="auto"/>
        </w:rPr>
      </w:pPr>
      <w:r>
        <w:rPr>
          <w:rFonts w:ascii="Times New Roman" w:cs="Times New Roman" w:eastAsia="Times New Roman" w:hAnsi="Times New Roman"/>
          <w:sz w:val="20"/>
          <w:szCs w:val="20"/>
          <w:color w:val="auto"/>
        </w:rPr>
        <w:t>such Restricted License, whether now existing or entered into in the future, and (ii) Collateral Agent to have the ability in the event of a liquidation of any Collateral to dispose of such Collateral in accordance with Collateral Agent’s rights and remedies under this Agreement and the other Loan Documents, provided that the failure to obtain such consent or waiver, after talking the steps set forth above, shall not constitute an Event of Default hereunder.”</w:t>
      </w:r>
    </w:p>
    <w:p>
      <w:pPr>
        <w:spacing w:after="0" w:line="176"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0"/>
          <w:szCs w:val="20"/>
          <w:b w:val="1"/>
          <w:bCs w:val="1"/>
          <w:color w:val="auto"/>
        </w:rPr>
        <w:t>3.2 Section 14.1 (Definitions)</w:t>
      </w:r>
      <w:r>
        <w:rPr>
          <w:rFonts w:ascii="Times New Roman" w:cs="Times New Roman" w:eastAsia="Times New Roman" w:hAnsi="Times New Roman"/>
          <w:sz w:val="20"/>
          <w:szCs w:val="20"/>
          <w:color w:val="auto"/>
        </w:rPr>
        <w:t>. The following defined terms and their respective 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are added or amended and restated in their entirety, as appropriate, in Section 14.1 of the Loan Agreement to read in their entirety to read as follows:</w:t>
      </w:r>
    </w:p>
    <w:p>
      <w:pPr>
        <w:spacing w:after="0" w:line="200" w:lineRule="exact"/>
        <w:rPr>
          <w:sz w:val="20"/>
          <w:szCs w:val="20"/>
          <w:color w:val="auto"/>
        </w:rPr>
      </w:pPr>
    </w:p>
    <w:p>
      <w:pPr>
        <w:spacing w:after="0" w:line="203" w:lineRule="exact"/>
        <w:rPr>
          <w:sz w:val="20"/>
          <w:szCs w:val="20"/>
          <w:color w:val="auto"/>
        </w:rPr>
      </w:pPr>
    </w:p>
    <w:p>
      <w:pPr>
        <w:jc w:val="both"/>
        <w:ind w:left="880" w:right="880" w:firstLine="743"/>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Aura License</w:t>
      </w:r>
      <w:r>
        <w:rPr>
          <w:rFonts w:ascii="Times New Roman" w:cs="Times New Roman" w:eastAsia="Times New Roman" w:hAnsi="Times New Roman"/>
          <w:sz w:val="20"/>
          <w:szCs w:val="20"/>
          <w:color w:val="auto"/>
        </w:rPr>
        <w:t>” means that certain License Agreement by and between Aura Biosciences, Inc., a Delaware corporation (“Aura”) and Borrower dated as of July 3, 2019 as attached as Annex I to the First Amendment (without giving effect to any subsequent amendments or changes thereto), pursuant to which Borrower has granted Aura an exclusive license to develop and commercialize certain Licensed Products (as such term is defined therein) on a worldwide basis.</w:t>
      </w:r>
    </w:p>
    <w:p>
      <w:pPr>
        <w:spacing w:after="0" w:line="176" w:lineRule="exact"/>
        <w:rPr>
          <w:sz w:val="20"/>
          <w:szCs w:val="20"/>
          <w:color w:val="auto"/>
        </w:rPr>
      </w:pPr>
    </w:p>
    <w:p>
      <w:pPr>
        <w:jc w:val="both"/>
        <w:ind w:left="880" w:right="880" w:firstLine="74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means that certain Consent and First Amendment to Second Amended and Restated Loan and Security Agreement by and among Collateral Agent, Lenders, and Borrower dated as of July 3, 2019.</w:t>
      </w:r>
    </w:p>
    <w:p>
      <w:pPr>
        <w:spacing w:after="0" w:line="152" w:lineRule="exact"/>
        <w:rPr>
          <w:sz w:val="20"/>
          <w:szCs w:val="20"/>
          <w:color w:val="auto"/>
        </w:rPr>
      </w:pPr>
    </w:p>
    <w:p>
      <w:pPr>
        <w:jc w:val="both"/>
        <w:ind w:left="880" w:right="880" w:firstLine="7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Security Agreement</w:t>
      </w:r>
      <w:r>
        <w:rPr>
          <w:rFonts w:ascii="Times New Roman" w:cs="Times New Roman" w:eastAsia="Times New Roman" w:hAnsi="Times New Roman"/>
          <w:sz w:val="20"/>
          <w:szCs w:val="20"/>
          <w:color w:val="auto"/>
        </w:rPr>
        <w:t>” is collectively (a) that certain Intellectual Property Security Agreement between Collateral Agent and Bank dated as of the Second Amendment Effective Date, as may be amended, modified or restated from time to time and (b) any other intellectual property security agreement(s) between Collateral Agent and Bank at any time thereafter in accordance with Section 6.8(b) hereof.</w:t>
      </w:r>
    </w:p>
    <w:p>
      <w:pPr>
        <w:spacing w:after="0" w:line="176" w:lineRule="exact"/>
        <w:rPr>
          <w:sz w:val="20"/>
          <w:szCs w:val="20"/>
          <w:color w:val="auto"/>
        </w:rPr>
      </w:pPr>
    </w:p>
    <w:p>
      <w:pPr>
        <w:jc w:val="both"/>
        <w:ind w:left="880" w:right="880" w:firstLine="743"/>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are, collectively, this Agreement, the Warrants, the Intellectual Property Security Agreement, the Perfection Certificate, each Compliance Certificate, each Disbursement Letter, each Loan Payment/Advance Request Form, each Guaranty,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79" w:lineRule="exact"/>
        <w:rPr>
          <w:sz w:val="20"/>
          <w:szCs w:val="20"/>
          <w:color w:val="auto"/>
        </w:rPr>
      </w:pPr>
    </w:p>
    <w:p>
      <w:pPr>
        <w:jc w:val="both"/>
        <w:ind w:left="880" w:right="880" w:firstLine="743"/>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License</w:t>
      </w:r>
      <w:r>
        <w:rPr>
          <w:rFonts w:ascii="Times New Roman" w:cs="Times New Roman" w:eastAsia="Times New Roman" w:hAnsi="Times New Roman"/>
          <w:sz w:val="20"/>
          <w:szCs w:val="20"/>
          <w:color w:val="auto"/>
        </w:rPr>
        <w:t>” is (a) any non-exclusive license of patent rights of Borrower or its Subsidiaries so long as all such Permitted Licenses are granted to third parties in the ordinary course of business, do not result in a legal transfer of title to the licensed property, and have been granted in exchange for fair consideration, (b) any exclusive license of patent rights of Borrower or its Subsidiaries so long as such Permitted Licenses do not result in a legal transfer of title to the licensed property, are exclusive solely as to discrete geographical areas outside of the United States, and have been granted in exchange for fair consideration, (c) the Aura License, and (d) the Regenxbio License.</w:t>
      </w:r>
    </w:p>
    <w:p>
      <w:pPr>
        <w:spacing w:after="0" w:line="179" w:lineRule="exact"/>
        <w:rPr>
          <w:sz w:val="20"/>
          <w:szCs w:val="20"/>
          <w:color w:val="auto"/>
        </w:rPr>
      </w:pPr>
    </w:p>
    <w:p>
      <w:pPr>
        <w:jc w:val="both"/>
        <w:ind w:left="880" w:right="880" w:firstLine="74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Regenxbio License</w:t>
      </w:r>
      <w:r>
        <w:rPr>
          <w:rFonts w:ascii="Times New Roman" w:cs="Times New Roman" w:eastAsia="Times New Roman" w:hAnsi="Times New Roman"/>
          <w:sz w:val="20"/>
          <w:szCs w:val="20"/>
          <w:color w:val="auto"/>
        </w:rPr>
        <w:t>” means that certain Option and License Agreement by and between Regenxbio Inc., a Delaware corporation (“Regenxbio”) and Borrower dated as of August 29, 2019 and attached as Annex I to the Second Amendment (without giving effect to any subsequent amendments or changes thereto), pursuant to which Borrower has granted Regenxbio an exclusive option to enter into the Commercial License (as such term is defined in the Regenxbio License) to develop and commercialize certain products that</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 w:name="page36"/>
    <w:bookmarkEnd w:id="35"/>
    <w:p>
      <w:pPr>
        <w:jc w:val="both"/>
        <w:ind w:left="880" w:right="880"/>
        <w:spacing w:after="0" w:line="269" w:lineRule="auto"/>
        <w:rPr>
          <w:sz w:val="20"/>
          <w:szCs w:val="20"/>
          <w:color w:val="auto"/>
        </w:rPr>
      </w:pPr>
      <w:r>
        <w:rPr>
          <w:rFonts w:ascii="Times New Roman" w:cs="Times New Roman" w:eastAsia="Times New Roman" w:hAnsi="Times New Roman"/>
          <w:sz w:val="20"/>
          <w:szCs w:val="20"/>
          <w:color w:val="auto"/>
        </w:rPr>
        <w:t>are administered to patients using a Clearside Device (as such term is defined in the Regenxbio License) on a worldwide basis.</w:t>
      </w:r>
    </w:p>
    <w:p>
      <w:pPr>
        <w:spacing w:after="0" w:line="156" w:lineRule="exact"/>
        <w:rPr>
          <w:sz w:val="20"/>
          <w:szCs w:val="20"/>
          <w:color w:val="auto"/>
        </w:rPr>
      </w:pPr>
    </w:p>
    <w:p>
      <w:pPr>
        <w:jc w:val="both"/>
        <w:ind w:left="880" w:right="880" w:firstLine="74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means that certain Consent and Second Amendment to Second Amended and Restated Loan and Security Agreement by and among Collateral Agent, Lenders, and Borrower dated as of the Second Amendment Effective Date.</w:t>
      </w:r>
    </w:p>
    <w:p>
      <w:pPr>
        <w:spacing w:after="0" w:line="1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 Effective Date</w:t>
      </w:r>
      <w:r>
        <w:rPr>
          <w:rFonts w:ascii="Times New Roman" w:cs="Times New Roman" w:eastAsia="Times New Roman" w:hAnsi="Times New Roman"/>
          <w:sz w:val="20"/>
          <w:szCs w:val="20"/>
          <w:color w:val="auto"/>
        </w:rPr>
        <w:t>” is August 29, 2019.</w:t>
      </w:r>
    </w:p>
    <w:p>
      <w:pPr>
        <w:spacing w:after="0" w:line="216" w:lineRule="exact"/>
        <w:rPr>
          <w:sz w:val="20"/>
          <w:szCs w:val="20"/>
          <w:color w:val="auto"/>
        </w:rPr>
      </w:pPr>
    </w:p>
    <w:p>
      <w:pPr>
        <w:ind w:right="20" w:firstLine="1755"/>
        <w:spacing w:after="0" w:line="273" w:lineRule="auto"/>
        <w:rPr>
          <w:sz w:val="20"/>
          <w:szCs w:val="20"/>
          <w:color w:val="auto"/>
        </w:rPr>
      </w:pPr>
      <w:r>
        <w:rPr>
          <w:rFonts w:ascii="Times New Roman" w:cs="Times New Roman" w:eastAsia="Times New Roman" w:hAnsi="Times New Roman"/>
          <w:sz w:val="20"/>
          <w:szCs w:val="20"/>
          <w:b w:val="1"/>
          <w:bCs w:val="1"/>
          <w:color w:val="auto"/>
        </w:rPr>
        <w:t>3.3 Exhibit A (Collateral Description)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Loan Agreement hereby is replaced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 entirety by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52" w:lineRule="exact"/>
        <w:rPr>
          <w:sz w:val="20"/>
          <w:szCs w:val="20"/>
          <w:color w:val="auto"/>
        </w:rPr>
      </w:pPr>
    </w:p>
    <w:p>
      <w:pPr>
        <w:jc w:val="both"/>
        <w:ind w:firstLine="885"/>
        <w:spacing w:after="0" w:line="244" w:lineRule="auto"/>
        <w:tabs>
          <w:tab w:leader="none" w:pos="2322"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Lien in Intellectual Property</w:t>
      </w:r>
      <w:r>
        <w:rPr>
          <w:rFonts w:ascii="Times New Roman" w:cs="Times New Roman" w:eastAsia="Times New Roman" w:hAnsi="Times New Roman"/>
          <w:sz w:val="20"/>
          <w:szCs w:val="20"/>
          <w:color w:val="auto"/>
        </w:rPr>
        <w:t>. Borrower understands and agrees that the effect of the amendments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in Section 3 above serve to create a Lien in favor of Collateral Agent in Borrower’s Intellectual Property, and, without limiting in any respect Borrower’s grant of a Lien and security interest to Collateral Agent for the ratable benefit of the Lenders in the Collateral pursuant to Section 4.1 of the Loan Agreement, to secure the payment and performance in full of all of the Obligations, Borrower hereby grants Collateral Agent, for the ratable benefit of the Lenders, a continuing security interest in, and pledges to Collateral Agent, for the ratable benefit of the Lenders, all of its Intellectual Property, wherever located, whether now owned or hereafter acquired or arising, and all proceeds and products thereof. Borrower hereby authorizes Collateral Agent to (a) file a UCC-3 financing statement amendment reflecting the change in Collateral and (b) record the Intellectual Property Security Agreement with the United States Patent and Trademark Office.</w:t>
      </w:r>
    </w:p>
    <w:p>
      <w:pPr>
        <w:spacing w:after="0" w:line="182" w:lineRule="exact"/>
        <w:rPr>
          <w:rFonts w:ascii="Times New Roman" w:cs="Times New Roman" w:eastAsia="Times New Roman" w:hAnsi="Times New Roman"/>
          <w:sz w:val="20"/>
          <w:szCs w:val="20"/>
          <w:b w:val="1"/>
          <w:bCs w:val="1"/>
          <w:color w:val="auto"/>
        </w:rPr>
      </w:pPr>
    </w:p>
    <w:p>
      <w:pPr>
        <w:ind w:firstLine="885"/>
        <w:spacing w:after="0" w:line="273" w:lineRule="auto"/>
        <w:tabs>
          <w:tab w:leader="none" w:pos="2322"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Representations and Warranties. </w:t>
      </w:r>
      <w:r>
        <w:rPr>
          <w:rFonts w:ascii="Times New Roman" w:cs="Times New Roman" w:eastAsia="Times New Roman" w:hAnsi="Times New Roman"/>
          <w:sz w:val="20"/>
          <w:szCs w:val="20"/>
          <w:color w:val="auto"/>
        </w:rPr>
        <w:t>To induce Lenders to enter into this Amendment, Borrower hereby represents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warrants to Lenders as follows:</w:t>
      </w:r>
    </w:p>
    <w:p>
      <w:pPr>
        <w:spacing w:after="0" w:line="152" w:lineRule="exact"/>
        <w:rPr>
          <w:sz w:val="20"/>
          <w:szCs w:val="20"/>
          <w:color w:val="auto"/>
        </w:rPr>
      </w:pPr>
    </w:p>
    <w:p>
      <w:pPr>
        <w:jc w:val="both"/>
        <w:ind w:firstLine="1755"/>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color w:val="auto"/>
        </w:rPr>
        <w:t>Immediately after giving effect to this Amendment (a) the 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5.2</w:t>
            </w:r>
          </w:p>
        </w:tc>
        <w:tc>
          <w:tcPr>
            <w:tcW w:w="844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9"/>
              </w:rPr>
              <w:t>Borrower has the power and authority to execute and deliver this Amendment and to perform</w:t>
            </w:r>
          </w:p>
        </w:tc>
      </w:tr>
      <w:tr>
        <w:trPr>
          <w:trHeight w:val="258"/>
        </w:trPr>
        <w:tc>
          <w:tcPr>
            <w:tcW w:w="11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its obligations under the Loan Agreement, as amended by this Amendment;</w:t>
            </w:r>
          </w:p>
        </w:tc>
      </w:tr>
      <w:tr>
        <w:trPr>
          <w:trHeight w:val="439"/>
        </w:trPr>
        <w:tc>
          <w:tcPr>
            <w:tcW w:w="298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5.3</w:t>
            </w:r>
          </w:p>
        </w:tc>
        <w:tc>
          <w:tcPr>
            <w:tcW w:w="844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9"/>
              </w:rPr>
              <w:t>The organizational documents of Borrower delivered to Lenders on the Effective Date remain</w:t>
            </w:r>
          </w:p>
        </w:tc>
      </w:tr>
    </w:tbl>
    <w:p>
      <w:pPr>
        <w:spacing w:after="0"/>
        <w:rPr>
          <w:sz w:val="20"/>
          <w:szCs w:val="20"/>
          <w:color w:val="auto"/>
        </w:rPr>
      </w:pPr>
      <w:r>
        <w:rPr>
          <w:rFonts w:ascii="Times New Roman" w:cs="Times New Roman" w:eastAsia="Times New Roman" w:hAnsi="Times New Roman"/>
          <w:sz w:val="20"/>
          <w:szCs w:val="20"/>
          <w:color w:val="auto"/>
        </w:rPr>
        <w:t>true, accurate and complete and have not been amended, supplemented or restated and are and continue to be in full force and effect.</w:t>
      </w:r>
    </w:p>
    <w:p>
      <w:pPr>
        <w:spacing w:after="0" w:line="190" w:lineRule="exact"/>
        <w:rPr>
          <w:sz w:val="20"/>
          <w:szCs w:val="20"/>
          <w:color w:val="auto"/>
        </w:rPr>
      </w:pPr>
    </w:p>
    <w:p>
      <w:pPr>
        <w:jc w:val="both"/>
        <w:ind w:firstLine="885"/>
        <w:spacing w:after="0" w:line="256" w:lineRule="auto"/>
        <w:tabs>
          <w:tab w:leader="none" w:pos="2322"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This Amendment and the Loan Documents represent the entire agreement about this subject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68" w:lineRule="exact"/>
        <w:rPr>
          <w:rFonts w:ascii="Times New Roman" w:cs="Times New Roman" w:eastAsia="Times New Roman" w:hAnsi="Times New Roman"/>
          <w:sz w:val="20"/>
          <w:szCs w:val="20"/>
          <w:b w:val="1"/>
          <w:bCs w:val="1"/>
          <w:color w:val="auto"/>
        </w:rPr>
      </w:pPr>
    </w:p>
    <w:p>
      <w:pPr>
        <w:jc w:val="both"/>
        <w:ind w:firstLine="885"/>
        <w:spacing w:after="0" w:line="276" w:lineRule="auto"/>
        <w:tabs>
          <w:tab w:leader="none" w:pos="2322"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Ratification of Perfection Certificate</w:t>
      </w:r>
      <w:r>
        <w:rPr>
          <w:rFonts w:ascii="Times New Roman" w:cs="Times New Roman" w:eastAsia="Times New Roman" w:hAnsi="Times New Roman"/>
          <w:sz w:val="19"/>
          <w:szCs w:val="19"/>
          <w:color w:val="auto"/>
        </w:rPr>
        <w:t>. Borrower hereby ratifies, confirms and reaffirms, all and singular,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and disclosures contained in a certain Perfection Certificate dated on or prior to the Effective Date and acknowledges, confirms and agrees that the disclosures and information Borrower provided to Lenders in such Perfection Certificate have not changed, as of the date hereof.</w:t>
      </w:r>
    </w:p>
    <w:p>
      <w:pPr>
        <w:spacing w:after="0" w:line="151" w:lineRule="exact"/>
        <w:rPr>
          <w:rFonts w:ascii="Times New Roman" w:cs="Times New Roman" w:eastAsia="Times New Roman" w:hAnsi="Times New Roman"/>
          <w:sz w:val="19"/>
          <w:szCs w:val="19"/>
          <w:b w:val="1"/>
          <w:bCs w:val="1"/>
          <w:color w:val="auto"/>
        </w:rPr>
      </w:pPr>
    </w:p>
    <w:p>
      <w:pPr>
        <w:ind w:firstLine="885"/>
        <w:spacing w:after="0" w:line="273" w:lineRule="auto"/>
        <w:tabs>
          <w:tab w:leader="none" w:pos="2322"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Amendment may be executed in any number of counterparts and all of such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taken together shall be deemed to constitute one and the same instrument.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ind w:left="2340" w:hanging="1455"/>
        <w:spacing w:after="0"/>
        <w:tabs>
          <w:tab w:leader="none" w:pos="2340"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Effectiveness</w:t>
      </w:r>
      <w:r>
        <w:rPr>
          <w:rFonts w:ascii="Times New Roman" w:cs="Times New Roman" w:eastAsia="Times New Roman" w:hAnsi="Times New Roman"/>
          <w:sz w:val="20"/>
          <w:szCs w:val="20"/>
          <w:color w:val="auto"/>
        </w:rPr>
        <w:t>. This Amendment shall be deemed effective upon (a) the due execution and delivery to Lenders of</w:t>
      </w:r>
    </w:p>
    <w:p>
      <w:pPr>
        <w:spacing w:after="0" w:line="25" w:lineRule="exact"/>
        <w:rPr>
          <w:rFonts w:ascii="Times New Roman" w:cs="Times New Roman" w:eastAsia="Times New Roman" w:hAnsi="Times New Roman"/>
          <w:sz w:val="20"/>
          <w:szCs w:val="20"/>
          <w:b w:val="1"/>
          <w:bCs w:val="1"/>
          <w:color w:val="auto"/>
        </w:rPr>
      </w:pPr>
    </w:p>
    <w:p>
      <w:pPr>
        <w:jc w:val="both"/>
        <w:ind w:firstLine="8"/>
        <w:spacing w:after="0" w:line="242" w:lineRule="auto"/>
        <w:tabs>
          <w:tab w:leader="none" w:pos="2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by each party hereto, (ii) an Intellectual Property Security Agreement by each party thereto, and (iii) a fully-executed copy the Option and License Agreement together with all other documents entered into in connection therewith, and (b) Borrower’s payment to Lenders of all Lenders’ Expenses due and owing as of the date hereof, which may be debited from any of Borrower’s accounts at Bank.</w:t>
      </w:r>
    </w:p>
    <w:p>
      <w:pPr>
        <w:spacing w:after="0" w:line="183" w:lineRule="exact"/>
        <w:rPr>
          <w:rFonts w:ascii="Times New Roman" w:cs="Times New Roman" w:eastAsia="Times New Roman" w:hAnsi="Times New Roman"/>
          <w:sz w:val="20"/>
          <w:szCs w:val="20"/>
          <w:color w:val="auto"/>
        </w:rPr>
      </w:pPr>
    </w:p>
    <w:p>
      <w:pPr>
        <w:ind w:firstLine="885"/>
        <w:spacing w:after="0" w:line="273" w:lineRule="auto"/>
        <w:tabs>
          <w:tab w:leader="none" w:pos="2421"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Amendment and the rights and obligations of the parties hereto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in accordance with the laws of the State of California.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Balance of Page Intentionally Left Blank</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7" w:name="page38"/>
    <w:bookmarkEnd w:id="37"/>
    <w:p>
      <w:pPr>
        <w:ind w:left="96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have caused this Amendment to be duly executed and delivered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CLEARSIDE BIOMEDICAL,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George Lasezkay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George Lasezkay</w:t>
      </w:r>
    </w:p>
    <w:p>
      <w:pPr>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COLLATERAL AGENT AND 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SILICON VALLEY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Scott McCarty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Scott McCarty</w:t>
      </w:r>
    </w:p>
    <w:p>
      <w:pPr>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ELM 2016-1 TRUST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MidCap Financial Services Capital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LLC, as Servicer</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By /s/ John O’Dea</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Name: John O’Dea</w:t>
      </w:r>
    </w:p>
    <w:p>
      <w:pPr>
        <w:ind w:left="500"/>
        <w:spacing w:after="0"/>
        <w:tabs>
          <w:tab w:leader="none" w:pos="10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ELM 2018-2 TRUST, as Assignee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MidCap Financial Services Capital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LLC, as Servicer</w:t>
      </w:r>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By /s/ John O’Dea</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Name: John O’Dea</w:t>
      </w:r>
    </w:p>
    <w:p>
      <w:pPr>
        <w:ind w:left="500"/>
        <w:spacing w:after="0"/>
        <w:tabs>
          <w:tab w:leader="none" w:pos="10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Signature Page to Consent and Second Amendment to Second Amended and Restated Loan and Security Agreement</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COLLATERAL DESCRIPTION</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950"/>
        <w:spacing w:after="0" w:line="261" w:lineRule="auto"/>
        <w:rPr>
          <w:sz w:val="20"/>
          <w:szCs w:val="20"/>
          <w:color w:val="auto"/>
        </w:rPr>
      </w:pPr>
      <w:r>
        <w:rPr>
          <w:rFonts w:ascii="Times New Roman" w:cs="Times New Roman" w:eastAsia="Times New Roman" w:hAnsi="Times New Roman"/>
          <w:sz w:val="18"/>
          <w:szCs w:val="18"/>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0" w:lineRule="exact"/>
        <w:rPr>
          <w:sz w:val="20"/>
          <w:szCs w:val="20"/>
          <w:color w:val="auto"/>
        </w:rPr>
      </w:pPr>
    </w:p>
    <w:p>
      <w:pPr>
        <w:jc w:val="both"/>
        <w:ind w:right="20" w:firstLine="950"/>
        <w:spacing w:after="0" w:line="282" w:lineRule="auto"/>
        <w:rPr>
          <w:sz w:val="20"/>
          <w:szCs w:val="20"/>
          <w:color w:val="auto"/>
        </w:rPr>
      </w:pPr>
      <w:r>
        <w:rPr>
          <w:rFonts w:ascii="Times New Roman" w:cs="Times New Roman" w:eastAsia="Times New Roman" w:hAnsi="Times New Roman"/>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OPTION AND LICENSE AGREEMENT</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See attached</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329"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2019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2019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George Lasezkay, Chief Executive Officer of Clearside Biomedical, Inc. (the “Company”), and Charles A. Deignan, Chief Financial Officer of the Company, each hereby certifies that, to the best of his knowledge:</w:t>
      </w:r>
    </w:p>
    <w:p>
      <w:pPr>
        <w:spacing w:after="0" w:line="68" w:lineRule="exact"/>
        <w:rPr>
          <w:sz w:val="20"/>
          <w:szCs w:val="20"/>
          <w:color w:val="auto"/>
        </w:rPr>
      </w:pPr>
    </w:p>
    <w:p>
      <w:pPr>
        <w:ind w:left="520" w:right="180" w:hanging="512"/>
        <w:spacing w:after="0" w:line="282" w:lineRule="auto"/>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580" w:hanging="512"/>
        <w:spacing w:after="0" w:line="282" w:lineRule="auto"/>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8th day of November 2019.</w:t>
      </w:r>
    </w:p>
    <w:p>
      <w:pPr>
        <w:sectPr>
          <w:pgSz w:w="11900" w:h="16838" w:orient="portrait"/>
          <w:cols w:equalWidth="0" w:num="1">
            <w:col w:w="11420"/>
          </w:cols>
          <w:pgMar w:left="240" w:top="117"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George Lasezkay, Pharm. D., J.D.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ectPr>
          <w:pgSz w:w="11900" w:h="16838" w:orient="portrait"/>
          <w:cols w:equalWidth="0" w:num="2">
            <w:col w:w="6140" w:space="720"/>
            <w:col w:w="4560"/>
          </w:cols>
          <w:pgMar w:left="240" w:top="117" w:right="239" w:bottom="1440" w:gutter="0" w:footer="0" w:header="0"/>
          <w:type w:val="continuous"/>
        </w:sectPr>
      </w:pPr>
    </w:p>
    <w:p>
      <w:pPr>
        <w:spacing w:after="0" w:line="47" w:lineRule="exact"/>
        <w:rPr>
          <w:sz w:val="20"/>
          <w:szCs w:val="20"/>
          <w:color w:val="auto"/>
        </w:rPr>
      </w:pPr>
    </w:p>
    <w:p>
      <w:pPr>
        <w:ind w:left="520" w:right="8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upperLetter"/>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2"/>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3"/>
    </w:lvl>
  </w:abstractNum>
  <w:abstractNum w:abstractNumId="20">
    <w:nsid w:val="8EDBDAB"/>
    <w:multiLevelType w:val="hybridMultilevel"/>
    <w:lvl w:ilvl="0">
      <w:lvlJc w:val="left"/>
      <w:lvlText w:val="%1."/>
      <w:numFmt w:val="decimal"/>
      <w:start w:val="4"/>
    </w:lvl>
  </w:abstractNum>
  <w:abstractNum w:abstractNumId="21">
    <w:nsid w:val="79838CB2"/>
    <w:multiLevelType w:val="hybridMultilevel"/>
    <w:lvl w:ilvl="0">
      <w:lvlJc w:val="left"/>
      <w:lvlText w:val="%1."/>
      <w:numFmt w:val="decimal"/>
      <w:start w:val="6"/>
    </w:lvl>
  </w:abstractNum>
  <w:abstractNum w:abstractNumId="22">
    <w:nsid w:val="4353D0CD"/>
    <w:multiLevelType w:val="hybridMultilevel"/>
    <w:lvl w:ilvl="0">
      <w:lvlJc w:val="left"/>
      <w:lvlText w:val="%1"/>
      <w:numFmt w:val="lowerRoman"/>
      <w:start w:val="1"/>
    </w:lvl>
    <w:lvl w:ilvl="1">
      <w:lvlJc w:val="left"/>
      <w:lvlText w:val="%2."/>
      <w:numFmt w:val="decimal"/>
      <w:start w:val="9"/>
    </w:lvl>
  </w:abstractNum>
  <w:abstractNum w:abstractNumId="23">
    <w:nsid w:val="B03E0C6"/>
    <w:multiLevelType w:val="hybridMultilevel"/>
    <w:lvl w:ilvl="0">
      <w:lvlJc w:val="left"/>
      <w:lvlText w:val="(%1)"/>
      <w:numFmt w:val="lowerRoman"/>
      <w:start w:val="1"/>
    </w:lvl>
    <w:lvl w:ilvl="1">
      <w:lvlJc w:val="left"/>
      <w:lvlText w:val="%2."/>
      <w:numFmt w:val="decimal"/>
      <w:start w:val="10"/>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1" Type="http://schemas.openxmlformats.org/officeDocument/2006/relationships/hyperlink" Target="http://www.sec.gov/Archives/edgar/data/1539029/000119312516615374/d208521dex31.htm" TargetMode="External"/><Relationship Id="rId52"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2019-12-28T01:50:08Z</dcterms:created>
  <dcterms:modified xsi:type="dcterms:W3CDTF">2019-12-28T01:50:08Z</dcterms:modified>
</cp:coreProperties>
</file>