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sd-20230930.htm"/>
      <w:bookmarkStart w:id="1" w:name="ksclsd20230930"/>
      <w:bookmarkEnd w:id="0"/>
      <w:bookmarkEnd w:id="1"/>
      <w:r>
        <w:rPr/>
        <w:t> </w:t>
      </w:r>
    </w:p>
    <w:p>
      <w:pPr>
        <w:pStyle w:val="TextBody"/>
        <w:bidi w:val="0"/>
        <w:jc w:val="center"/>
        <w:rPr/>
      </w:pPr>
      <w:r>
        <w:rPr/>
        <w:t>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001-37783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Clearside Biomedical,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637" w:type="dxa"/>
        <w:jc w:val="left"/>
        <w:tblInd w:w="0" w:type="dxa"/>
        <w:tblLayout w:type="fixed"/>
        <w:tblCellMar>
          <w:top w:w="28" w:type="dxa"/>
          <w:left w:w="28" w:type="dxa"/>
          <w:bottom w:w="28" w:type="dxa"/>
          <w:right w:w="28" w:type="dxa"/>
        </w:tblCellMar>
      </w:tblPr>
      <w:tblGrid>
        <w:gridCol w:w="3151"/>
        <w:gridCol w:w="1486"/>
      </w:tblGrid>
      <w:tr>
        <w:trPr/>
        <w:tc>
          <w:tcPr>
            <w:tcW w:w="315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45-2437375</w:t>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900 North Point Parkway,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Alpharetta, GA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30005</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270-3631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80" w:after="283"/>
        <w:jc w:val="center"/>
        <w:rPr>
          <w:rFonts w:ascii="Times New Roman" w:hAnsi="Times New Roman"/>
          <w:sz w:val="20"/>
        </w:rPr>
      </w:pPr>
      <w:r>
        <w:rPr>
          <w:rFonts w:ascii="Times New Roman" w:hAnsi="Times New Roman"/>
          <w:b/>
          <w:color w:val="000000"/>
          <w:sz w:val="20"/>
        </w:rPr>
        <w:t>(Former name, former address and former fiscal year, if changed since last report)</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par value $0.001 per share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CLSD</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Nasdaq Stock Market LLC</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80" w:after="283"/>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As of November 8, 2023, the registrant had 62,408,866</w:t>
      </w:r>
      <w:r>
        <w:rPr>
          <w:rFonts w:ascii="Times New Roman" w:hAnsi="Times New Roman"/>
          <w:color w:val="000000"/>
          <w:sz w:val="20"/>
        </w:rPr>
        <w:t xml:space="preserve"> </w:t>
      </w:r>
      <w:r>
        <w:rPr>
          <w:rFonts w:ascii="Times New Roman" w:hAnsi="Times New Roman"/>
          <w:b w:val="false"/>
          <w:color w:val="000000"/>
          <w:sz w:val="20"/>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8934"/>
        <w:gridCol w:w="512"/>
      </w:tblGrid>
      <w:tr>
        <w:trPr/>
        <w:tc>
          <w:tcPr>
            <w:tcW w:w="759" w:type="dxa"/>
            <w:tcBorders/>
            <w:vAlign w:val="center"/>
          </w:tcPr>
          <w:p>
            <w:pPr>
              <w:pStyle w:val="TableContents"/>
              <w:bidi w:val="0"/>
              <w:spacing w:before="0" w:after="283"/>
              <w:jc w:val="left"/>
              <w:rPr>
                <w:sz w:val="4"/>
                <w:szCs w:val="4"/>
              </w:rPr>
            </w:pPr>
            <w:r>
              <w:rPr>
                <w:sz w:val="4"/>
                <w:szCs w:val="4"/>
              </w:rPr>
            </w:r>
          </w:p>
        </w:tc>
        <w:tc>
          <w:tcPr>
            <w:tcW w:w="89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59" w:type="dxa"/>
            <w:tcBorders/>
            <w:shd w:fill="FFFFFF" w:val="clear"/>
            <w:vAlign w:val="center"/>
          </w:tcPr>
          <w:p>
            <w:pPr>
              <w:pStyle w:val="TableContents"/>
              <w:bidi w:val="0"/>
              <w:spacing w:before="0" w:after="283"/>
              <w:ind w:left="137" w:right="0" w:firstLine="137"/>
              <w:jc w:val="left"/>
              <w:rPr/>
            </w:pPr>
            <w:r>
              <w:rPr/>
              <w:t> </w:t>
            </w:r>
          </w:p>
        </w:tc>
        <w:tc>
          <w:tcPr>
            <w:tcW w:w="8934"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59" w:type="dxa"/>
            <w:tcBorders/>
            <w:shd w:fill="FFFFFF" w:val="clear"/>
            <w:vAlign w:val="center"/>
          </w:tcPr>
          <w:p>
            <w:pPr>
              <w:pStyle w:val="TableContents"/>
              <w:bidi w:val="0"/>
              <w:spacing w:before="0" w:after="283"/>
              <w:jc w:val="center"/>
              <w:rPr/>
            </w:pPr>
            <w:r>
              <w:rPr/>
              <w:t> </w:t>
            </w:r>
          </w:p>
        </w:tc>
        <w:tc>
          <w:tcPr>
            <w:tcW w:w="8934"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9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Statements (unaudited)</w:t>
            </w:r>
          </w:p>
        </w:tc>
        <w:tc>
          <w:tcPr>
            <w:tcW w:w="512" w:type="dxa"/>
            <w:tcBorders/>
            <w:shd w:fill="FFFFFF" w:val="clear"/>
            <w:vAlign w:val="center"/>
          </w:tcPr>
          <w:p>
            <w:pPr>
              <w:pStyle w:val="TableContents"/>
              <w:bidi w:val="0"/>
              <w:spacing w:before="0" w:after="283"/>
              <w:ind w:left="0" w:right="0" w:firstLine="137"/>
              <w:jc w:val="right"/>
              <w:rPr/>
            </w:pPr>
            <w:r>
              <w:rPr/>
              <w:t> </w:t>
            </w:r>
          </w:p>
        </w:tc>
      </w:tr>
      <w:tr>
        <w:trPr/>
        <w:tc>
          <w:tcPr>
            <w:tcW w:w="759" w:type="dxa"/>
            <w:tcBorders/>
            <w:shd w:fill="FFFFFF" w:val="clear"/>
            <w:vAlign w:val="center"/>
          </w:tcPr>
          <w:p>
            <w:pPr>
              <w:pStyle w:val="TableContents"/>
              <w:bidi w:val="0"/>
              <w:spacing w:before="0" w:after="283"/>
              <w:ind w:left="0" w:right="0" w:firstLine="137"/>
              <w:jc w:val="left"/>
              <w:rPr>
                <w:sz w:val="4"/>
                <w:szCs w:val="4"/>
              </w:rPr>
            </w:pPr>
            <w:r>
              <w:rPr>
                <w:sz w:val="4"/>
                <w:szCs w:val="4"/>
              </w:rPr>
            </w:r>
          </w:p>
        </w:tc>
        <w:tc>
          <w:tcPr>
            <w:tcW w:w="8934" w:type="dxa"/>
            <w:tcBorders/>
            <w:shd w:fill="FFFFFF" w:val="clear"/>
            <w:vAlign w:val="center"/>
          </w:tcPr>
          <w:p>
            <w:pPr>
              <w:pStyle w:val="TableContents"/>
              <w:bidi w:val="0"/>
              <w:spacing w:before="0" w:after="283"/>
              <w:jc w:val="left"/>
              <w:rPr/>
            </w:pPr>
            <w:hyperlink w:anchor="balance_sheets">
              <w:r>
                <w:rPr>
                  <w:rStyle w:val="InternetLink"/>
                  <w:rFonts w:ascii="Times New Roman" w:hAnsi="Times New Roman"/>
                  <w:b w:val="false"/>
                  <w:color w:val="0000FF"/>
                  <w:sz w:val="20"/>
                  <w:u w:val="single"/>
                </w:rPr>
                <w:t>Consolidated Balance Sheets as of September 30, 2023 and December 31, 2022</w:t>
              </w:r>
            </w:hyperlink>
          </w:p>
        </w:tc>
        <w:tc>
          <w:tcPr>
            <w:tcW w:w="512"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759" w:type="dxa"/>
            <w:tcBorders/>
            <w:shd w:fill="FFFFFF" w:val="clear"/>
            <w:vAlign w:val="center"/>
          </w:tcPr>
          <w:p>
            <w:pPr>
              <w:pStyle w:val="TableContents"/>
              <w:bidi w:val="0"/>
              <w:spacing w:before="0" w:after="283"/>
              <w:ind w:left="137" w:right="0" w:firstLine="137"/>
              <w:jc w:val="left"/>
              <w:rPr/>
            </w:pPr>
            <w:r>
              <w:rPr/>
              <w:t> </w:t>
            </w:r>
          </w:p>
        </w:tc>
        <w:tc>
          <w:tcPr>
            <w:tcW w:w="8934" w:type="dxa"/>
            <w:tcBorders/>
            <w:shd w:fill="FFFFFF" w:val="clear"/>
            <w:vAlign w:val="center"/>
          </w:tcPr>
          <w:p>
            <w:pPr>
              <w:pStyle w:val="TableContents"/>
              <w:bidi w:val="0"/>
              <w:spacing w:before="0" w:after="283"/>
              <w:jc w:val="left"/>
              <w:rPr/>
            </w:pPr>
            <w:hyperlink w:anchor="statements_operations">
              <w:r>
                <w:rPr>
                  <w:rStyle w:val="InternetLink"/>
                  <w:rFonts w:ascii="Times New Roman" w:hAnsi="Times New Roman"/>
                  <w:b w:val="false"/>
                  <w:color w:val="0000FF"/>
                  <w:sz w:val="20"/>
                  <w:u w:val="single"/>
                </w:rPr>
                <w:t>Consolidated Statements of Operations for the three and nine months ended September 30, 2023 and 2022</w:t>
              </w:r>
            </w:hyperlink>
            <w:hyperlink w:anchor="statements_operations">
              <w:r>
                <w:rPr>
                  <w:rStyle w:val="InternetLink"/>
                  <w:rFonts w:ascii="Times New Roman" w:hAnsi="Times New Roman"/>
                  <w:color w:val="0000FF"/>
                  <w:sz w:val="20"/>
                </w:rPr>
                <w:t xml:space="preserve"> </w:t>
              </w:r>
            </w:hyperlink>
          </w:p>
        </w:tc>
        <w:tc>
          <w:tcPr>
            <w:tcW w:w="512"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4</w:t>
            </w:r>
          </w:p>
        </w:tc>
      </w:tr>
      <w:tr>
        <w:trPr/>
        <w:tc>
          <w:tcPr>
            <w:tcW w:w="759" w:type="dxa"/>
            <w:tcBorders/>
            <w:shd w:fill="FFFFFF" w:val="clear"/>
            <w:vAlign w:val="center"/>
          </w:tcPr>
          <w:p>
            <w:pPr>
              <w:pStyle w:val="TableContents"/>
              <w:bidi w:val="0"/>
              <w:spacing w:before="0" w:after="283"/>
              <w:ind w:left="137" w:right="0" w:firstLine="137"/>
              <w:jc w:val="left"/>
              <w:rPr/>
            </w:pPr>
            <w:r>
              <w:rPr/>
              <w:t> </w:t>
            </w:r>
          </w:p>
        </w:tc>
        <w:tc>
          <w:tcPr>
            <w:tcW w:w="8934" w:type="dxa"/>
            <w:tcBorders/>
            <w:shd w:fill="FFFFFF" w:val="clear"/>
            <w:vAlign w:val="center"/>
          </w:tcPr>
          <w:p>
            <w:pPr>
              <w:pStyle w:val="TableContents"/>
              <w:bidi w:val="0"/>
              <w:spacing w:before="0" w:after="283"/>
              <w:jc w:val="left"/>
              <w:rPr/>
            </w:pPr>
            <w:hyperlink w:anchor="statements_stockholders">
              <w:r>
                <w:rPr>
                  <w:rStyle w:val="InternetLink"/>
                  <w:rFonts w:ascii="Times New Roman" w:hAnsi="Times New Roman"/>
                  <w:b w:val="false"/>
                  <w:color w:val="0000FF"/>
                  <w:sz w:val="20"/>
                  <w:u w:val="single"/>
                </w:rPr>
                <w:t>Consolidated Statements of Stockholders’ (Deficit) Equity for the three and nine months ended September 30, 2023 and 2022</w:t>
              </w:r>
            </w:hyperlink>
            <w:hyperlink w:anchor="statements_stockholders">
              <w:r>
                <w:rPr>
                  <w:rStyle w:val="InternetLink"/>
                  <w:rFonts w:ascii="Times New Roman" w:hAnsi="Times New Roman"/>
                  <w:color w:val="0000FF"/>
                  <w:sz w:val="20"/>
                </w:rPr>
                <w:t xml:space="preserve"> </w:t>
              </w:r>
            </w:hyperlink>
          </w:p>
        </w:tc>
        <w:tc>
          <w:tcPr>
            <w:tcW w:w="512"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759" w:type="dxa"/>
            <w:tcBorders/>
            <w:shd w:fill="FFFFFF" w:val="clear"/>
            <w:vAlign w:val="center"/>
          </w:tcPr>
          <w:p>
            <w:pPr>
              <w:pStyle w:val="TableContents"/>
              <w:bidi w:val="0"/>
              <w:spacing w:before="0" w:after="283"/>
              <w:ind w:left="0" w:right="0" w:firstLine="137"/>
              <w:jc w:val="left"/>
              <w:rPr>
                <w:sz w:val="4"/>
                <w:szCs w:val="4"/>
              </w:rPr>
            </w:pPr>
            <w:r>
              <w:rPr>
                <w:sz w:val="4"/>
                <w:szCs w:val="4"/>
              </w:rPr>
            </w:r>
          </w:p>
        </w:tc>
        <w:tc>
          <w:tcPr>
            <w:tcW w:w="8934" w:type="dxa"/>
            <w:tcBorders/>
            <w:shd w:fill="FFFFFF" w:val="clear"/>
            <w:vAlign w:val="center"/>
          </w:tcPr>
          <w:p>
            <w:pPr>
              <w:pStyle w:val="TableContents"/>
              <w:bidi w:val="0"/>
              <w:spacing w:before="0" w:after="283"/>
              <w:jc w:val="left"/>
              <w:rPr/>
            </w:pPr>
            <w:hyperlink w:anchor="statements_cash_flows">
              <w:r>
                <w:rPr>
                  <w:rStyle w:val="InternetLink"/>
                  <w:rFonts w:ascii="Times New Roman" w:hAnsi="Times New Roman"/>
                  <w:b w:val="false"/>
                  <w:color w:val="0000FF"/>
                  <w:sz w:val="20"/>
                  <w:u w:val="single"/>
                </w:rPr>
                <w:t>Consolidated Statements of Cash Flows for the nine months ended September 30, 2023 and 2022</w:t>
              </w:r>
            </w:hyperlink>
            <w:hyperlink w:anchor="statements_cash_flows">
              <w:r>
                <w:rPr>
                  <w:rStyle w:val="InternetLink"/>
                  <w:rFonts w:ascii="Times New Roman" w:hAnsi="Times New Roman"/>
                  <w:color w:val="0000FF"/>
                  <w:sz w:val="20"/>
                </w:rPr>
                <w:t xml:space="preserve"> </w:t>
              </w:r>
            </w:hyperlink>
          </w:p>
        </w:tc>
        <w:tc>
          <w:tcPr>
            <w:tcW w:w="512" w:type="dxa"/>
            <w:tcBorders/>
            <w:shd w:fill="FFFFFF" w:val="cle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759" w:type="dxa"/>
            <w:tcBorders/>
            <w:shd w:fill="FFFFFF" w:val="clear"/>
            <w:vAlign w:val="center"/>
          </w:tcPr>
          <w:p>
            <w:pPr>
              <w:pStyle w:val="TableContents"/>
              <w:bidi w:val="0"/>
              <w:spacing w:before="0" w:after="283"/>
              <w:ind w:left="0" w:right="0" w:firstLine="137"/>
              <w:jc w:val="left"/>
              <w:rPr>
                <w:sz w:val="4"/>
                <w:szCs w:val="4"/>
              </w:rPr>
            </w:pPr>
            <w:r>
              <w:rPr>
                <w:sz w:val="4"/>
                <w:szCs w:val="4"/>
              </w:rPr>
            </w:r>
          </w:p>
        </w:tc>
        <w:tc>
          <w:tcPr>
            <w:tcW w:w="8934" w:type="dxa"/>
            <w:tcBorders/>
            <w:shd w:fill="FFFFFF" w:val="clear"/>
            <w:vAlign w:val="center"/>
          </w:tcPr>
          <w:p>
            <w:pPr>
              <w:pStyle w:val="TableContents"/>
              <w:bidi w:val="0"/>
              <w:spacing w:before="0" w:after="283"/>
              <w:jc w:val="left"/>
              <w:rPr/>
            </w:pPr>
            <w:hyperlink w:anchor="notes_to_the_financial_statements">
              <w:r>
                <w:rPr>
                  <w:rStyle w:val="InternetLink"/>
                  <w:rFonts w:ascii="Times New Roman" w:hAnsi="Times New Roman"/>
                  <w:b w:val="false"/>
                  <w:color w:val="0000FF"/>
                  <w:sz w:val="20"/>
                  <w:u w:val="single"/>
                </w:rPr>
                <w:t>Notes to the Consolidated Financial Statements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934" w:type="dxa"/>
            <w:tcBorders/>
            <w:shd w:fill="FFFFFF" w:val="cle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934" w:type="dxa"/>
            <w:tcBorders/>
            <w:shd w:fill="FFFFFF" w:val="cle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934" w:type="dxa"/>
            <w:tcBorders/>
            <w:shd w:fill="FFFFFF" w:val="cle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759" w:type="dxa"/>
            <w:tcBorders/>
            <w:shd w:fill="FFFFFF" w:val="clear"/>
            <w:vAlign w:val="center"/>
          </w:tcPr>
          <w:p>
            <w:pPr>
              <w:pStyle w:val="TableContents"/>
              <w:bidi w:val="0"/>
              <w:spacing w:before="0" w:after="283"/>
              <w:jc w:val="left"/>
              <w:rPr/>
            </w:pPr>
            <w:r>
              <w:rPr/>
              <w:t> </w:t>
            </w:r>
          </w:p>
        </w:tc>
        <w:tc>
          <w:tcPr>
            <w:tcW w:w="8934"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512" w:type="dxa"/>
            <w:tcBorders/>
            <w:shd w:fill="FFFFFF" w:val="clear"/>
            <w:vAlign w:val="center"/>
          </w:tcPr>
          <w:p>
            <w:pPr>
              <w:pStyle w:val="TableContents"/>
              <w:bidi w:val="0"/>
              <w:spacing w:before="0" w:after="283"/>
              <w:jc w:val="right"/>
              <w:rPr/>
            </w:pPr>
            <w:r>
              <w:rPr/>
              <w:t> </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934" w:type="dxa"/>
            <w:tcBorders/>
            <w:shd w:fill="FFFFFF" w:val="cle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934"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934" w:type="dxa"/>
            <w:tcBorders/>
            <w:shd w:fill="FFFFFF" w:val="cle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934" w:type="dxa"/>
            <w:tcBorders/>
            <w:shd w:fill="FFFFFF" w:val="cle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9693" w:type="dxa"/>
            <w:gridSpan w:val="2"/>
            <w:tcBorders/>
            <w:shd w:fill="FFFFFF" w:val="cle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2" w:name="balance_sheets"/>
      <w:bookmarkEnd w:id="2"/>
      <w:r>
        <w:rPr>
          <w:rFonts w:ascii="Times New Roman" w:hAnsi="Times New Roman"/>
          <w:b/>
          <w:color w:val="000000"/>
          <w:sz w:val="20"/>
        </w:rPr>
        <w:t>Consolidated Balance Sheets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per share data)</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tbl>
      <w:tblPr>
        <w:tblW w:w="10000" w:type="dxa"/>
        <w:jc w:val="left"/>
        <w:tblInd w:w="0" w:type="dxa"/>
        <w:tblLayout w:type="fixed"/>
        <w:tblCellMar>
          <w:top w:w="28" w:type="dxa"/>
          <w:left w:w="28" w:type="dxa"/>
          <w:bottom w:w="28" w:type="dxa"/>
          <w:right w:w="28" w:type="dxa"/>
        </w:tblCellMar>
      </w:tblPr>
      <w:tblGrid>
        <w:gridCol w:w="6066"/>
        <w:gridCol w:w="146"/>
        <w:gridCol w:w="261"/>
        <w:gridCol w:w="1044"/>
        <w:gridCol w:w="166"/>
        <w:gridCol w:w="146"/>
        <w:gridCol w:w="252"/>
        <w:gridCol w:w="1008"/>
        <w:gridCol w:w="911"/>
      </w:tblGrid>
      <w:tr>
        <w:trPr/>
        <w:tc>
          <w:tcPr>
            <w:tcW w:w="6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911" w:type="dxa"/>
            <w:tcBorders/>
            <w:shd w:fill="CFF0FC" w:val="clear"/>
            <w:vAlign w:val="center"/>
          </w:tcPr>
          <w:p>
            <w:pPr>
              <w:pStyle w:val="TableContents"/>
              <w:bidi w:val="0"/>
              <w:spacing w:before="0" w:after="283"/>
              <w:jc w:val="righ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911" w:type="dxa"/>
            <w:tcBorders/>
            <w:shd w:fill="FFFFFF" w:val="clear"/>
            <w:vAlign w:val="center"/>
          </w:tcPr>
          <w:p>
            <w:pPr>
              <w:pStyle w:val="TableContents"/>
              <w:bidi w:val="0"/>
              <w:spacing w:before="0" w:after="283"/>
              <w:ind w:left="0" w:right="0" w:firstLine="200"/>
              <w:jc w:val="righ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48,258</w:t>
            </w:r>
          </w:p>
        </w:tc>
        <w:tc>
          <w:tcPr>
            <w:tcW w:w="9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9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9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49,401</w:t>
            </w:r>
          </w:p>
        </w:tc>
        <w:tc>
          <w:tcPr>
            <w:tcW w:w="911" w:type="dxa"/>
            <w:tcBorders/>
            <w:shd w:fill="CFF0FC" w:val="cle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w:t>
            </w:r>
          </w:p>
        </w:tc>
        <w:tc>
          <w:tcPr>
            <w:tcW w:w="911" w:type="dxa"/>
            <w:tcBorders/>
            <w:shd w:fill="FFFFFF" w:val="clear"/>
            <w:vAlign w:val="center"/>
          </w:tcPr>
          <w:p>
            <w:pPr>
              <w:pStyle w:val="TableContents"/>
              <w:bidi w:val="0"/>
              <w:spacing w:before="0" w:after="283"/>
              <w:jc w:val="left"/>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1,117</w:t>
            </w:r>
          </w:p>
        </w:tc>
        <w:tc>
          <w:tcPr>
            <w:tcW w:w="911" w:type="dxa"/>
            <w:tcBorders/>
            <w:shd w:fill="CFF0FC" w:val="cle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6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51,303</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 equity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911" w:type="dxa"/>
            <w:tcBorders/>
            <w:shd w:fill="FFFFFF" w:val="clear"/>
            <w:vAlign w:val="center"/>
          </w:tcPr>
          <w:p>
            <w:pPr>
              <w:pStyle w:val="TableContents"/>
              <w:bidi w:val="0"/>
              <w:spacing w:before="0" w:after="283"/>
              <w:jc w:val="right"/>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911" w:type="dxa"/>
            <w:tcBorders/>
            <w:shd w:fill="CFF0FC" w:val="clear"/>
            <w:vAlign w:val="center"/>
          </w:tcPr>
          <w:p>
            <w:pPr>
              <w:pStyle w:val="TableContents"/>
              <w:bidi w:val="0"/>
              <w:spacing w:before="0" w:after="283"/>
              <w:ind w:left="0" w:right="0" w:firstLine="200"/>
              <w:jc w:val="righ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w:t>
            </w:r>
          </w:p>
        </w:tc>
        <w:tc>
          <w:tcPr>
            <w:tcW w:w="9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4,179</w:t>
            </w:r>
          </w:p>
        </w:tc>
        <w:tc>
          <w:tcPr>
            <w:tcW w:w="9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9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5,783</w:t>
            </w:r>
          </w:p>
        </w:tc>
        <w:tc>
          <w:tcPr>
            <w:tcW w:w="911" w:type="dxa"/>
            <w:tcBorders/>
            <w:shd w:fill="FFFFFF" w:val="clear"/>
            <w:vAlign w:val="center"/>
          </w:tcPr>
          <w:p>
            <w:pPr>
              <w:pStyle w:val="TableContents"/>
              <w:bidi w:val="0"/>
              <w:spacing w:before="0" w:after="283"/>
              <w:jc w:val="left"/>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related to the sales of future royalties, net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33,977</w:t>
            </w:r>
          </w:p>
        </w:tc>
        <w:tc>
          <w:tcPr>
            <w:tcW w:w="911" w:type="dxa"/>
            <w:tcBorders/>
            <w:shd w:fill="CFF0FC" w:val="cle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936</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066" w:type="dxa"/>
            <w:tcBorders/>
            <w:shd w:fill="CFF0FC" w:val="clear"/>
            <w:vAlign w:val="center"/>
          </w:tcPr>
          <w:p>
            <w:pPr>
              <w:pStyle w:val="TableContents"/>
              <w:bidi w:val="0"/>
              <w:spacing w:before="0" w:after="283"/>
              <w:ind w:left="700" w:right="0" w:firstLine="7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40,696</w:t>
            </w:r>
          </w:p>
        </w:tc>
        <w:tc>
          <w:tcPr>
            <w:tcW w:w="911" w:type="dxa"/>
            <w:tcBorders/>
            <w:shd w:fill="CFF0FC" w:val="clear"/>
            <w:vAlign w:val="center"/>
          </w:tcPr>
          <w:p>
            <w:pPr>
              <w:pStyle w:val="TableContents"/>
              <w:bidi w:val="0"/>
              <w:spacing w:before="0" w:after="283"/>
              <w:jc w:val="left"/>
              <w:rPr/>
            </w:pPr>
            <w:r>
              <w:rPr/>
              <w:t> </w:t>
            </w:r>
          </w:p>
        </w:tc>
      </w:tr>
      <w:tr>
        <w:trPr/>
        <w:tc>
          <w:tcPr>
            <w:tcW w:w="6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911" w:type="dxa"/>
            <w:tcBorders/>
            <w:shd w:fill="FFFFFF" w:val="clear"/>
            <w:vAlign w:val="center"/>
          </w:tcPr>
          <w:p>
            <w:pPr>
              <w:pStyle w:val="TableContents"/>
              <w:bidi w:val="0"/>
              <w:spacing w:before="0" w:after="283"/>
              <w:jc w:val="right"/>
              <w:rPr/>
            </w:pPr>
            <w:r>
              <w:rPr/>
              <w:t> </w:t>
            </w:r>
          </w:p>
        </w:tc>
      </w:tr>
      <w:tr>
        <w:trPr/>
        <w:tc>
          <w:tcPr>
            <w:tcW w:w="6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(deficit) equity: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911" w:type="dxa"/>
            <w:tcBorders/>
            <w:shd w:fill="CFF0FC" w:val="clear"/>
            <w:vAlign w:val="center"/>
          </w:tcPr>
          <w:p>
            <w:pPr>
              <w:pStyle w:val="TableContents"/>
              <w:bidi w:val="0"/>
              <w:spacing w:before="0" w:after="283"/>
              <w:ind w:left="0" w:right="0" w:firstLine="200"/>
              <w:jc w:val="righ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shares authorized and no</w:t>
              <w:br/>
              <w:t>   shares issued at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color w:val="000000"/>
              </w:rPr>
            </w:pPr>
            <w:r>
              <w:rPr>
                <w:color w:val="000000"/>
              </w:rPr>
              <w:t>—</w:t>
            </w:r>
          </w:p>
        </w:tc>
        <w:tc>
          <w:tcPr>
            <w:tcW w:w="9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200,000,000</w:t>
            </w:r>
            <w:r>
              <w:rPr>
                <w:rFonts w:ascii="Times New Roman" w:hAnsi="Times New Roman"/>
                <w:color w:val="000000"/>
                <w:sz w:val="20"/>
              </w:rPr>
              <w:t> </w:t>
            </w:r>
            <w:r>
              <w:rPr>
                <w:rFonts w:ascii="Times New Roman" w:hAnsi="Times New Roman"/>
                <w:b w:val="false"/>
                <w:color w:val="000000"/>
                <w:sz w:val="20"/>
              </w:rPr>
              <w:t>shares authorized at</w:t>
              <w:br/>
              <w:t>  September 30, 2023 and December 31, 2022; 62,107,311</w:t>
            </w:r>
            <w:r>
              <w:rPr>
                <w:rFonts w:ascii="Times New Roman" w:hAnsi="Times New Roman"/>
                <w:color w:val="000000"/>
                <w:sz w:val="20"/>
              </w:rPr>
              <w:t> </w:t>
            </w:r>
            <w:r>
              <w:rPr>
                <w:rFonts w:ascii="Times New Roman" w:hAnsi="Times New Roman"/>
                <w:b w:val="false"/>
                <w:color w:val="000000"/>
                <w:sz w:val="20"/>
              </w:rPr>
              <w:t>and</w:t>
              <w:br/>
              <w:t>  60,639,827</w:t>
            </w:r>
            <w:r>
              <w:rPr>
                <w:rFonts w:ascii="Times New Roman" w:hAnsi="Times New Roman"/>
                <w:color w:val="000000"/>
                <w:sz w:val="20"/>
              </w:rPr>
              <w:t> </w:t>
            </w:r>
            <w:r>
              <w:rPr>
                <w:rFonts w:ascii="Times New Roman" w:hAnsi="Times New Roman"/>
                <w:b w:val="false"/>
                <w:color w:val="000000"/>
                <w:sz w:val="20"/>
              </w:rPr>
              <w:t>shares issued and outstanding at September 30, 2023</w:t>
              <w:br/>
              <w:t>   and December 31, 2022, respectively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911" w:type="dxa"/>
            <w:tcBorders/>
            <w:shd w:fill="CFF0FC" w:val="clear"/>
            <w:vAlign w:val="center"/>
          </w:tcPr>
          <w:p>
            <w:pPr>
              <w:pStyle w:val="TableContents"/>
              <w:bidi w:val="0"/>
              <w:spacing w:before="0" w:after="283"/>
              <w:ind w:left="0" w:right="0" w:firstLine="200"/>
              <w:jc w:val="left"/>
              <w:rPr/>
            </w:pPr>
            <w:r>
              <w:rPr/>
              <w:t> </w:t>
            </w:r>
          </w:p>
        </w:tc>
      </w:tr>
      <w:tr>
        <w:trPr/>
        <w:tc>
          <w:tcPr>
            <w:tcW w:w="60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298,984</w:t>
            </w:r>
          </w:p>
        </w:tc>
        <w:tc>
          <w:tcPr>
            <w:tcW w:w="911" w:type="dxa"/>
            <w:tcBorders/>
            <w:shd w:fill="FFFFFF" w:val="clear"/>
            <w:vAlign w:val="center"/>
          </w:tcPr>
          <w:p>
            <w:pPr>
              <w:pStyle w:val="TableContents"/>
              <w:bidi w:val="0"/>
              <w:spacing w:before="0" w:after="283"/>
              <w:ind w:left="0" w:right="0" w:firstLine="200"/>
              <w:jc w:val="left"/>
              <w:rPr/>
            </w:pPr>
            <w:r>
              <w:rPr/>
              <w:t> </w:t>
            </w:r>
          </w:p>
        </w:tc>
      </w:tr>
      <w:tr>
        <w:trPr/>
        <w:tc>
          <w:tcPr>
            <w:tcW w:w="60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(288,438</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6" w:type="dxa"/>
            <w:tcBorders/>
            <w:shd w:fill="FFFFFF" w:val="clear"/>
            <w:vAlign w:val="center"/>
          </w:tcPr>
          <w:p>
            <w:pPr>
              <w:pStyle w:val="TableContents"/>
              <w:bidi w:val="0"/>
              <w:spacing w:before="0" w:after="283"/>
              <w:ind w:left="700" w:right="0" w:firstLine="700"/>
              <w:jc w:val="left"/>
              <w:rPr>
                <w:rFonts w:ascii="Times New Roman" w:hAnsi="Times New Roman"/>
                <w:b w:val="false"/>
                <w:color w:val="000000"/>
                <w:sz w:val="20"/>
              </w:rPr>
            </w:pPr>
            <w:r>
              <w:rPr>
                <w:rFonts w:ascii="Times New Roman" w:hAnsi="Times New Roman"/>
                <w:b w:val="false"/>
                <w:color w:val="000000"/>
                <w:sz w:val="20"/>
              </w:rPr>
              <w:t>Total stockholders’ (deficit) equity</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10,607</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066" w:type="dxa"/>
            <w:tcBorders/>
            <w:shd w:fill="CFF0FC" w:val="clear"/>
            <w:vAlign w:val="center"/>
          </w:tcPr>
          <w:p>
            <w:pPr>
              <w:pStyle w:val="TableContents"/>
              <w:bidi w:val="0"/>
              <w:spacing w:before="0" w:after="283"/>
              <w:ind w:left="700" w:right="0" w:firstLine="700"/>
              <w:jc w:val="left"/>
              <w:rPr>
                <w:rFonts w:ascii="Times New Roman" w:hAnsi="Times New Roman"/>
                <w:b w:val="false"/>
                <w:color w:val="000000"/>
                <w:sz w:val="20"/>
              </w:rPr>
            </w:pPr>
            <w:r>
              <w:rPr>
                <w:rFonts w:ascii="Times New Roman" w:hAnsi="Times New Roman"/>
                <w:b w:val="false"/>
                <w:color w:val="000000"/>
                <w:sz w:val="20"/>
              </w:rPr>
              <w:t>Total liabilities and stockholders’ (deficit) equity</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51,303</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accompanying notes to the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3" w:name="statements_operations"/>
      <w:bookmarkEnd w:id="3"/>
      <w:r>
        <w:rPr>
          <w:rFonts w:ascii="Times New Roman" w:hAnsi="Times New Roman"/>
          <w:b/>
          <w:color w:val="000000"/>
          <w:sz w:val="20"/>
        </w:rPr>
        <w:t>Consolidated Statements of Operations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per share data)</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(22,207</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591" w:type="dxa"/>
            <w:tcBorders/>
            <w:shd w:fill="FFFFFF" w:val="cle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interest expense on liability</w:t>
              <w:br/>
              <w:t>   related to the sales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(23,284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of common stock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outstanding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61,983,987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60,188,541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61,605,648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60,134,821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4" w:name="statements_stockholders"/>
      <w:bookmarkEnd w:id="4"/>
      <w:r>
        <w:rPr>
          <w:rFonts w:ascii="Times New Roman" w:hAnsi="Times New Roman"/>
          <w:b/>
          <w:color w:val="000000"/>
          <w:sz w:val="20"/>
        </w:rPr>
        <w:t>Consolidated Statements of Stockholders’ (Deficit) Equity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data)</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400"/>
        <w:gridCol w:w="146"/>
        <w:gridCol w:w="146"/>
        <w:gridCol w:w="916"/>
        <w:gridCol w:w="146"/>
        <w:gridCol w:w="146"/>
        <w:gridCol w:w="249"/>
        <w:gridCol w:w="442"/>
        <w:gridCol w:w="146"/>
        <w:gridCol w:w="146"/>
        <w:gridCol w:w="275"/>
        <w:gridCol w:w="971"/>
        <w:gridCol w:w="146"/>
        <w:gridCol w:w="146"/>
        <w:gridCol w:w="217"/>
        <w:gridCol w:w="834"/>
        <w:gridCol w:w="166"/>
        <w:gridCol w:w="146"/>
        <w:gridCol w:w="275"/>
        <w:gridCol w:w="933"/>
        <w:gridCol w:w="213"/>
      </w:tblGrid>
      <w:tr>
        <w:trPr/>
        <w:tc>
          <w:tcPr>
            <w:tcW w:w="3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4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34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34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60,639,827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298,984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(288,438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10,607</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shares under at-the-market </w:t>
              <w:br/>
              <w:t>   sales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w:t>
            </w:r>
          </w:p>
        </w:tc>
        <w:tc>
          <w:tcPr>
            <w:tcW w:w="213" w:type="dxa"/>
            <w:tcBorders/>
            <w:shd w:fill="FFFFFF" w:val="clear"/>
            <w:vAlign w:val="center"/>
          </w:tcPr>
          <w:p>
            <w:pPr>
              <w:pStyle w:val="TableContents"/>
              <w:bidi w:val="0"/>
              <w:spacing w:before="0" w:after="283"/>
              <w:jc w:val="left"/>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471,390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shares under employee stock</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213" w:type="dxa"/>
            <w:tcBorders/>
            <w:shd w:fill="FFFFFF" w:val="clear"/>
            <w:vAlign w:val="center"/>
          </w:tcPr>
          <w:p>
            <w:pPr>
              <w:pStyle w:val="TableContents"/>
              <w:bidi w:val="0"/>
              <w:spacing w:before="0" w:after="283"/>
              <w:jc w:val="left"/>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1,041</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(9,280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61,364,299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300,357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(297,718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2,700</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shares under at-the-market </w:t>
              <w:br/>
              <w:t>   sales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328,147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w:t>
            </w:r>
          </w:p>
        </w:tc>
        <w:tc>
          <w:tcPr>
            <w:tcW w:w="213" w:type="dxa"/>
            <w:tcBorders/>
            <w:shd w:fill="FFFFFF" w:val="clear"/>
            <w:vAlign w:val="center"/>
          </w:tcPr>
          <w:p>
            <w:pPr>
              <w:pStyle w:val="TableContents"/>
              <w:bidi w:val="0"/>
              <w:spacing w:before="0" w:after="283"/>
              <w:jc w:val="left"/>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1,061</w:t>
            </w:r>
          </w:p>
        </w:tc>
        <w:tc>
          <w:tcPr>
            <w:tcW w:w="213" w:type="dxa"/>
            <w:tcBorders/>
            <w:shd w:fill="FFFFFF" w:val="clear"/>
            <w:vAlign w:val="center"/>
          </w:tcPr>
          <w:p>
            <w:pPr>
              <w:pStyle w:val="TableContents"/>
              <w:bidi w:val="0"/>
              <w:spacing w:before="0" w:after="283"/>
              <w:jc w:val="left"/>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(9,106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61,717,445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(4,973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shares under at-the-market </w:t>
              <w:br/>
              <w:t>   sales agreement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213" w:type="dxa"/>
            <w:tcBorders/>
            <w:shd w:fill="FFFFFF" w:val="clear"/>
            <w:vAlign w:val="center"/>
          </w:tcPr>
          <w:p>
            <w:pPr>
              <w:pStyle w:val="TableContents"/>
              <w:bidi w:val="0"/>
              <w:spacing w:before="0" w:after="283"/>
              <w:jc w:val="left"/>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shares under employee stock</w:t>
              <w:br/>
              <w:t>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213" w:type="dxa"/>
            <w:tcBorders/>
            <w:shd w:fill="CFF0FC"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1,074</w:t>
            </w:r>
          </w:p>
        </w:tc>
        <w:tc>
          <w:tcPr>
            <w:tcW w:w="213" w:type="dxa"/>
            <w:tcBorders/>
            <w:shd w:fill="FFFFFF" w:val="clear"/>
            <w:vAlign w:val="center"/>
          </w:tcPr>
          <w:p>
            <w:pPr>
              <w:pStyle w:val="TableContents"/>
              <w:bidi w:val="0"/>
              <w:spacing w:before="0" w:after="283"/>
              <w:jc w:val="left"/>
              <w:rPr/>
            </w:pPr>
            <w:r>
              <w:rPr/>
              <w:t> </w:t>
            </w:r>
          </w:p>
        </w:tc>
      </w:tr>
      <w:tr>
        <w:trPr/>
        <w:tc>
          <w:tcPr>
            <w:tcW w:w="340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(9,267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4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62,107,311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(316,091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(12,849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2"/>
        <w:gridCol w:w="146"/>
        <w:gridCol w:w="146"/>
        <w:gridCol w:w="916"/>
        <w:gridCol w:w="146"/>
        <w:gridCol w:w="146"/>
        <w:gridCol w:w="249"/>
        <w:gridCol w:w="442"/>
        <w:gridCol w:w="146"/>
        <w:gridCol w:w="146"/>
        <w:gridCol w:w="275"/>
        <w:gridCol w:w="971"/>
        <w:gridCol w:w="146"/>
        <w:gridCol w:w="146"/>
        <w:gridCol w:w="217"/>
        <w:gridCol w:w="834"/>
        <w:gridCol w:w="166"/>
        <w:gridCol w:w="146"/>
        <w:gridCol w:w="264"/>
        <w:gridCol w:w="813"/>
        <w:gridCol w:w="212"/>
      </w:tblGrid>
      <w:tr>
        <w:trPr/>
        <w:tc>
          <w:tcPr>
            <w:tcW w:w="3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vAlign w:val="center"/>
          </w:tcPr>
          <w:p>
            <w:pPr>
              <w:pStyle w:val="TableContents"/>
              <w:bidi w:val="0"/>
              <w:spacing w:before="0" w:after="283"/>
              <w:jc w:val="center"/>
              <w:rPr/>
            </w:pPr>
            <w:r>
              <w:rPr/>
              <w:t> </w:t>
            </w:r>
          </w:p>
        </w:tc>
      </w:tr>
      <w:tr>
        <w:trPr/>
        <w:tc>
          <w:tcPr>
            <w:tcW w:w="35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35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December 31,2021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59,722,930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293,406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(255,491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37,975</w:t>
            </w:r>
          </w:p>
        </w:tc>
        <w:tc>
          <w:tcPr>
            <w:tcW w:w="212" w:type="dxa"/>
            <w:tcBorders/>
            <w:shd w:fill="CFF0FC" w:val="cle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212" w:type="dxa"/>
            <w:tcBorders/>
            <w:shd w:fill="FFFFFF" w:val="clear"/>
            <w:vAlign w:val="center"/>
          </w:tcPr>
          <w:p>
            <w:pPr>
              <w:pStyle w:val="TableContents"/>
              <w:bidi w:val="0"/>
              <w:spacing w:before="0" w:after="283"/>
              <w:jc w:val="left"/>
              <w:rPr/>
            </w:pPr>
            <w:r>
              <w:rPr/>
              <w:t> </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375,331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shares under employee</w:t>
              <w:br/>
              <w:t>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212" w:type="dxa"/>
            <w:tcBorders/>
            <w:shd w:fill="FFFFFF" w:val="clear"/>
            <w:vAlign w:val="center"/>
          </w:tcPr>
          <w:p>
            <w:pPr>
              <w:pStyle w:val="TableContents"/>
              <w:bidi w:val="0"/>
              <w:spacing w:before="0" w:after="283"/>
              <w:jc w:val="left"/>
              <w:rPr/>
            </w:pPr>
            <w:r>
              <w:rPr/>
              <w:t> </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1,307</w:t>
            </w:r>
          </w:p>
        </w:tc>
        <w:tc>
          <w:tcPr>
            <w:tcW w:w="212" w:type="dxa"/>
            <w:tcBorders/>
            <w:shd w:fill="CFF0FC" w:val="cle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March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60,147,618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294,778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(263,135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31,703</w:t>
            </w:r>
          </w:p>
        </w:tc>
        <w:tc>
          <w:tcPr>
            <w:tcW w:w="212" w:type="dxa"/>
            <w:tcBorders/>
            <w:shd w:fill="CFF0FC" w:val="cle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212" w:type="dxa"/>
            <w:tcBorders/>
            <w:shd w:fill="FFFFFF" w:val="clear"/>
            <w:vAlign w:val="center"/>
          </w:tcPr>
          <w:p>
            <w:pPr>
              <w:pStyle w:val="TableContents"/>
              <w:bidi w:val="0"/>
              <w:spacing w:before="0" w:after="283"/>
              <w:jc w:val="left"/>
              <w:rPr/>
            </w:pPr>
            <w:r>
              <w:rPr/>
              <w:t> </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1,354</w:t>
            </w:r>
          </w:p>
        </w:tc>
        <w:tc>
          <w:tcPr>
            <w:tcW w:w="212" w:type="dxa"/>
            <w:tcBorders/>
            <w:shd w:fill="CFF0FC" w:val="cle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(7,813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60,150,442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296,136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25,248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shares under employee stock</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w:t>
            </w:r>
          </w:p>
        </w:tc>
        <w:tc>
          <w:tcPr>
            <w:tcW w:w="212" w:type="dxa"/>
            <w:tcBorders/>
            <w:shd w:fill="FFFFFF" w:val="clear"/>
            <w:vAlign w:val="center"/>
          </w:tcPr>
          <w:p>
            <w:pPr>
              <w:pStyle w:val="TableContents"/>
              <w:bidi w:val="0"/>
              <w:spacing w:before="0" w:after="283"/>
              <w:jc w:val="left"/>
              <w:rPr/>
            </w:pPr>
            <w:r>
              <w:rPr/>
              <w:t> </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1,074</w:t>
            </w:r>
          </w:p>
        </w:tc>
        <w:tc>
          <w:tcPr>
            <w:tcW w:w="212" w:type="dxa"/>
            <w:tcBorders/>
            <w:shd w:fill="CFF0FC" w:val="clear"/>
            <w:vAlign w:val="center"/>
          </w:tcPr>
          <w:p>
            <w:pPr>
              <w:pStyle w:val="TableContents"/>
              <w:bidi w:val="0"/>
              <w:spacing w:before="0" w:after="283"/>
              <w:jc w:val="left"/>
              <w:rPr/>
            </w:pPr>
            <w:r>
              <w:rPr/>
              <w:t> </w:t>
            </w:r>
          </w:p>
        </w:tc>
      </w:tr>
      <w:tr>
        <w:trPr/>
        <w:tc>
          <w:tcPr>
            <w:tcW w:w="35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(7,827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5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60,190,731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297,261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(278,775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18,546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5" w:name="statements_cash_flows"/>
      <w:bookmarkEnd w:id="5"/>
      <w:r>
        <w:rPr>
          <w:rFonts w:ascii="Times New Roman" w:hAnsi="Times New Roman"/>
          <w:b/>
          <w:color w:val="000000"/>
          <w:sz w:val="20"/>
        </w:rPr>
        <w:t>Consolidated Statements of Cash Flows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tbl>
      <w:tblPr>
        <w:tblW w:w="8994" w:type="dxa"/>
        <w:jc w:val="left"/>
        <w:tblInd w:w="0" w:type="dxa"/>
        <w:tblLayout w:type="fixed"/>
        <w:tblCellMar>
          <w:top w:w="28" w:type="dxa"/>
          <w:left w:w="28" w:type="dxa"/>
          <w:bottom w:w="28" w:type="dxa"/>
          <w:right w:w="28" w:type="dxa"/>
        </w:tblCellMar>
      </w:tblPr>
      <w:tblGrid>
        <w:gridCol w:w="6031"/>
        <w:gridCol w:w="146"/>
        <w:gridCol w:w="211"/>
        <w:gridCol w:w="736"/>
        <w:gridCol w:w="166"/>
        <w:gridCol w:w="146"/>
        <w:gridCol w:w="211"/>
        <w:gridCol w:w="736"/>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(23,284</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interest expense on liability related to the sales of</w:t>
              <w:br/>
              <w:t>   future royalties, net of issuance costs accretion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assets and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(7,758</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at-the-market sales agreement,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Proceeds from royalty purchase and sale agreement, net of $1.9</w:t>
            </w:r>
            <w:r>
              <w:rPr>
                <w:rFonts w:ascii="Times New Roman" w:hAnsi="Times New Roman"/>
                <w:color w:val="000000"/>
                <w:sz w:val="20"/>
              </w:rPr>
              <w:t> </w:t>
            </w:r>
            <w:r>
              <w:rPr>
                <w:rFonts w:ascii="Times New Roman" w:hAnsi="Times New Roman"/>
                <w:b w:val="false"/>
                <w:color w:val="000000"/>
                <w:sz w:val="20"/>
              </w:rPr>
              <w:t>million</w:t>
              <w:br/>
              <w:t>   of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30,638</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 to royalty purchase and sale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shares issued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22,845</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Purchase of property and equipment included in 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bl>
      <w:tblPr>
        <w:tblW w:w="7234" w:type="dxa"/>
        <w:jc w:val="left"/>
        <w:tblInd w:w="0" w:type="dxa"/>
        <w:tblLayout w:type="fixed"/>
        <w:tblCellMar>
          <w:top w:w="28" w:type="dxa"/>
          <w:left w:w="28" w:type="dxa"/>
          <w:bottom w:w="28" w:type="dxa"/>
          <w:right w:w="28" w:type="dxa"/>
        </w:tblCellMar>
      </w:tblPr>
      <w:tblGrid>
        <w:gridCol w:w="4831"/>
        <w:gridCol w:w="146"/>
        <w:gridCol w:w="211"/>
        <w:gridCol w:w="676"/>
        <w:gridCol w:w="146"/>
        <w:gridCol w:w="146"/>
        <w:gridCol w:w="211"/>
        <w:gridCol w:w="676"/>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53,381</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spacing w:before="240" w:after="283"/>
        <w:jc w:val="center"/>
        <w:rPr>
          <w:rFonts w:ascii="Times New Roman" w:hAnsi="Times New Roman"/>
          <w:b/>
          <w:color w:val="000000"/>
          <w:sz w:val="20"/>
        </w:rPr>
      </w:pPr>
      <w:bookmarkStart w:id="6" w:name="notes_to_the_financial_statements"/>
      <w:bookmarkEnd w:id="6"/>
      <w:r>
        <w:rPr>
          <w:rFonts w:ascii="Times New Roman" w:hAnsi="Times New Roman"/>
          <w:b/>
          <w:color w:val="000000"/>
          <w:sz w:val="20"/>
        </w:rPr>
        <w:t>Notes to the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Clearside Biomedical, Inc. (the “Company”) is a biopharmaceutical company focused on revolutionizing the delivery of therapies to the back of the eye through the suprachoroidal space (SCS</w:t>
      </w:r>
      <w:r>
        <w:rPr>
          <w:rFonts w:ascii="Times New Roman" w:hAnsi="Times New Roman"/>
          <w:b w:val="false"/>
          <w:color w:val="000000"/>
          <w:sz w:val="13"/>
        </w:rPr>
        <w:t>®</w:t>
      </w:r>
      <w:r>
        <w:rPr>
          <w:rFonts w:ascii="Times New Roman" w:hAnsi="Times New Roman"/>
          <w:b w:val="false"/>
          <w:color w:val="000000"/>
          <w:sz w:val="20"/>
        </w:rPr>
        <w:t>). Incorporated in the State of Delaware on May 26, 2011, the Company has its corporate headquarters in Alpharetta, Georgia.</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had cash and cash equivalents of $28.8</w:t>
      </w:r>
      <w:r>
        <w:rPr>
          <w:rFonts w:ascii="Times New Roman" w:hAnsi="Times New Roman"/>
          <w:color w:val="000000"/>
          <w:sz w:val="20"/>
        </w:rPr>
        <w:t xml:space="preserve"> </w:t>
      </w:r>
      <w:r>
        <w:rPr>
          <w:rFonts w:ascii="Times New Roman" w:hAnsi="Times New Roman"/>
          <w:b w:val="false"/>
          <w:color w:val="000000"/>
          <w:sz w:val="20"/>
        </w:rPr>
        <w:t>million 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 the Company terminated its at-the-market sales agreement with Cowen and Company, LLC (the "ATM Agreement"). The Company sold</w:t>
      </w:r>
      <w:r>
        <w:rPr>
          <w:rFonts w:ascii="Times New Roman" w:hAnsi="Times New Roman"/>
          <w:color w:val="000000"/>
          <w:sz w:val="20"/>
        </w:rPr>
        <w:t xml:space="preserve"> </w:t>
      </w:r>
      <w:r>
        <w:rPr>
          <w:rFonts w:ascii="Times New Roman" w:hAnsi="Times New Roman"/>
          <w:b w:val="false"/>
          <w:color w:val="000000"/>
          <w:sz w:val="20"/>
        </w:rPr>
        <w:t>515,959</w:t>
      </w:r>
      <w:r>
        <w:rPr>
          <w:rFonts w:ascii="Times New Roman" w:hAnsi="Times New Roman"/>
          <w:color w:val="000000"/>
          <w:sz w:val="20"/>
        </w:rPr>
        <w:t xml:space="preserve"> </w:t>
      </w:r>
      <w:r>
        <w:rPr>
          <w:rFonts w:ascii="Times New Roman" w:hAnsi="Times New Roman"/>
          <w:b w:val="false"/>
          <w:color w:val="000000"/>
          <w:sz w:val="20"/>
        </w:rPr>
        <w:t>shares of its common stock for net proceeds of $0.7</w:t>
      </w:r>
      <w:r>
        <w:rPr>
          <w:rFonts w:ascii="Times New Roman" w:hAnsi="Times New Roman"/>
          <w:color w:val="000000"/>
          <w:sz w:val="20"/>
        </w:rPr>
        <w:t xml:space="preserve"> </w:t>
      </w:r>
      <w:r>
        <w:rPr>
          <w:rFonts w:ascii="Times New Roman" w:hAnsi="Times New Roman"/>
          <w:b w:val="false"/>
          <w:color w:val="000000"/>
          <w:sz w:val="20"/>
        </w:rPr>
        <w:t>million under its ATM Agreement with Cowen and Company, LLC during the six months ended June 30, 2023, prior to the termination of the ATM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 the Company entered into a Controlled Equity Offering</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Sales Agreement (the "Sales Agreement") with Cantor Fitzgerald &amp; Co. ("Cantor") under which the Company may offer and sell, from time to time at its sole discretion, shares of its common stock, having an aggregate offering price of up to $50.0</w:t>
      </w:r>
      <w:r>
        <w:rPr>
          <w:rFonts w:ascii="Times New Roman" w:hAnsi="Times New Roman"/>
          <w:color w:val="000000"/>
          <w:sz w:val="20"/>
        </w:rPr>
        <w:t xml:space="preserve"> </w:t>
      </w:r>
      <w:r>
        <w:rPr>
          <w:rFonts w:ascii="Times New Roman" w:hAnsi="Times New Roman"/>
          <w:b w:val="false"/>
          <w:color w:val="000000"/>
          <w:sz w:val="20"/>
        </w:rPr>
        <w:t>million through Cantor as its sales agent. During the nine months ended September 30, 2023, the Company sold 330,210</w:t>
      </w:r>
      <w:r>
        <w:rPr>
          <w:rFonts w:ascii="Times New Roman" w:hAnsi="Times New Roman"/>
          <w:color w:val="000000"/>
          <w:sz w:val="20"/>
        </w:rPr>
        <w:t xml:space="preserve"> </w:t>
      </w:r>
      <w:r>
        <w:rPr>
          <w:rFonts w:ascii="Times New Roman" w:hAnsi="Times New Roman"/>
          <w:b w:val="false"/>
          <w:color w:val="000000"/>
          <w:sz w:val="20"/>
        </w:rPr>
        <w:t>shares of its common stock for net proceeds of $0.4</w:t>
      </w:r>
      <w:r>
        <w:rPr>
          <w:rFonts w:ascii="Times New Roman" w:hAnsi="Times New Roman"/>
          <w:color w:val="000000"/>
          <w:sz w:val="20"/>
        </w:rPr>
        <w:t xml:space="preserve"> </w:t>
      </w:r>
      <w:r>
        <w:rPr>
          <w:rFonts w:ascii="Times New Roman" w:hAnsi="Times New Roman"/>
          <w:b w:val="false"/>
          <w:color w:val="000000"/>
          <w:sz w:val="20"/>
        </w:rPr>
        <w:t>million under the Sales Agreement. Subsequent to September 30, 2023, the Company sold an additional 301,555</w:t>
      </w:r>
      <w:r>
        <w:rPr>
          <w:rFonts w:ascii="Times New Roman" w:hAnsi="Times New Roman"/>
          <w:color w:val="000000"/>
          <w:sz w:val="20"/>
        </w:rPr>
        <w:t xml:space="preserve"> </w:t>
      </w:r>
      <w:r>
        <w:rPr>
          <w:rFonts w:ascii="Times New Roman" w:hAnsi="Times New Roman"/>
          <w:b w:val="false"/>
          <w:color w:val="000000"/>
          <w:sz w:val="20"/>
        </w:rPr>
        <w:t>shares of its common stock pursuant to the Sales Agreement for net proceeds of $0.3</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2022, the Company through its wholly-owned subsidiary Clearside Royalty LLC, a Delaware limited liability company (“Royalty Sub”), entered into a Purchase and Sale Agreement (the "Purchase</w:t>
      </w:r>
      <w:r>
        <w:rPr>
          <w:rFonts w:ascii="Times New Roman" w:hAnsi="Times New Roman"/>
          <w:color w:val="000000"/>
          <w:sz w:val="20"/>
        </w:rPr>
        <w:t xml:space="preserve"> </w:t>
      </w:r>
      <w:r>
        <w:rPr>
          <w:rFonts w:ascii="Times New Roman" w:hAnsi="Times New Roman"/>
          <w:b w:val="false"/>
          <w:color w:val="000000"/>
          <w:sz w:val="20"/>
        </w:rPr>
        <w:t>and Sale Agreement") with entities managed by HealthCare Royalty Management, LLC (“HCR”) pursuant to which it sold its rights to receive royalty and milestone payments due to the Company from XIPERE and certain SCS Microinjector license agreements subject to a cap which may be increased under certain circumstances. The Company received a payment of $32.1</w:t>
      </w:r>
      <w:r>
        <w:rPr>
          <w:rFonts w:ascii="Times New Roman" w:hAnsi="Times New Roman"/>
          <w:color w:val="000000"/>
          <w:sz w:val="20"/>
        </w:rPr>
        <w:t xml:space="preserve"> </w:t>
      </w:r>
      <w:r>
        <w:rPr>
          <w:rFonts w:ascii="Times New Roman" w:hAnsi="Times New Roman"/>
          <w:b w:val="false"/>
          <w:color w:val="000000"/>
          <w:sz w:val="20"/>
        </w:rPr>
        <w:t>million in September 2022, representing the $32.5</w:t>
      </w:r>
      <w:r>
        <w:rPr>
          <w:rFonts w:ascii="Times New Roman" w:hAnsi="Times New Roman"/>
          <w:color w:val="000000"/>
          <w:sz w:val="20"/>
        </w:rPr>
        <w:t xml:space="preserve"> </w:t>
      </w:r>
      <w:r>
        <w:rPr>
          <w:rFonts w:ascii="Times New Roman" w:hAnsi="Times New Roman"/>
          <w:b w:val="false"/>
          <w:color w:val="000000"/>
          <w:sz w:val="20"/>
        </w:rPr>
        <w:t>million to which the Company was entitled, net of certain of HCR's transaction-related expenses which the Company agreed to reimburse. There were additional issuance costs of $1.5</w:t>
      </w:r>
      <w:r>
        <w:rPr>
          <w:rFonts w:ascii="Times New Roman" w:hAnsi="Times New Roman"/>
          <w:color w:val="000000"/>
          <w:sz w:val="20"/>
        </w:rPr>
        <w:t xml:space="preserve"> </w:t>
      </w:r>
      <w:r>
        <w:rPr>
          <w:rFonts w:ascii="Times New Roman" w:hAnsi="Times New Roman"/>
          <w:b w:val="false"/>
          <w:color w:val="000000"/>
          <w:sz w:val="20"/>
        </w:rPr>
        <w:t>million related to the Purchase and Sale Agreement resulting in net proceeds of $30.6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conditions raise substantial doubt about the Company’s ability to continue as a going concern within one year after the date the financial statements are issued. Based on its current plans and forecasted expenses, the Company expects that its cash and cash equivalents as of the filing date, November 13, 2023, and assuming the receipt of the $5.0</w:t>
      </w:r>
      <w:r>
        <w:rPr>
          <w:rFonts w:ascii="Times New Roman" w:hAnsi="Times New Roman"/>
          <w:color w:val="000000"/>
          <w:sz w:val="20"/>
        </w:rPr>
        <w:t xml:space="preserve"> </w:t>
      </w:r>
      <w:r>
        <w:rPr>
          <w:rFonts w:ascii="Times New Roman" w:hAnsi="Times New Roman"/>
          <w:b w:val="false"/>
          <w:color w:val="000000"/>
          <w:sz w:val="20"/>
        </w:rPr>
        <w:t>million upfront payment that the Company is entitled to receive from BioCryst Pharmaceuticals, Inc. (as described in Note 13), will enable the Company to fund its planned operating expenses and capital expenditure requirements into the fourth</w:t>
      </w:r>
      <w:r>
        <w:rPr>
          <w:rFonts w:ascii="Times New Roman" w:hAnsi="Times New Roman"/>
          <w:color w:val="FF0000"/>
          <w:sz w:val="20"/>
        </w:rPr>
        <w:t xml:space="preserve"> </w:t>
      </w:r>
      <w:r>
        <w:rPr>
          <w:rFonts w:ascii="Times New Roman" w:hAnsi="Times New Roman"/>
          <w:b w:val="false"/>
          <w:color w:val="000000"/>
          <w:sz w:val="20"/>
        </w:rPr>
        <w:t>quarter of 2024.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 in Note 5. All intercompany balances and transactions have been eliminated.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consolidated financial statements have been prepared in conformity with accounting principles generally accepted in the United States of America (“U.S. GAAP”). In the opinion of management, the Company has made all necessary adjustments, which include normal recurring adjustments necessary for a fair statement of the Company’s consolidated financial position and results of operations for the interim periods presented. Certain amounts reported in prior periods have been reclassified to conform to the current period financial statement presentation. These reclassifications are not material and have no effect on the previously reported consolidated financial statements and related disclosures. The results for the three and nine months ended September 30, 2023 are not indicative of results to be expected for the year ending December 31, 2023, any other interim periods or any future year or period. These unaudited financial statements should be read in conjunction with the audited financial statements and related footnotes, which are included in the Company’s Annual Report on Form 10-K for the year ended December 31,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b w:val="false"/>
          <w:color w:val="212529"/>
          <w:sz w:val="20"/>
        </w:rPr>
        <w:t xml:space="preserve">The Company recognizes revenue from its contracts with customers under Financial Accounting Standards Board Accounting Standards Codification (“ASC”) Topic 606, </w:t>
      </w:r>
      <w:r>
        <w:rPr>
          <w:rFonts w:ascii="Times New Roman" w:hAnsi="Times New Roman"/>
          <w:b w:val="false"/>
          <w:i/>
          <w:color w:val="212529"/>
          <w:sz w:val="20"/>
        </w:rPr>
        <w:t>Revenue from Contracts with Customers.</w:t>
      </w:r>
      <w:r>
        <w:rPr>
          <w:rFonts w:ascii="Times New Roman" w:hAnsi="Times New Roman"/>
          <w:color w:val="212529"/>
          <w:sz w:val="20"/>
        </w:rPr>
        <w:t xml:space="preserve"> </w:t>
      </w:r>
      <w:r>
        <w:rPr>
          <w:rFonts w:ascii="Times New Roman" w:hAnsi="Times New Roman"/>
          <w:b w:val="false"/>
          <w:color w:val="212529"/>
          <w:sz w:val="20"/>
        </w:rPr>
        <w:t>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costs are charged to expense as incurred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incurred under agreements with contract research organizations, contract manufacturing organizations and consultants that conduct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submitting regulatory approval applications for the Company’s product candidates;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for the Company’s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depreciation expense for assets used in research and development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Costs for certain development activities, such as clinical trial activities, are recognized based on an evaluation of the estimated total costs for the clinical trial, progress to completion of specific tasks using data such as patient enrollment, pass-through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Compensation cost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Black-Scholes option pricing model. Compensation expense is recognized over the six-month withholding period prior to the purchase 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share-based compensation costs are recorded in general and administrative or research and development costs in the statements of operations based upon the recipient's underlying role within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equivalents consist of short-term, highly liquid investments with an original term of three months or less at the date of purchase.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Arising From Cash Deposits in Excess of Insured Limits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maintains its cash in bank deposits that at times may exceed federally insured limits. The Company has not experienced any loss in such accounts. The Company believes it is not exposed to any significant risks with respect to its cash balances.</w:t>
      </w:r>
    </w:p>
    <w:p>
      <w:pPr>
        <w:pStyle w:val="TextBody"/>
        <w:bidi w:val="0"/>
        <w:spacing w:before="240" w:after="283"/>
        <w:jc w:val="left"/>
        <w:rPr>
          <w:rFonts w:ascii="Times New Roman" w:hAnsi="Times New Roman"/>
          <w:sz w:val="20"/>
        </w:rPr>
      </w:pPr>
      <w:r>
        <w:rPr>
          <w:rFonts w:ascii="Times New Roman" w:hAnsi="Times New Roman"/>
          <w:b/>
          <w:i/>
          <w:color w:val="000000"/>
          <w:sz w:val="20"/>
        </w:rPr>
        <w:t>Liability Related to the Sales of Future Royalties and Non-Cash 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recognizes a liability related to the sales of future royalties under ASC 470-10 Debt and ASC 835-30 Interest - Imputation of Interest. The initial funds received by the Company pursuant to the terms of the Purchase and Sale Agreement were recorded as a liability and will be accreted under the effective interest method up to the estimated amount of future royalties and milestone payments to be made under the Purchase and Sale Agreement. The issuance costs were recorded as a direct deduction to the carrying amount of the liability and will be amortized under the effective interest method over the estimated period the liability will be repaid. The Company estimated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Property and Equipment, Net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Property and equipment, net consisted of the following (dollar amounts in thousands):</w:t>
      </w:r>
    </w:p>
    <w:tbl>
      <w:tblPr>
        <w:tblW w:w="7112" w:type="dxa"/>
        <w:jc w:val="left"/>
        <w:tblInd w:w="0" w:type="dxa"/>
        <w:tblLayout w:type="fixed"/>
        <w:tblCellMar>
          <w:top w:w="28" w:type="dxa"/>
          <w:left w:w="28" w:type="dxa"/>
          <w:bottom w:w="28" w:type="dxa"/>
          <w:right w:w="28" w:type="dxa"/>
        </w:tblCellMar>
      </w:tblPr>
      <w:tblGrid>
        <w:gridCol w:w="2731"/>
        <w:gridCol w:w="146"/>
        <w:gridCol w:w="1126"/>
        <w:gridCol w:w="146"/>
        <w:gridCol w:w="323"/>
        <w:gridCol w:w="877"/>
        <w:gridCol w:w="166"/>
        <w:gridCol w:w="146"/>
        <w:gridCol w:w="307"/>
        <w:gridCol w:w="833"/>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Useful Lives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w:t>
            </w:r>
            <w:r>
              <w:rPr>
                <w:rFonts w:ascii="Times New Roman" w:hAnsi="Times New Roman"/>
                <w:color w:val="000000"/>
                <w:sz w:val="18"/>
              </w:rPr>
              <w:t xml:space="preserve"> </w:t>
            </w:r>
            <w:r>
              <w:rPr>
                <w:rFonts w:ascii="Times New Roman" w:hAnsi="Times New Roman"/>
                <w:b/>
                <w:color w:val="000000"/>
                <w:sz w:val="18"/>
              </w:rPr>
              <w:t>31,</w:t>
              <w:b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1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Lesser of</w:t>
              <w:br/>
              <w:t>useful life</w:t>
            </w:r>
            <w:r>
              <w:rPr>
                <w:rFonts w:ascii="Times New Roman" w:hAnsi="Times New Roman"/>
                <w:color w:val="000000"/>
                <w:sz w:val="20"/>
              </w:rPr>
              <w:t xml:space="preserve"> </w:t>
            </w:r>
            <w:r>
              <w:rPr>
                <w:rFonts w:ascii="Times New Roman" w:hAnsi="Times New Roman"/>
                <w:b w:val="false"/>
                <w:color w:val="000000"/>
                <w:sz w:val="20"/>
              </w:rPr>
              <w:t>or</w:t>
              <w:br/>
              <w:t>remaining</w:t>
              <w:br/>
              <w:t>lease term</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1,608</w:t>
            </w:r>
          </w:p>
        </w:tc>
        <w:tc>
          <w:tcPr>
            <w:tcW w:w="31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Accrued Liabilities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Accrued liabilities consisted of the following (in thousands):</w:t>
      </w:r>
    </w:p>
    <w:tbl>
      <w:tblPr>
        <w:tblW w:w="5925" w:type="dxa"/>
        <w:jc w:val="left"/>
        <w:tblInd w:w="0" w:type="dxa"/>
        <w:tblLayout w:type="fixed"/>
        <w:tblCellMar>
          <w:top w:w="28" w:type="dxa"/>
          <w:left w:w="28" w:type="dxa"/>
          <w:bottom w:w="28" w:type="dxa"/>
          <w:right w:w="28" w:type="dxa"/>
        </w:tblCellMar>
      </w:tblPr>
      <w:tblGrid>
        <w:gridCol w:w="2956"/>
        <w:gridCol w:w="146"/>
        <w:gridCol w:w="323"/>
        <w:gridCol w:w="877"/>
        <w:gridCol w:w="146"/>
        <w:gridCol w:w="146"/>
        <w:gridCol w:w="307"/>
        <w:gridCol w:w="833"/>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w:t>
            </w:r>
            <w:r>
              <w:rPr>
                <w:rFonts w:ascii="Times New Roman" w:hAnsi="Times New Roman"/>
                <w:color w:val="000000"/>
                <w:sz w:val="18"/>
              </w:rPr>
              <w:t xml:space="preserve"> </w:t>
            </w:r>
            <w:r>
              <w:rPr>
                <w:rFonts w:ascii="Times New Roman" w:hAnsi="Times New Roman"/>
                <w:b/>
                <w:color w:val="000000"/>
                <w:sz w:val="18"/>
              </w:rPr>
              <w:t>31,</w:t>
            </w:r>
          </w:p>
        </w:tc>
        <w:tc>
          <w:tcPr>
            <w:tcW w:w="191"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1,817</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employee costs</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1,837</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5</w:t>
      </w:r>
      <w:r>
        <w:rPr>
          <w:rFonts w:ascii="Times New Roman" w:hAnsi="Times New Roman"/>
          <w:b w:val="false"/>
          <w:color w:val="000000"/>
          <w:sz w:val="20"/>
        </w:rPr>
        <w:t xml:space="preserve">. </w:t>
      </w:r>
      <w:r>
        <w:rPr>
          <w:rFonts w:ascii="Times New Roman" w:hAnsi="Times New Roman"/>
          <w:b/>
          <w:color w:val="000000"/>
          <w:sz w:val="20"/>
        </w:rPr>
        <w:t>Royalty Purchase and Sale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8, 2022 (the “Closing Date”), the Company, through Royalty Sub, entered into the Purchase and Sale Agreement with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w:t>
      </w:r>
      <w:r>
        <w:rPr>
          <w:rFonts w:ascii="Times New Roman" w:hAnsi="Times New Roman"/>
          <w:color w:val="000000"/>
          <w:sz w:val="20"/>
        </w:rPr>
        <w:t xml:space="preserve"> </w:t>
      </w:r>
      <w:r>
        <w:rPr>
          <w:rFonts w:ascii="Times New Roman" w:hAnsi="Times New Roman"/>
          <w:b w:val="false"/>
          <w:color w:val="000000"/>
          <w:sz w:val="20"/>
        </w:rPr>
        <w:t>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terms of the Purchase and Sale Agreement, Royalty Sub received an initial payment of $32.1</w:t>
      </w:r>
      <w:r>
        <w:rPr>
          <w:rFonts w:ascii="Times New Roman" w:hAnsi="Times New Roman"/>
          <w:color w:val="000000"/>
          <w:sz w:val="20"/>
        </w:rPr>
        <w:t xml:space="preserve"> </w:t>
      </w:r>
      <w:r>
        <w:rPr>
          <w:rFonts w:ascii="Times New Roman" w:hAnsi="Times New Roman"/>
          <w:b w:val="false"/>
          <w:color w:val="000000"/>
          <w:sz w:val="20"/>
        </w:rPr>
        <w:t>million, representing the $32.5</w:t>
      </w:r>
      <w:r>
        <w:rPr>
          <w:rFonts w:ascii="Times New Roman" w:hAnsi="Times New Roman"/>
          <w:color w:val="000000"/>
          <w:sz w:val="20"/>
        </w:rPr>
        <w:t xml:space="preserve"> </w:t>
      </w:r>
      <w:r>
        <w:rPr>
          <w:rFonts w:ascii="Times New Roman" w:hAnsi="Times New Roman"/>
          <w:b w:val="false"/>
          <w:color w:val="000000"/>
          <w:sz w:val="20"/>
        </w:rPr>
        <w:t>million to which the Company was entitled, net of certain of HCR's transaction-related expenses which the Company agreed to reimburse. There were additional issuance costs of $1.5</w:t>
      </w:r>
      <w:r>
        <w:rPr>
          <w:rFonts w:ascii="Times New Roman" w:hAnsi="Times New Roman"/>
          <w:color w:val="000000"/>
          <w:sz w:val="20"/>
        </w:rPr>
        <w:t xml:space="preserve"> </w:t>
      </w:r>
      <w:r>
        <w:rPr>
          <w:rFonts w:ascii="Times New Roman" w:hAnsi="Times New Roman"/>
          <w:b w:val="false"/>
          <w:color w:val="000000"/>
          <w:sz w:val="20"/>
        </w:rPr>
        <w:t>million related to the Purchase and Sale Agreement resulting in net proceeds of $30.6</w:t>
      </w:r>
      <w:r>
        <w:rPr>
          <w:rFonts w:ascii="Times New Roman" w:hAnsi="Times New Roman"/>
          <w:color w:val="000000"/>
          <w:sz w:val="20"/>
        </w:rPr>
        <w:t xml:space="preserve"> </w:t>
      </w:r>
      <w:r>
        <w:rPr>
          <w:rFonts w:ascii="Times New Roman" w:hAnsi="Times New Roman"/>
          <w:b w:val="false"/>
          <w:color w:val="000000"/>
          <w:sz w:val="20"/>
        </w:rPr>
        <w:t>million. An additional $12.5</w:t>
      </w:r>
      <w:r>
        <w:rPr>
          <w:rFonts w:ascii="Times New Roman" w:hAnsi="Times New Roman"/>
          <w:color w:val="000000"/>
          <w:sz w:val="20"/>
        </w:rPr>
        <w:t xml:space="preserve"> </w:t>
      </w:r>
      <w:r>
        <w:rPr>
          <w:rFonts w:ascii="Times New Roman" w:hAnsi="Times New Roman"/>
          <w:b w:val="false"/>
          <w:color w:val="000000"/>
          <w:sz w:val="20"/>
        </w:rPr>
        <w:t>million was deposited by HCR in an escrow account to be released to Royalty Sub upon attainment of a pre-specified XIPERE sales milestone achieved no later than March 31, 2024. The terms of the Purchase and Sale Agreement also provide for an additional $20</w:t>
      </w:r>
      <w:r>
        <w:rPr>
          <w:rFonts w:ascii="Times New Roman" w:hAnsi="Times New Roman"/>
          <w:color w:val="000000"/>
          <w:sz w:val="20"/>
        </w:rPr>
        <w:t xml:space="preserve"> </w:t>
      </w:r>
      <w:r>
        <w:rPr>
          <w:rFonts w:ascii="Times New Roman" w:hAnsi="Times New Roman"/>
          <w:b w:val="false"/>
          <w:color w:val="000000"/>
          <w:sz w:val="20"/>
        </w:rPr>
        <w:t>million milestone payment to Royalty Sub upon attainment of a second pre-specified sales milestone related to 2024 XIPERE sales (the "Second Milestone Event").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Issuance costs pursuant to the Purchase and Sale Agreement consisting primarily of advisory and legal fees, totaled $1.9</w:t>
      </w:r>
      <w:r>
        <w:rPr>
          <w:rFonts w:ascii="Times New Roman" w:hAnsi="Times New Roman"/>
          <w:color w:val="000000"/>
          <w:sz w:val="20"/>
        </w:rPr>
        <w:t xml:space="preserve"> </w:t>
      </w:r>
      <w:r>
        <w:rPr>
          <w:rFonts w:ascii="Times New Roman" w:hAnsi="Times New Roman"/>
          <w:b w:val="false"/>
          <w:color w:val="000000"/>
          <w:sz w:val="20"/>
        </w:rPr>
        <w:t>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the activity of the Purchase and Sale Agreement (in thousands):</w:t>
        <w:br/>
      </w:r>
      <w:r>
        <w:rPr>
          <w:rFonts w:ascii="Times New Roman" w:hAnsi="Times New Roman"/>
          <w:color w:val="000000"/>
          <w:sz w:val="20"/>
        </w:rPr>
        <w:t> </w:t>
      </w:r>
    </w:p>
    <w:tbl>
      <w:tblPr>
        <w:tblW w:w="6975" w:type="dxa"/>
        <w:jc w:val="left"/>
        <w:tblInd w:w="0" w:type="dxa"/>
        <w:tblLayout w:type="fixed"/>
        <w:tblCellMar>
          <w:top w:w="28" w:type="dxa"/>
          <w:left w:w="28" w:type="dxa"/>
          <w:bottom w:w="28" w:type="dxa"/>
          <w:right w:w="28" w:type="dxa"/>
        </w:tblCellMar>
      </w:tblPr>
      <w:tblGrid>
        <w:gridCol w:w="5626"/>
        <w:gridCol w:w="146"/>
        <w:gridCol w:w="211"/>
        <w:gridCol w:w="676"/>
        <w:gridCol w:w="316"/>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Royalty purchase and sale agreement 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33,977</w:t>
            </w:r>
          </w:p>
        </w:tc>
        <w:tc>
          <w:tcPr>
            <w:tcW w:w="316"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Effective interest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amended and restated certificate of incorporation authorizes the Company to issue 200,000,000</w:t>
      </w:r>
      <w:r>
        <w:rPr>
          <w:rFonts w:ascii="Times New Roman" w:hAnsi="Times New Roman"/>
          <w:color w:val="000000"/>
          <w:sz w:val="20"/>
        </w:rPr>
        <w:t xml:space="preserve"> </w:t>
      </w:r>
      <w:r>
        <w:rPr>
          <w:rFonts w:ascii="Times New Roman" w:hAnsi="Times New Roman"/>
          <w:b w:val="false"/>
          <w:color w:val="000000"/>
          <w:sz w:val="20"/>
        </w:rPr>
        <w:t>shares of $0.001</w:t>
      </w:r>
      <w:r>
        <w:rPr>
          <w:rFonts w:ascii="Times New Roman" w:hAnsi="Times New Roman"/>
          <w:color w:val="000000"/>
          <w:sz w:val="20"/>
        </w:rPr>
        <w:t xml:space="preserve"> </w:t>
      </w:r>
      <w:r>
        <w:rPr>
          <w:rFonts w:ascii="Times New Roman" w:hAnsi="Times New Roman"/>
          <w:b w:val="false"/>
          <w:color w:val="000000"/>
          <w:sz w:val="20"/>
        </w:rPr>
        <w:t>par value common stock. As of September 30, 2023 and December 31, 2022, there were</w:t>
      </w:r>
      <w:r>
        <w:rPr>
          <w:rFonts w:ascii="Times New Roman" w:hAnsi="Times New Roman"/>
          <w:color w:val="000000"/>
          <w:sz w:val="20"/>
        </w:rPr>
        <w:t xml:space="preserve"> </w:t>
      </w:r>
      <w:r>
        <w:rPr>
          <w:rFonts w:ascii="Times New Roman" w:hAnsi="Times New Roman"/>
          <w:b w:val="false"/>
          <w:color w:val="000000"/>
          <w:sz w:val="20"/>
        </w:rPr>
        <w:t>62,107,311</w:t>
      </w:r>
      <w:r>
        <w:rPr>
          <w:rFonts w:ascii="Times New Roman" w:hAnsi="Times New Roman"/>
          <w:color w:val="000000"/>
          <w:sz w:val="20"/>
        </w:rPr>
        <w:t xml:space="preserve"> </w:t>
      </w:r>
      <w:r>
        <w:rPr>
          <w:rFonts w:ascii="Times New Roman" w:hAnsi="Times New Roman"/>
          <w:b w:val="false"/>
          <w:color w:val="000000"/>
          <w:sz w:val="20"/>
        </w:rPr>
        <w:t>and 60,639,827</w:t>
      </w:r>
      <w:r>
        <w:rPr>
          <w:rFonts w:ascii="Times New Roman" w:hAnsi="Times New Roman"/>
          <w:color w:val="000000"/>
          <w:sz w:val="20"/>
        </w:rPr>
        <w:t xml:space="preserve"> </w:t>
      </w:r>
      <w:r>
        <w:rPr>
          <w:rFonts w:ascii="Times New Roman" w:hAnsi="Times New Roman"/>
          <w:b w:val="false"/>
          <w:color w:val="000000"/>
          <w:sz w:val="20"/>
        </w:rPr>
        <w:t>shares of common stock outstanding,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 Purchase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2016, in connection with a loan agreement, the Company issued warrants to purchase up to 29,796</w:t>
      </w:r>
      <w:r>
        <w:rPr>
          <w:rFonts w:ascii="Times New Roman" w:hAnsi="Times New Roman"/>
          <w:color w:val="000000"/>
          <w:sz w:val="20"/>
        </w:rPr>
        <w:t xml:space="preserve"> </w:t>
      </w:r>
      <w:r>
        <w:rPr>
          <w:rFonts w:ascii="Times New Roman" w:hAnsi="Times New Roman"/>
          <w:b w:val="false"/>
          <w:color w:val="000000"/>
          <w:sz w:val="20"/>
        </w:rPr>
        <w:t>shares of common stock at a price per share of $10.74. The warrants expire in September 2026, or earlier upon the occurrence of specified mergers or acquisitions of the Company, and are immediately exercisable</w:t>
      </w:r>
      <w:r>
        <w:rPr>
          <w:rFonts w:ascii="Times New Roman" w:hAnsi="Times New Roman"/>
          <w:b w:val="false"/>
          <w:color w:val="1F497D"/>
          <w:sz w:val="20"/>
        </w:rPr>
        <w:t xml:space="preserve">. </w:t>
      </w:r>
      <w:r>
        <w:rPr>
          <w:rFonts w:ascii="Times New Roman" w:hAnsi="Times New Roman"/>
          <w:b w:val="false"/>
          <w:color w:val="000000"/>
          <w:sz w:val="20"/>
        </w:rPr>
        <w:t>The warrants were recorded in equity and had a weighted average remaining life of 3.0</w:t>
      </w:r>
      <w:r>
        <w:rPr>
          <w:rFonts w:ascii="Times New Roman" w:hAnsi="Times New Roman"/>
          <w:color w:val="FF0000"/>
          <w:sz w:val="20"/>
        </w:rPr>
        <w:t xml:space="preserve"> </w:t>
      </w:r>
      <w:r>
        <w:rPr>
          <w:rFonts w:ascii="Times New Roman" w:hAnsi="Times New Roman"/>
          <w:b w:val="false"/>
          <w:color w:val="000000"/>
          <w:sz w:val="20"/>
        </w:rPr>
        <w:t>years as of September 30,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Share-based compensation is accounted for in accordance with the provisions of ASC 718, </w:t>
      </w:r>
      <w:r>
        <w:rPr>
          <w:rFonts w:ascii="Times New Roman" w:hAnsi="Times New Roman"/>
          <w:b w:val="false"/>
          <w:i/>
          <w:color w:val="000000"/>
          <w:sz w:val="20"/>
        </w:rPr>
        <w:t>Compensation-Stock Compensation</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Share-based compensation expense for options granted under the 2016 Plan is reflected in the statements of operations as follows (in thousands):</w:t>
      </w:r>
    </w:p>
    <w:p>
      <w:pPr>
        <w:pStyle w:val="TextBody"/>
        <w:bidi w:val="0"/>
        <w:jc w:val="left"/>
        <w:rPr/>
      </w:pPr>
      <w:r>
        <w:rPr/>
        <w:t> </w:t>
      </w:r>
    </w:p>
    <w:tbl>
      <w:tblPr>
        <w:tblW w:w="6750"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146"/>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1,245</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the activity related to stock options granted under the 2011 Plan and the 2016 Plan during the nine months ended September 30, 2023:</w:t>
      </w:r>
    </w:p>
    <w:p>
      <w:pPr>
        <w:pStyle w:val="TextBody"/>
        <w:bidi w:val="0"/>
        <w:jc w:val="left"/>
        <w:rPr/>
      </w:pPr>
      <w:r>
        <w:rPr/>
        <w:t> </w:t>
      </w:r>
    </w:p>
    <w:tbl>
      <w:tblPr>
        <w:tblW w:w="6912" w:type="dxa"/>
        <w:jc w:val="left"/>
        <w:tblInd w:w="0" w:type="dxa"/>
        <w:tblLayout w:type="fixed"/>
        <w:tblCellMar>
          <w:top w:w="28" w:type="dxa"/>
          <w:left w:w="28" w:type="dxa"/>
          <w:bottom w:w="28" w:type="dxa"/>
          <w:right w:w="28" w:type="dxa"/>
        </w:tblCellMar>
      </w:tblPr>
      <w:tblGrid>
        <w:gridCol w:w="3646"/>
        <w:gridCol w:w="146"/>
        <w:gridCol w:w="146"/>
        <w:gridCol w:w="1036"/>
        <w:gridCol w:w="166"/>
        <w:gridCol w:w="146"/>
        <w:gridCol w:w="415"/>
        <w:gridCol w:w="920"/>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291" w:type="dxa"/>
            <w:tcBorders/>
            <w:shd w:fill="FFFFFF" w:val="cle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291" w:type="dxa"/>
            <w:tcBorders/>
            <w:shd w:fill="FFFFFF" w:val="cle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6,915,330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6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3,684,750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64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6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w:t>
            </w:r>
          </w:p>
        </w:tc>
        <w:tc>
          <w:tcPr>
            <w:tcW w:w="291" w:type="dxa"/>
            <w:tcBorders/>
            <w:shd w:fill="FFFFFF" w:val="clear"/>
            <w:vAlign w:val="center"/>
          </w:tcPr>
          <w:p>
            <w:pPr>
              <w:pStyle w:val="TableContents"/>
              <w:bidi w:val="0"/>
              <w:spacing w:before="0" w:after="283"/>
              <w:jc w:val="left"/>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10,116,074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2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exercisable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4,223,931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w:t>
            </w:r>
          </w:p>
        </w:tc>
        <w:tc>
          <w:tcPr>
            <w:tcW w:w="2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exercisable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5,366,708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Company had $5.1</w:t>
      </w:r>
      <w:r>
        <w:rPr>
          <w:rFonts w:ascii="Times New Roman" w:hAnsi="Times New Roman"/>
          <w:color w:val="000000"/>
          <w:sz w:val="20"/>
        </w:rPr>
        <w:t xml:space="preserve"> </w:t>
      </w:r>
      <w:r>
        <w:rPr>
          <w:rFonts w:ascii="Times New Roman" w:hAnsi="Times New Roman"/>
          <w:b w:val="false"/>
          <w:color w:val="000000"/>
          <w:sz w:val="20"/>
        </w:rPr>
        <w:t>million of unrecognized compensation expense related to unvested stock options, which is expected to be recognized over a weighted average period of 2.5</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Restricted Stock Units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granted restricted stock units (“RSUs”) to employees from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total share-based compensation expense related to RSUs is reflected in the statements of operations as follows (in thousands):</w:t>
      </w:r>
    </w:p>
    <w:p>
      <w:pPr>
        <w:pStyle w:val="TextBody"/>
        <w:bidi w:val="0"/>
        <w:jc w:val="left"/>
        <w:rPr/>
      </w:pPr>
      <w:r>
        <w:rPr/>
        <w:t> </w:t>
      </w:r>
    </w:p>
    <w:tbl>
      <w:tblPr>
        <w:tblW w:w="6600"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146"/>
        <w:gridCol w:w="146"/>
        <w:gridCol w:w="211"/>
        <w:gridCol w:w="42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592</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the activity related to RSUs during the nine months ended September 30, 2023:</w:t>
      </w:r>
    </w:p>
    <w:p>
      <w:pPr>
        <w:pStyle w:val="TextBody"/>
        <w:bidi w:val="0"/>
        <w:jc w:val="left"/>
        <w:rPr/>
      </w:pPr>
      <w:r>
        <w:rPr/>
        <w:t> </w:t>
      </w:r>
    </w:p>
    <w:tbl>
      <w:tblPr>
        <w:tblW w:w="7932" w:type="dxa"/>
        <w:jc w:val="left"/>
        <w:tblInd w:w="0" w:type="dxa"/>
        <w:tblLayout w:type="fixed"/>
        <w:tblCellMar>
          <w:top w:w="28" w:type="dxa"/>
          <w:left w:w="28" w:type="dxa"/>
          <w:bottom w:w="28" w:type="dxa"/>
          <w:right w:w="28" w:type="dxa"/>
        </w:tblCellMar>
      </w:tblPr>
      <w:tblGrid>
        <w:gridCol w:w="4426"/>
        <w:gridCol w:w="146"/>
        <w:gridCol w:w="146"/>
        <w:gridCol w:w="931"/>
        <w:gridCol w:w="166"/>
        <w:gridCol w:w="146"/>
        <w:gridCol w:w="523"/>
        <w:gridCol w:w="1157"/>
        <w:gridCol w:w="2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291" w:type="dxa"/>
            <w:tcBorders/>
            <w:shd w:fill="FFFFFF" w:val="cle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91" w:type="dxa"/>
            <w:tcBorders/>
            <w:shd w:fill="FFFFFF" w:val="cle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RSUs 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1,462,932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42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(471,390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42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2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RSUs outstanding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the Company had $1.7</w:t>
      </w:r>
      <w:r>
        <w:rPr>
          <w:rFonts w:ascii="Times New Roman" w:hAnsi="Times New Roman"/>
          <w:color w:val="000000"/>
          <w:sz w:val="20"/>
        </w:rPr>
        <w:t xml:space="preserve"> </w:t>
      </w:r>
      <w:r>
        <w:rPr>
          <w:rFonts w:ascii="Times New Roman" w:hAnsi="Times New Roman"/>
          <w:b w:val="false"/>
          <w:color w:val="000000"/>
          <w:sz w:val="20"/>
        </w:rPr>
        <w:t>million of unrecognized compensation expense related to the RSUs which is expected to be recognized over a weighted average period of 1.7</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Employee Stock Purchase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share-based compensation expense recognized for the 2016 ESPP is reflected in the statements of operations as follows (in thousands):</w:t>
      </w:r>
      <w:r>
        <w:rPr>
          <w:rFonts w:ascii="Times New Roman" w:hAnsi="Times New Roman"/>
          <w:color w:val="000000"/>
          <w:sz w:val="20"/>
        </w:rPr>
        <w:t xml:space="preserve"> </w:t>
      </w:r>
    </w:p>
    <w:p>
      <w:pPr>
        <w:pStyle w:val="TextBody"/>
        <w:bidi w:val="0"/>
        <w:jc w:val="left"/>
        <w:rPr/>
      </w:pPr>
      <w:r>
        <w:rPr/>
        <w:t> </w:t>
      </w:r>
    </w:p>
    <w:tbl>
      <w:tblPr>
        <w:tblW w:w="6557" w:type="dxa"/>
        <w:jc w:val="left"/>
        <w:tblInd w:w="0" w:type="dxa"/>
        <w:tblLayout w:type="fixed"/>
        <w:tblCellMar>
          <w:top w:w="28" w:type="dxa"/>
          <w:left w:w="28" w:type="dxa"/>
          <w:bottom w:w="28" w:type="dxa"/>
          <w:right w:w="28" w:type="dxa"/>
        </w:tblCellMar>
      </w:tblPr>
      <w:tblGrid>
        <w:gridCol w:w="2311"/>
        <w:gridCol w:w="146"/>
        <w:gridCol w:w="291"/>
        <w:gridCol w:w="478"/>
        <w:gridCol w:w="201"/>
        <w:gridCol w:w="201"/>
        <w:gridCol w:w="291"/>
        <w:gridCol w:w="291"/>
        <w:gridCol w:w="146"/>
        <w:gridCol w:w="146"/>
        <w:gridCol w:w="261"/>
        <w:gridCol w:w="391"/>
        <w:gridCol w:w="180"/>
        <w:gridCol w:w="180"/>
        <w:gridCol w:w="261"/>
        <w:gridCol w:w="39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2023, the Company issued 68,109</w:t>
      </w:r>
      <w:r>
        <w:rPr>
          <w:rFonts w:ascii="Times New Roman" w:hAnsi="Times New Roman"/>
          <w:color w:val="000000"/>
          <w:sz w:val="20"/>
        </w:rPr>
        <w:t xml:space="preserve"> </w:t>
      </w:r>
      <w:r>
        <w:rPr>
          <w:rFonts w:ascii="Times New Roman" w:hAnsi="Times New Roman"/>
          <w:b w:val="false"/>
          <w:color w:val="000000"/>
          <w:sz w:val="20"/>
        </w:rPr>
        <w:t>shares of common stock purchased under the 2016 ESPP.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 Summary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2022, the Company signed an amended office lease agreement to lease approximately 14,000</w:t>
      </w:r>
      <w:r>
        <w:rPr>
          <w:rFonts w:ascii="Times New Roman" w:hAnsi="Times New Roman"/>
          <w:color w:val="000000"/>
          <w:sz w:val="20"/>
        </w:rPr>
        <w:t xml:space="preserve"> </w:t>
      </w:r>
      <w:r>
        <w:rPr>
          <w:rFonts w:ascii="Times New Roman" w:hAnsi="Times New Roman"/>
          <w:b w:val="false"/>
          <w:color w:val="000000"/>
          <w:sz w:val="20"/>
        </w:rPr>
        <w:t>square feet of office space in Alpharetta, Georgia for its corporate headquarters. The amended office lease agreement is for a four year</w:t>
      </w:r>
      <w:r>
        <w:rPr>
          <w:rFonts w:ascii="Times New Roman" w:hAnsi="Times New Roman"/>
          <w:color w:val="000000"/>
          <w:sz w:val="20"/>
        </w:rPr>
        <w:t xml:space="preserve"> </w:t>
      </w:r>
      <w:r>
        <w:rPr>
          <w:rFonts w:ascii="Times New Roman" w:hAnsi="Times New Roman"/>
          <w:b w:val="false"/>
          <w:color w:val="000000"/>
          <w:sz w:val="20"/>
        </w:rPr>
        <w:t>term with a renewal option for an additional 38 months. Rental payments are $30,747</w:t>
      </w:r>
      <w:r>
        <w:rPr>
          <w:rFonts w:ascii="Times New Roman" w:hAnsi="Times New Roman"/>
          <w:color w:val="000000"/>
          <w:sz w:val="20"/>
        </w:rPr>
        <w:t xml:space="preserve"> </w:t>
      </w:r>
      <w:r>
        <w:rPr>
          <w:rFonts w:ascii="Times New Roman" w:hAnsi="Times New Roman"/>
          <w:b w:val="false"/>
          <w:color w:val="000000"/>
          <w:sz w:val="20"/>
        </w:rPr>
        <w:t>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Equipment leases with an initial term of 12 months or less are not recorded with operating lease liabilities. The Company recognizes expense for these leases on a straight-line basis over the lease term. The equipment leases were deemed to be immaterial.</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Service Providers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License and Other Agreements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Bausch + Lomb</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XIPERE, the “Products”), subject to specified exceptions, in the United States and Canada (the “Territory”) for the treatment of ophthalmology indications, including non-infectious uveitis.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Bausch License Agreement, Bausch paid the Company an aggregate of $20.0</w:t>
      </w:r>
      <w:r>
        <w:rPr>
          <w:rFonts w:ascii="Times New Roman" w:hAnsi="Times New Roman"/>
          <w:color w:val="000000"/>
          <w:sz w:val="20"/>
        </w:rPr>
        <w:t xml:space="preserve"> </w:t>
      </w:r>
      <w:r>
        <w:rPr>
          <w:rFonts w:ascii="Times New Roman" w:hAnsi="Times New Roman"/>
          <w:b w:val="false"/>
          <w:color w:val="000000"/>
          <w:sz w:val="20"/>
        </w:rPr>
        <w:t>million in upfront and milestone payments.</w:t>
      </w:r>
      <w:r>
        <w:rPr>
          <w:rFonts w:ascii="Times New Roman" w:hAnsi="Times New Roman"/>
          <w:color w:val="000000"/>
          <w:sz w:val="20"/>
        </w:rPr>
        <w:t xml:space="preserve"> </w:t>
      </w:r>
      <w:r>
        <w:rPr>
          <w:rFonts w:ascii="Times New Roman" w:hAnsi="Times New Roman"/>
          <w:b w:val="false"/>
          <w:color w:val="000000"/>
          <w:sz w:val="20"/>
        </w:rPr>
        <w:t>In addition, Bausch has agreed to pay up to an aggregate of $55.0</w:t>
      </w:r>
      <w:r>
        <w:rPr>
          <w:rFonts w:ascii="Times New Roman" w:hAnsi="Times New Roman"/>
          <w:color w:val="000000"/>
          <w:sz w:val="20"/>
        </w:rPr>
        <w:t xml:space="preserve"> </w:t>
      </w:r>
      <w:r>
        <w:rPr>
          <w:rFonts w:ascii="Times New Roman" w:hAnsi="Times New Roman"/>
          <w:b w:val="false"/>
          <w:color w:val="000000"/>
          <w:sz w:val="20"/>
        </w:rPr>
        <w:t>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w:t>
      </w:r>
      <w:r>
        <w:rPr>
          <w:rFonts w:ascii="Times New Roman" w:hAnsi="Times New Roman"/>
          <w:color w:val="000000"/>
          <w:sz w:val="20"/>
        </w:rPr>
        <w:t xml:space="preserve"> </w:t>
      </w:r>
      <w:r>
        <w:rPr>
          <w:rFonts w:ascii="Times New Roman" w:hAnsi="Times New Roman"/>
          <w:b w:val="false"/>
          <w:color w:val="000000"/>
          <w:sz w:val="20"/>
        </w:rPr>
        <w:t>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 to the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Arctic Vision (Hong Kong) Limited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reasonable efforts to pursue the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Arctic License Agreement, Arctic Vision paid the Company an aggregate of $8.0</w:t>
      </w:r>
      <w:r>
        <w:rPr>
          <w:rFonts w:ascii="Times New Roman" w:hAnsi="Times New Roman"/>
          <w:color w:val="000000"/>
          <w:sz w:val="20"/>
        </w:rPr>
        <w:t xml:space="preserve"> </w:t>
      </w:r>
      <w:r>
        <w:rPr>
          <w:rFonts w:ascii="Times New Roman" w:hAnsi="Times New Roman"/>
          <w:b w:val="false"/>
          <w:color w:val="000000"/>
          <w:sz w:val="20"/>
        </w:rPr>
        <w:t>million in upfront and milestone payments. In addition, Arctic Vision has agreed to pay the Company up</w:t>
      </w:r>
      <w:r>
        <w:rPr>
          <w:rFonts w:ascii="Times New Roman" w:hAnsi="Times New Roman"/>
          <w:color w:val="000000"/>
          <w:sz w:val="20"/>
        </w:rPr>
        <w:t xml:space="preserve"> </w:t>
      </w:r>
      <w:r>
        <w:rPr>
          <w:rFonts w:ascii="Times New Roman" w:hAnsi="Times New Roman"/>
          <w:b w:val="false"/>
          <w:color w:val="000000"/>
          <w:sz w:val="20"/>
        </w:rPr>
        <w:t>to $24.0</w:t>
      </w:r>
      <w:r>
        <w:rPr>
          <w:rFonts w:ascii="Times New Roman" w:hAnsi="Times New Roman"/>
          <w:color w:val="000000"/>
          <w:sz w:val="20"/>
        </w:rPr>
        <w:t xml:space="preserve"> </w:t>
      </w:r>
      <w:r>
        <w:rPr>
          <w:rFonts w:ascii="Times New Roman" w:hAnsi="Times New Roman"/>
          <w:b w:val="false"/>
          <w:color w:val="000000"/>
          <w:sz w:val="20"/>
        </w:rPr>
        <w:t>million in</w:t>
      </w:r>
      <w:r>
        <w:rPr>
          <w:rFonts w:ascii="Times New Roman" w:hAnsi="Times New Roman"/>
          <w:color w:val="000000"/>
          <w:sz w:val="20"/>
        </w:rPr>
        <w:t xml:space="preserve"> </w:t>
      </w:r>
      <w:r>
        <w:rPr>
          <w:rFonts w:ascii="Times New Roman" w:hAnsi="Times New Roman"/>
          <w:b w:val="false"/>
          <w:color w:val="000000"/>
          <w:sz w:val="20"/>
        </w:rPr>
        <w:t>development and sales milestones. Further, during the applicable royalty term, the Company will also be entitled to receive tiered royalties of ten</w:t>
      </w:r>
      <w:r>
        <w:rPr>
          <w:rFonts w:ascii="Times New Roman" w:hAnsi="Times New Roman"/>
          <w:color w:val="000000"/>
          <w:sz w:val="20"/>
        </w:rPr>
        <w:t xml:space="preserve"> </w:t>
      </w:r>
      <w:r>
        <w:rPr>
          <w:rFonts w:ascii="Times New Roman" w:hAnsi="Times New Roman"/>
          <w:b w:val="false"/>
          <w:color w:val="000000"/>
          <w:sz w:val="20"/>
        </w:rPr>
        <w:t>to twelve</w:t>
      </w:r>
      <w:r>
        <w:rPr>
          <w:rFonts w:ascii="Times New Roman" w:hAnsi="Times New Roman"/>
          <w:color w:val="000000"/>
          <w:sz w:val="20"/>
        </w:rPr>
        <w:t xml:space="preserve"> </w:t>
      </w:r>
      <w:r>
        <w:rPr>
          <w:rFonts w:ascii="Times New Roman" w:hAnsi="Times New Roman"/>
          <w:b w:val="false"/>
          <w:color w:val="000000"/>
          <w:sz w:val="20"/>
        </w:rPr>
        <w:t>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 to the consolidated financial statements.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w:t>
      </w:r>
      <w:r>
        <w:rPr>
          <w:rFonts w:ascii="Times New Roman" w:hAnsi="Times New Roman"/>
          <w:color w:val="000000"/>
          <w:sz w:val="20"/>
        </w:rPr>
        <w:t xml:space="preserve"> </w:t>
      </w:r>
      <w:r>
        <w:rPr>
          <w:rFonts w:ascii="Times New Roman" w:hAnsi="Times New Roman"/>
          <w:b w:val="false"/>
          <w:color w:val="000000"/>
          <w:sz w:val="20"/>
        </w:rPr>
        <w:t>received an aggregate of $3.0</w:t>
      </w:r>
      <w:r>
        <w:rPr>
          <w:rFonts w:ascii="Times New Roman" w:hAnsi="Times New Roman"/>
          <w:color w:val="000000"/>
          <w:sz w:val="20"/>
        </w:rPr>
        <w:t xml:space="preserve"> </w:t>
      </w:r>
      <w:r>
        <w:rPr>
          <w:rFonts w:ascii="Times New Roman" w:hAnsi="Times New Roman"/>
          <w:b w:val="false"/>
          <w:color w:val="000000"/>
          <w:sz w:val="20"/>
        </w:rPr>
        <w:t>million in consideration for the expansion of the Arctic Territory.</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Other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Measurements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material financial instruments at September 30, 2023 and December 31, 2022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 The fair value of liability related to the sales of future royalties approximates the carrying value due to the short period of time that has elapsed from the origination date and the absence of any identifiable factors that would be reasonably expected to materially impact the fair value of the liability.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transfers between Levels 1, 2 and 3 during the nine months ended September 30, 2023 and the year ended December 31,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Net Loss Per Share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pStyle w:val="TextBody"/>
        <w:bidi w:val="0"/>
        <w:spacing w:before="120" w:after="283"/>
        <w:jc w:val="left"/>
        <w:rPr/>
      </w:pPr>
      <w:r>
        <w:rPr/>
        <w:t> </w:t>
      </w:r>
    </w:p>
    <w:tbl>
      <w:tblPr>
        <w:tblW w:w="5664"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93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10,116,074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7,218,605</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1,462,932</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purchase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11,015,048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8,711,333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Subsequent Event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November 1, 2023, the Company</w:t>
      </w: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val="false"/>
          <w:color w:val="000000"/>
          <w:sz w:val="20"/>
        </w:rPr>
        <w:t>entered into a license agreement (the “License Agreement”) with BioCryst Pharmaceuticals, Inc. (“BioCryst”)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(“DME”).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will receive an upfront license fee of $5.0</w:t>
      </w:r>
      <w:r>
        <w:rPr>
          <w:rFonts w:ascii="Times New Roman" w:hAnsi="Times New Roman"/>
          <w:color w:val="000000"/>
          <w:sz w:val="20"/>
        </w:rPr>
        <w:t xml:space="preserve"> </w:t>
      </w:r>
      <w:r>
        <w:rPr>
          <w:rFonts w:ascii="Times New Roman" w:hAnsi="Times New Roman"/>
          <w:b w:val="false"/>
          <w:color w:val="000000"/>
          <w:sz w:val="20"/>
        </w:rPr>
        <w:t>million in connection with signing of the License Agreement. In addition, the Company is eligible to receive up to an additional $30.0</w:t>
      </w:r>
      <w:r>
        <w:rPr>
          <w:rFonts w:ascii="Times New Roman" w:hAnsi="Times New Roman"/>
          <w:color w:val="000000"/>
          <w:sz w:val="20"/>
        </w:rPr>
        <w:t xml:space="preserve"> </w:t>
      </w:r>
      <w:r>
        <w:rPr>
          <w:rFonts w:ascii="Times New Roman" w:hAnsi="Times New Roman"/>
          <w:b w:val="false"/>
          <w:color w:val="000000"/>
          <w:sz w:val="20"/>
        </w:rPr>
        <w:t>million in clinical and regulatory milestone payments, and up to a total of $47.5</w:t>
      </w:r>
      <w:r>
        <w:rPr>
          <w:rFonts w:ascii="Times New Roman" w:hAnsi="Times New Roman"/>
          <w:color w:val="000000"/>
          <w:sz w:val="20"/>
        </w:rPr>
        <w:t xml:space="preserve"> </w:t>
      </w:r>
      <w:r>
        <w:rPr>
          <w:rFonts w:ascii="Times New Roman" w:hAnsi="Times New Roman"/>
          <w:b w:val="false"/>
          <w:color w:val="000000"/>
          <w:sz w:val="20"/>
        </w:rPr>
        <w:t>million in a series of post-approval sales-based milestone payments based on the achievement of annual global net product sales milestones up to $2.0</w:t>
      </w:r>
      <w:r>
        <w:rPr>
          <w:rFonts w:ascii="Times New Roman" w:hAnsi="Times New Roman"/>
          <w:color w:val="000000"/>
          <w:sz w:val="20"/>
        </w:rPr>
        <w:t xml:space="preserve"> </w:t>
      </w:r>
      <w:r>
        <w:rPr>
          <w:rFonts w:ascii="Times New Roman" w:hAnsi="Times New Roman"/>
          <w:b w:val="false"/>
          <w:color w:val="000000"/>
          <w:sz w:val="20"/>
        </w:rPr>
        <w:t>billion. Further, during the royalty term, BioCryst has also agreed to pay the Company tiered mid-single digit royalties on annual global net product sales, with the highest royalty rate applied to sales over $1.5</w:t>
      </w:r>
      <w:r>
        <w:rPr>
          <w:rFonts w:ascii="Times New Roman" w:hAnsi="Times New Roman"/>
          <w:color w:val="000000"/>
          <w:sz w:val="20"/>
        </w:rPr>
        <w:t xml:space="preserve"> </w:t>
      </w:r>
      <w:r>
        <w:rPr>
          <w:rFonts w:ascii="Times New Roman" w:hAnsi="Times New Roman"/>
          <w:b w:val="false"/>
          <w:color w:val="000000"/>
          <w:sz w:val="20"/>
        </w:rPr>
        <w:t>billion, subject to reductions in specified circumstances.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BioCryst will be responsible for all development, regulatory and commercialization activities for avoralstat. The Company is responsible for supplying SCS Microinjectors to meet BioCryst’s reasonable needs.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License Agreement, unless earlier terminated, will expire (a) on a country-by-country basis upon the expiration of the royalty term in such country or (b) in its entirety upon the expiration of all payment obligations of BioCryst under the License Agreement in all countries pursuant to clause (a). Each party has the right terminate the License Agreement (i) upon a material breach of the License Agreement by the other party, subject to a specified cure period and specified exceptions, or (ii) if the other party encounters bankruptcy or insolvency. The Company may terminate the License Agreement if BioCryst or any of its sublicensees (a “Sublicensee”) commences a legal action challenging the validity, enforceability or scope of any of the licensed patents, provided that with respect to any such action initiated by a Sublicensee (a “Sublicensee Action), the Company may terminate the License Agreement if the Sublicensee Action is not terminated within a specified period of time following BioCryst’s receipt of written notice from the Company or if BioCryst does not terminate the applicable sublicense, in each case within a specified period of time. BioCryst may terminate the License Agreement (i) immediately upon written notice to the Company if, after exercising commercially reasonable efforts, BioCryst determines in good faith that it is not advisable to continue development or commercialization of avoralstat as a result of a material safety issue and (ii) in its entirety or in part on a country-by-country basis, for any or no reason, upon prior written notice to the Company, provided that in the event of such a termination, BioCryst shall not, for a period of two years from the date of such a termination, initiate in the territory subject to the termination a Phase 3 clinical trial in which avoralstat is administered to the suprachoroidal space using a device other than the SCS Microinjector.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Chair of the Board of Directors of BioCryst also serves on the Company’s Board of Directors. No amounts related to the License Agreement were recorded in these interim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2022 appearing in our Annual Report on Form 10-K filed with the SEC on March 14,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biopharmaceutical company focused on revolutionizing the delivery of therapies to the back of the eye through the suprachoroidal space, or SCS</w:t>
      </w:r>
      <w:r>
        <w:rPr>
          <w:rFonts w:ascii="Times New Roman" w:hAnsi="Times New Roman"/>
          <w:b w:val="false"/>
          <w:color w:val="000000"/>
          <w:sz w:val="13"/>
        </w:rPr>
        <w:t>®</w:t>
      </w:r>
      <w:r>
        <w:rPr>
          <w:rFonts w:ascii="Times New Roman" w:hAnsi="Times New Roman"/>
          <w:b w:val="false"/>
          <w:color w:val="000000"/>
          <w:sz w:val="20"/>
        </w:rPr>
        <w:t>. Our novel SCS injection platform, utilizing our proprietary SCS Microinjector</w:t>
      </w:r>
      <w:r>
        <w:rPr>
          <w:rFonts w:ascii="Times New Roman" w:hAnsi="Times New Roman"/>
          <w:b w:val="false"/>
          <w:color w:val="000000"/>
          <w:sz w:val="13"/>
        </w:rPr>
        <w:t>®</w:t>
      </w:r>
      <w:r>
        <w:rPr>
          <w:rFonts w:ascii="Times New Roman" w:hAnsi="Times New Roman"/>
          <w:b w:val="false"/>
          <w:color w:val="000000"/>
          <w:sz w:val="20"/>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hAnsi="Times New Roman"/>
          <w:b w:val="false"/>
          <w:color w:val="000000"/>
          <w:sz w:val="13"/>
        </w:rPr>
        <w:t xml:space="preserve">® </w:t>
      </w:r>
      <w:r>
        <w:rPr>
          <w:rFonts w:ascii="Times New Roman" w:hAnsi="Times New Roman"/>
          <w:b w:val="false"/>
          <w:color w:val="000000"/>
          <w:sz w:val="20"/>
        </w:rPr>
        <w:t>(triamcinolone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We believe that we are creating a broad therapeutic platform for developing product candidates to treat serious eye diseases.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current development status of our pipeline of internal product candidates and external collaborations is summarized in the chart below:</w:t>
      </w:r>
    </w:p>
    <w:p>
      <w:pPr>
        <w:pStyle w:val="TextBody"/>
        <w:bidi w:val="0"/>
        <w:spacing w:before="0" w:after="120"/>
        <w:jc w:val="center"/>
        <w:rPr/>
      </w:pPr>
      <w:r>
        <w:rPr/>
        <w:drawing>
          <wp:inline distT="0" distB="0" distL="0" distR="0">
            <wp:extent cx="6858000" cy="342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429000"/>
                    </a:xfrm>
                    <a:prstGeom prst="rect">
                      <a:avLst/>
                    </a:prstGeom>
                  </pic:spPr>
                </pic:pic>
              </a:graphicData>
            </a:graphic>
          </wp:inline>
        </w:drawing>
      </w: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Commercial Product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XIPERE</w:t>
      </w:r>
      <w:r>
        <w:rPr>
          <w:rFonts w:ascii="Times New Roman" w:hAnsi="Times New Roman"/>
          <w:b w:val="false"/>
          <w:color w:val="000000"/>
          <w:sz w:val="13"/>
        </w:rPr>
        <w:t xml:space="preserve">® </w:t>
      </w:r>
      <w:r>
        <w:rPr>
          <w:rFonts w:ascii="Times New Roman" w:hAnsi="Times New Roman"/>
          <w:b w:val="false"/>
          <w:color w:val="000000"/>
          <w:sz w:val="20"/>
        </w:rPr>
        <w:t>(triamcinolone acetonide injectable suspension) for suprachoroidal use, was approved by the FDA in October 2021. XIPERE is the first approved therapeutic delivered into the SCS, the first commercial product developed by us and the first therapy for macular edema associated with uveitis. XIPERE commercialization rights are licensed to Bausch + Lomb in the United States and Canada and Arctic Vision in Asia.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Development Pipeline</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CLS-AX (axitinib injectable suspension)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CLS-AX, our most advanced product candidate, is our proprietary suspension of the TKI axitinib for suprachoroidal injection delivered via our SCS Microinjector. We are developing CLS-AX for administration to the SCS as a long-acting therapy for neovascular age-related macular degeneration (wet AMD), a retinal degenerative disease that causes a progressive loss of central vision.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February 2023, we announced the final, positive results from the OASIS Phase 1/2a clinical trial in wet AMD. CLS-AX was well-tolerated and demonstrated a favorable safety profile across all cohorts. The full extension data for Cohorts 3 and 4 showed promising durability and signs of biologic effect.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the results from the OASIS trial, we are conducting a randomized, controlled, double-masked, Phase 2b clinical trial of CLS-AX for the treatment of wet AMD, which we refer to as ODYSSEY. ODYSSEY will compare CLS-AX suprachoroidal injection and aflibercept intravitreal injection over 36 weeks and is expected to have 60 total participants with a 2:1 randomization. The primary outcome measure is a mean change in best corrected visual acuity from baseline to week 36. The secondary outcome measures are changes in visual function and ocular anatomy, need for supplemental treatment and treatment burden as measured by total injections over the trial duration. We began enrolling participants in May 2023 and randomized our first participants in July 2023. On October 31, 2023, we completed the recruitment of participants. We expect that the final participant will be randomized to the CLS-AX treatment of the aflibercept comparator arm by the middle of December 2023 and that we will report topline data in the third quarter of 2024.</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Preclinical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an experienced team of scientists and researchers evaluating small molecules that may be utilized as potential treatment options for back of the eye diseases utilizing our SCS Microinjector for delivery in the suprachoroidal space.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External Collaborations Pipeline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Health, Arctic Vision, REGENXBIO, Inc., Aura Biosciences and BioCryst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2023, Arctic Vision announced the acceptance in Australia of its new drug application for suprachoroidal use of Arcatus</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(known as XIPERE in the United States) for the treatment of uveitic macular edema.</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ISO and EC Certifications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received the International Organization for Standardization (ISO) Certification EN ISO 13485:2016 for “The design, development, and manufacture of sterile piston syringes, needles, and associated accessories for the area of ophthalmology.” The certificate is available on our website. The information contained on our website is not incorporated by reference into this Quarterly Report on Form 10-Q.</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received European Community (EC) Certification for the SCS Microinjector from our Notified Body, Intertek Medical Notified Body, AB. The Certificate of Conformance with the Medical Device Regulation 2017/745, Annex IV was issued July 21, 2023, with the Intended Purpose of the SCS Microinjector as "delivery of triamcinolone acetonide injectable suspension, 40 mg/mL to the suprachoroidal space of the eye".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Royalty Purchase and Sale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8, 2022, or the Closing Date, we, through our wholly-owned subsidiary Clearside Royalty LLC, a Delaware limited liability company, or Royalty Sub, entered into a Purchase and Sale Agreement, or the Purchase and Sale Agreement, with entities managed by HealthCare Royalty Management, LLC, or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or the Aura License Agreement, the REGENXBIO Option and License Agreement and any and all out-license agreements following the Closing Date for, or related to XIPERE</w:t>
      </w:r>
      <w:r>
        <w:rPr>
          <w:rFonts w:ascii="Times New Roman" w:hAnsi="Times New Roman"/>
          <w:color w:val="000000"/>
          <w:sz w:val="20"/>
        </w:rPr>
        <w:t xml:space="preserve"> </w:t>
      </w:r>
      <w:r>
        <w:rPr>
          <w:rFonts w:ascii="Times New Roman" w:hAnsi="Times New Roman"/>
          <w:b w:val="false"/>
          <w:color w:val="000000"/>
          <w:sz w:val="20"/>
        </w:rPr>
        <w:t>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or the Royalties, in exchange for up to $65 million. In connection with this transaction, we assigned the Arctic Vision License Agreement, Bausch License Agreement, Aura License Agreement, REGENXBIO Option and License Agreement, our license agreement with Emory University and The Georgia Tech Research Corporation and related intellectual property rights to Royalty Sub.</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terms of the Purchase and Sale Agreement, Royalty Sub received an initial payment of $32.1 million, representing the $32.5 million to which we were entitled, net of certain of HCR's transaction-related expenses which we agreed to reimburse. An additional $12.5 million was deposited by HCR in an escrow account to be released to Royalty Sub upon attainment of a pre-specified XIPERE sales milestone achieved no later than March 31, 2024. The terms of the Purchase and Sale Agreement also provide for an additional $20.0 million milestone payment to Royalty Sub upon attainment of a second pre-specified sales milestone related to 2024 XIPERE sales, or the Second Milestone Event.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Purchase and Sale Agreement will automatically expire, and the payment of Royalties from the Royalty Sub to HCR will cease, when HCR has received payments of the Royalties equal to 2.5 times the aggregate amount of payments made by HCR under the Agreement if the Second Milestone Event is achieved on or prior to December 31, 2024, or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or the Alternative Cap. In the event of a change in control, acquiror will have the option to make a payment to HCR of the Initial Cap or the Alternative Cap, depending on which is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Outlook</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September 30, 2023, we had an accumulated deficit of $316.1 million. We recorded net losses of $9.3 million and $7.8 million for the three months ended September 30, 2023 and 2022, respectively, and net losses of $27.7 million and $23.3 million for the nine months ended September 30, 2023 and 2022,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pStyle w:val="TextBody"/>
        <w:bidi w:val="0"/>
        <w:jc w:val="left"/>
        <w:rPr>
          <w:rFonts w:ascii="Times New Roman" w:hAnsi="Times New Roman"/>
          <w:sz w:val="20"/>
        </w:rPr>
      </w:pPr>
      <w:r>
        <w:rPr>
          <w:rFonts w:ascii="Times New Roman" w:hAnsi="Times New Roman"/>
          <w:b w:val="false"/>
          <w:color w:val="000000"/>
          <w:sz w:val="20"/>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the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the remainder of 2023 as a result of our Phase 2b clinical trial of CLS-AX, as well as continuing our pipeline development. We also will continue our efforts to discover, research and develop additional product candidates and regulatory approvals in additional regions for XIPERE for the treatment of macular edema associated with uveitis.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Other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not generated any revenue from the sale of XIPERE and we do not expect to generate any other product revenue unless or until we obtain regulatory approval for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licenses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consist primarily of costs incurred for the research and development of our preclinical and clinical product candidates,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incurred under agreements with contract research organizations, or CROs, as well as contract manufacturing organizations and consultants that conduct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nonclinical activities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submitting regulatory approval applications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for our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depreciation expense for assets used in research and development activities.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expense research and development costs to operations as incurred. These costs include preclinical activities, such as manufacturing and stability and toxicology studies, that are supportive of the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shows our research and development expenses by program for the three and nine months ended September 30, 2023 and 2022 (in thousands).</w:t>
      </w:r>
    </w:p>
    <w:tbl>
      <w:tblPr>
        <w:tblW w:w="8372"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211"/>
        <w:gridCol w:w="571"/>
        <w:gridCol w:w="146"/>
        <w:gridCol w:w="146"/>
        <w:gridCol w:w="211"/>
        <w:gridCol w:w="676"/>
        <w:gridCol w:w="146"/>
        <w:gridCol w:w="146"/>
        <w:gridCol w:w="211"/>
        <w:gridCol w:w="676"/>
        <w:gridCol w:w="5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XIPERE (uveitis program)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w:t>
            </w:r>
          </w:p>
        </w:tc>
        <w:tc>
          <w:tcPr>
            <w:tcW w:w="5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CLS-AX (wet AMD program)</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4,623</w:t>
            </w:r>
          </w:p>
        </w:tc>
        <w:tc>
          <w:tcPr>
            <w:tcW w:w="5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Unallocated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duration, costs and timing of clinical trials and development of our product candidates will depend on a variety of factors that may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process development, scale-up and manufacturing of our product candidates including the SCS Microinjector for clinical trials and for requirements associated with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trials required for approval and any requirement for extension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additional safety monitoring or other studies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duration of patient follow-up;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efficacy and safety profiles of the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consists of the accrued interest and interest income earned on our cash and cash equivalents. Interest income is not considered significant to our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Non-cash Interest Expense on Liability Related to the Sales of Future Royalties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Non-cash interest expense on liability related to the sales of future royalties consists of imputed interest on the carrying value of the liability and the amortization of the related issuance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2023, there were no significant changes to our critical accounting policies disclosed in our audited financial statements for the year ended December 31, 2022, which are included in our Annual Report on Form 10-K, as filed with the SEC on March 14,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 for the Three Months Ended September 30, 2023 and 2022</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our results of operations for the three months ended September 30, 2023 and 2022.</w:t>
      </w:r>
    </w:p>
    <w:tbl>
      <w:tblPr>
        <w:tblW w:w="7652" w:type="dxa"/>
        <w:jc w:val="left"/>
        <w:tblInd w:w="0" w:type="dxa"/>
        <w:tblLayout w:type="fixed"/>
        <w:tblCellMar>
          <w:top w:w="28" w:type="dxa"/>
          <w:left w:w="28" w:type="dxa"/>
          <w:bottom w:w="28" w:type="dxa"/>
          <w:right w:w="28" w:type="dxa"/>
        </w:tblCellMar>
      </w:tblPr>
      <w:tblGrid>
        <w:gridCol w:w="3241"/>
        <w:gridCol w:w="146"/>
        <w:gridCol w:w="211"/>
        <w:gridCol w:w="631"/>
        <w:gridCol w:w="166"/>
        <w:gridCol w:w="146"/>
        <w:gridCol w:w="211"/>
        <w:gridCol w:w="631"/>
        <w:gridCol w:w="166"/>
        <w:gridCol w:w="146"/>
        <w:gridCol w:w="342"/>
        <w:gridCol w:w="1024"/>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Period-to-Period</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4" w:type="dxa"/>
            <w:gridSpan w:val="1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w:t>
            </w:r>
          </w:p>
        </w:tc>
        <w:tc>
          <w:tcPr>
            <w:tcW w:w="5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2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5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interest expense on liability</w:t>
              <w:br/>
              <w:t>   related to the sales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License and other revenue</w:t>
      </w:r>
      <w:r>
        <w:rPr>
          <w:rFonts w:ascii="Times New Roman" w:hAnsi="Times New Roman"/>
          <w:b w:val="false"/>
          <w:color w:val="000000"/>
          <w:sz w:val="20"/>
        </w:rPr>
        <w:t>. In the three months ended September 30, 2023 and 2022, we recognized $0.9 million and $0.3 million, respectively, of revenue associated with our license agreements, which includes revenue for services and the sales of our SCS Microinjector kits to our licensees.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Cost of goods sold</w:t>
      </w:r>
      <w:r>
        <w:rPr>
          <w:rFonts w:ascii="Times New Roman" w:hAnsi="Times New Roman"/>
          <w:b w:val="false"/>
          <w:color w:val="000000"/>
          <w:sz w:val="20"/>
        </w:rPr>
        <w:t>. For the three months ended September 30, 2023, we recognized $0.1 million in cost of goods sold related to the sales of our SCS Microinjector kits to our licensees.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w:t>
      </w:r>
      <w:r>
        <w:rPr>
          <w:rFonts w:ascii="Times New Roman" w:hAnsi="Times New Roman"/>
          <w:b w:val="false"/>
          <w:color w:val="000000"/>
          <w:sz w:val="20"/>
        </w:rPr>
        <w:t>. Research and development expense increased by $0.5 million from $4.6 million for the three months ended September 30, 2022 to $5.1 million for the three months ended September 30, 2023. This increase was primarily due to a $1.3 million increase in costs related to the CLS-AX program, which includes costs for ODYSSEY, our Phase 2b clinical trial. This was partially offset by a $0.4 million decrease for a research and development tax credit received in the current period and a $0.2 million decrease in costs related to our other preclinical programs.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w:t>
      </w:r>
      <w:r>
        <w:rPr>
          <w:rFonts w:ascii="Times New Roman" w:hAnsi="Times New Roman"/>
          <w:b w:val="false"/>
          <w:color w:val="000000"/>
          <w:sz w:val="20"/>
        </w:rPr>
        <w:t>. General and administrative expenses increased by $0.3 million, from $2.4 million for the three months ended September 30, 2022 to $2.6 million for the three months ended September 30, 2023. This was primarily attributable to a $0.2 million increase in employee-related costs and $0.1 million increase in professional fees.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Other income. </w:t>
      </w:r>
      <w:r>
        <w:rPr>
          <w:rFonts w:ascii="Times New Roman" w:hAnsi="Times New Roman"/>
          <w:b w:val="false"/>
          <w:color w:val="000000"/>
          <w:sz w:val="20"/>
        </w:rPr>
        <w:t>Other income for the three months ended September 30, 2023 and 2022 was comprised of interest income from cash and cash equivalents. The increase is due to the higher interest rates earned on our cash and cash equivalents.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Non-cash interest expense on liability related to the sales of future royalties</w:t>
      </w:r>
      <w:r>
        <w:rPr>
          <w:rFonts w:ascii="Times New Roman" w:hAnsi="Times New Roman"/>
          <w:b w:val="false"/>
          <w:color w:val="000000"/>
          <w:sz w:val="20"/>
        </w:rPr>
        <w:t>. Non-cash interest expense on liability related to the sales of future royalties for the three months ended September 30, 2023 and 2022 was comprised of imputed interest on the liability related to the sales of future royalties and the amortization of the associated issuance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 for the Nine Months Ended September 30, 2023 and 2022</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our results of operations for the nine months ended September 30, 2023 and 2022.</w:t>
      </w:r>
    </w:p>
    <w:tbl>
      <w:tblPr>
        <w:tblW w:w="7862" w:type="dxa"/>
        <w:jc w:val="left"/>
        <w:tblInd w:w="0" w:type="dxa"/>
        <w:tblLayout w:type="fixed"/>
        <w:tblCellMar>
          <w:top w:w="28" w:type="dxa"/>
          <w:left w:w="28" w:type="dxa"/>
          <w:bottom w:w="28" w:type="dxa"/>
          <w:right w:w="28" w:type="dxa"/>
        </w:tblCellMar>
      </w:tblPr>
      <w:tblGrid>
        <w:gridCol w:w="3241"/>
        <w:gridCol w:w="146"/>
        <w:gridCol w:w="211"/>
        <w:gridCol w:w="736"/>
        <w:gridCol w:w="166"/>
        <w:gridCol w:w="146"/>
        <w:gridCol w:w="211"/>
        <w:gridCol w:w="736"/>
        <w:gridCol w:w="166"/>
        <w:gridCol w:w="146"/>
        <w:gridCol w:w="342"/>
        <w:gridCol w:w="1024"/>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Period-to-Period</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4" w:type="dxa"/>
            <w:gridSpan w:val="1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884</w:t>
            </w:r>
          </w:p>
        </w:tc>
        <w:tc>
          <w:tcPr>
            <w:tcW w:w="5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2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w:t>
            </w:r>
          </w:p>
        </w:tc>
        <w:tc>
          <w:tcPr>
            <w:tcW w:w="5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1,139</w:t>
            </w:r>
          </w:p>
        </w:tc>
        <w:tc>
          <w:tcPr>
            <w:tcW w:w="5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interest expense on liability</w:t>
              <w:br/>
              <w:t>   related to the sales of future royalties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License and other revenue</w:t>
      </w:r>
      <w:r>
        <w:rPr>
          <w:rFonts w:ascii="Times New Roman" w:hAnsi="Times New Roman"/>
          <w:b w:val="false"/>
          <w:color w:val="000000"/>
          <w:sz w:val="20"/>
        </w:rPr>
        <w:t>. In the nine months ended September 30, 2023 and 2022, we recognized $1.9 million and $1.0 million, respectively, of revenue associated with our license agreements, which includes revenue for services and the sales of our SCS Microinjector kits to our licensees.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Cost of goods sold</w:t>
      </w:r>
      <w:r>
        <w:rPr>
          <w:rFonts w:ascii="Times New Roman" w:hAnsi="Times New Roman"/>
          <w:b w:val="false"/>
          <w:color w:val="000000"/>
          <w:sz w:val="20"/>
        </w:rPr>
        <w:t>. For the nine months ended September 30, 2023, we recognized $0.4 million in cost of goods sold related to the sales of our SCS Microinjector kits to our licensees.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w:t>
      </w:r>
      <w:r>
        <w:rPr>
          <w:rFonts w:ascii="Times New Roman" w:hAnsi="Times New Roman"/>
          <w:b w:val="false"/>
          <w:color w:val="000000"/>
          <w:sz w:val="20"/>
        </w:rPr>
        <w:t>. Research and development expense was $14.5 million and $14.6 million for the nine months ended September 30, 2023 and 2022, respectively. There was a $1.8 million increase in costs related to the CLS-AX program, which includes the final costs for our OASIS Phase 1/2a clinical trial and OASIS extension study, and the startup costs for ODYSSEY, our Phase 2b clinical trial. This was offset by a $0.8 million decrease due to a research and development tax credit received in the current period and a $0.8 million decrease in costs related to our other preclinical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w:t>
      </w:r>
      <w:r>
        <w:rPr>
          <w:rFonts w:ascii="Times New Roman" w:hAnsi="Times New Roman"/>
          <w:b w:val="false"/>
          <w:color w:val="000000"/>
          <w:sz w:val="20"/>
        </w:rPr>
        <w:t>. General and administrative expenses increased by $0.3 million, from $8.6 million for the nine months ended September 30, 2022 to $8.9 million for the nine months ended September 30, 2023. This was due to a $0.8 million increase in professional fees, partially offset by a $0.2 million decrease in employee-related costs and a $0.2 million decrease for insurance costs.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Other income. </w:t>
      </w:r>
      <w:r>
        <w:rPr>
          <w:rFonts w:ascii="Times New Roman" w:hAnsi="Times New Roman"/>
          <w:b w:val="false"/>
          <w:color w:val="000000"/>
          <w:sz w:val="20"/>
        </w:rPr>
        <w:t>Other income for the nine months ended September 30, 2023 and 2022 was comprised of interest income from cash and cash equivalents. The increase is due to the higher interest rates earned on our cash and cash equivalents.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Non-cash interest expense on liability related to the sales of future royalties</w:t>
      </w:r>
      <w:r>
        <w:rPr>
          <w:rFonts w:ascii="Times New Roman" w:hAnsi="Times New Roman"/>
          <w:b w:val="false"/>
          <w:color w:val="000000"/>
          <w:sz w:val="20"/>
        </w:rPr>
        <w:t>. Non-cash interest expense on liability related to the sales of future royalties for the nine months ended September 30, 2023 and 2022 was comprised of imputed interest on the liability related to the sales of future royalties and the amortization of the associated issuance costs.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funded our operations primarily through the proceeds of public offerings of our common stock, sales of convertible preferred stock and the issuance of long-term debt. As of September 30, 2023, we had cash and cash equivalents of $28.8 million. We invest any cash in excess of our immediate requirements primarily with a view to liquidity and capital preservation. As of September 30, 2023, our funds were held in cash and money market funds.</w:t>
      </w:r>
    </w:p>
    <w:p>
      <w:pPr>
        <w:pStyle w:val="TextBody"/>
        <w:bidi w:val="0"/>
        <w:spacing w:before="12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2023, we terminated our at-the-market sales agreement with Cowen and Company, LLC (the "ATM Agreement"). During the six months ended June 30, 2023, prior to the termination of the ATM Agreement, we sold 515,959 shares of its common stock for net proceeds of $0.7 million under the ATM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2023,we entered into a Controlled Equity Offering</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Sales Agreement (the "Sales Agreement") with Cantor Fitzgerald &amp; Co. ("Cantor") under which we may offer and sell, from time to time at our sole discretion, shares of our common stock, having an aggregate offering price of up to $50.0 million through Cantor as our sales agent. During the nine months ended September 30, 2023, we sold 330,210 shares of our common stock for net proceeds of $0.4 million under the Sales Agreement. Subsequent to September 30, 2023, we sold an additional 301,555 shares of our common stock pursuant to the Sales Agreement for net proceeds of $0.3 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8, 2022, or the Closing Date, we, through our wholly-owned subsidiary Clearside Royalty LLC, a Delaware limited liability company, or Royalty Sub, entered into a Purchase and Sale Agreement with entities managed by HealthCare Royalty Management, LLC, or HCR, pursuant to which Royalty Sub sold to HCR certain of its rights to receive royalty and milestone payments payable to Royalty Sub under the Arctic Vision License Agreement, Bausch License Agreement, that certain License Agreement, effective as of July 3, 2019, by and between us and Aura Biosciences, Inc., that certain Option and License Agreement, dated as of August 29, 2019, by and between REGENXBIO Inc. and us,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in exchange for up to $65 million. Under the terms of the Purchase and Sale Agreement, Royalty Sub received a payment of $32.1 million, representing the $32.5 million to which we were entitled less certain expenses. There were additional issuance costs of $1.5 million related to the Purchase and Sale Agreement resulting in net proceeds of $30.6 million. An additional $12.5 million was deposited in an escrow account by HCR to be released to Royalty Sub upon attainment of a pre-specified XIPERE sales milestone achieved no later than March 31, 2024. The terms of the Purchase and Sale Agreement also provide for an additional $20 million milestone payment to Royalty Sub upon attainment of a second pre-specified sales milestone related to 2024 XIPERE sales.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9 to our consolidated financial statements included in this Quarterly Report on Form 10-Q.</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and maintaining patent and trade secret protection and regulatory exclusivity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launching commercial sales of the products, if and when approved, whether alone or in collaboration with others.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change in the outcome of any of these variables with respect to the development of any of our product candidates would significantly change the costs and timing associated with the development of that candidate.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macroeconomic conditions, such as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Outlook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These conditions raise substantial doubt about our ability to continue as a going concern within one year after the date of this report. Our plans primarily consist of raising additional capital, potentially in a combination of equity or debt financings, monetizing royalties, or restructurings, or potentially entering into additional collaborations, partnerships and other strategic arrangements.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Based on our current plans and forecasted expenses, we expect that our cash and cash equivalents as of the filing date, November 13, 2023, and assuming receipt of the $5.0 million upfront payment that we are entitled to receive from BioCryst, will enable us to fund our planned operating expenses and capital expenditure requirements into the fourth quarter of 2024. We have based this estimate on assumptions that may prove to be wrong, and we could exhaust our capital resources sooner than we expect. We will require additional capital in order to complete the clinical development of CLS-AX.</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is a summary of the net cash flows provided by (used in) our operating, investing and financing activities (in thousands):</w:t>
      </w:r>
    </w:p>
    <w:tbl>
      <w:tblPr>
        <w:tblW w:w="6094" w:type="dxa"/>
        <w:jc w:val="left"/>
        <w:tblInd w:w="0" w:type="dxa"/>
        <w:tblLayout w:type="fixed"/>
        <w:tblCellMar>
          <w:top w:w="28" w:type="dxa"/>
          <w:left w:w="28" w:type="dxa"/>
          <w:bottom w:w="28" w:type="dxa"/>
          <w:right w:w="28" w:type="dxa"/>
        </w:tblCellMar>
      </w:tblPr>
      <w:tblGrid>
        <w:gridCol w:w="3391"/>
        <w:gridCol w:w="146"/>
        <w:gridCol w:w="211"/>
        <w:gridCol w:w="736"/>
        <w:gridCol w:w="166"/>
        <w:gridCol w:w="146"/>
        <w:gridCol w:w="211"/>
        <w:gridCol w:w="676"/>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and 2022, our operating activities used net cash of $18.6 million and $7.8 million, respectively. The net cash used in operating activities for the nine months ended September 30, 2023 was due to ongoing research and development expenses to develop our pipeline and startup costs for ODYSSEY, the Phase 2b clinical trial for CLS-AX, as well as the supporting general and administrative costs. The net cash used in operating activities for the nine months ended September 30, 2022 was primarily due to research and development expenses related to the preclinical and clinical programs and general and administrative expenses offset by the receipt of the $10.0 million milestone payment received from Bausch in connection with pre-launch activities for XIPERE.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our investing activities used net cash of $1.7 million and $0.2 million, respectively, and consisted of the acquisition of property and equipment.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our net cash provided by financing activities was $0.7 million and $30.8 million, respectively. The cash provided by financing activities for the nine months ended September 30, 2023 consisted primarily of $0.9 million of net proceeds from the sale of shares of our common stock under the ATM Agreement and the Sales Agreement partially offset by a payment of $0.4 million related to the Purchase and Sale agreement. The cash provided by financing activities for the nine months ended September 30, 2022 primarily consisted of $30.6 million of proceeds received from the Purchase and Sale Agreement, net of issuance costs.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sz w:val="20"/>
        </w:rPr>
      </w:pPr>
      <w:bookmarkStart w:id="9" w:name="item_4_controls_procedures"/>
      <w:bookmarkEnd w:id="9"/>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has been no change in our internal control over financial reporting during the quarter ended September 30, 2023 that has materially affected, or is reasonably likely to materially affect, our internal control over financial reporting. We have not experienced any material impact to our internal control over financial reporting.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_or_information"/>
      <w:bookmarkEnd w:id="10"/>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2022, filed with the Securities and Exchange Commission on March 14, 2023. Except as set forth below, there have been no material changes to the risk factors described in that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consolidated financial statements have been prepared assuming that we will continue as a going concern.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recurring losses from operations since inception which, raises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In addition, if there remains substantial doubt about our ability to continue as a going concern, investors or other financing sources may be unwilling to provide additional funding to us on commercially reasonable terms, or at all.</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Market, we may be delisted and the price of our common stock and our ability to access the capital markets could be negatively impacted.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common stock is currently listed on the Nasdaq Global Market. To maintain the listing of our common stock on the Nasdaq Global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27, 2023, we received a letter from the Listing Qualifications Department of The Nasdaq Stock Market, LLC notifying us that the listing of our common stock was not in compliance with Nasdaq Listing Rule 5450(a)(1) for continued listing on the Nasdaq Global Market, as the minimum bid price of our listed securities was less than $1.00 per share for the previous 30 consecutive business days. Under Nasdaq Listing Rule 5810(c)(3)(A), we have a period of 180 calendar days, or until March 25, 2024, to regain compliance with the rule referred to in this paragraph. To regain compliance, during this 180-day compliance period, our minimum bid price of listed securities must close at $1.00 per share or more for a minimum of 10 consecutive business days.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event that we do not regain compliance with the Nasdaq Listing Rules prior to the expiration of the 180-day compliance period, we may be eligible for additional time to regain compliance pursuant to Nasdaq Listing Rule 5810(c)(3)(A)(ii) by transferring to the Nasdaq Capital Market. To qualify, we would need to submit a Transfer Application and a $5,000 application fee. In addition, we would be required to meet the continued listing requirement for the market value of publicly held shares and all other initial listing standards for The Nasdaq Capital Market, with the exception of the minimum bid price requirement. In addition, we would need to provide written notice to Nasdaq of our intention to cure the minimum bid price deficiency during the second compliance period by effecting a reverse stock split, if necessary. As part of its review process, the Nasdaq staff will make a determination of whether it believes we will be able to cure the deficiency. Should the Nasdaq staff conclude that we will not be able to cure the deficiency, or should we determine not to submit a Transfer Application or make the required representation, Nasdaq will provide notice that our shares of common stock will be subject to delisting.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do not regain compliance within the allotted compliance period(s), including any extensions that may be granted by Nasdaq, Nasdaq will provide notice that our shares of common stock will be subject to delisting. At such time, we may appeal the delisting determination to a Hearings Panel.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can be no assurance that we will be successful in maintaining the listing of our common stock on the Nasdaq Global Market, or, if transferred, on the Nasdaq Capital Market. This could impair the liquidity and market price of our common stock. In addition, the delisting of our common stock from a national exchange could have a material adverse effect on our access to capital markets. Any limitation on market liquidity or reduction in the price of our common stock as a result of that delisting could adversely affect our ability to raise capital on terms acceptable to us, or at all.</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Sales of Unregistered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pPr>
      <w:bookmarkStart w:id="14" w:name="item_5_other_information"/>
      <w:bookmarkEnd w:id="14"/>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6_exhibits"/>
      <w:bookmarkEnd w:id="1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9"/>
        <w:gridCol w:w="146"/>
        <w:gridCol w:w="9180"/>
      </w:tblGrid>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Description</w:t>
            </w:r>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Certificate of Incorporation (incorporated herein by reference to Exhibit 3.1 to the Registrant’s Current Report on Form 8-K (File No. 001-37783) filed with the SEC on June 7, 2016).</w:t>
              </w:r>
            </w:hyperlink>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Certificate of Amendment to Amended and Restated Certificate of Incorporation (incorporated herein by reference to Exhibit 3.1 to the Registrant's Current Report on Form 8-K (File No. 001-37783) filed with the SEC on June 23, 2022).</w:t>
              </w:r>
            </w:hyperlink>
          </w:p>
        </w:tc>
      </w:tr>
      <w:tr>
        <w:trPr/>
        <w:tc>
          <w:tcPr>
            <w:tcW w:w="8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r>
              <w:rPr/>
              <w:t> </w:t>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Amended and Restated Bylaws (incorporated herein by reference to Exhibit 3.2 to the Registrant’s Current Report on Form 8-K (File No. 001-37783) filed with the SEC on June 7, 2016).</w:t>
              </w:r>
            </w:hyperlink>
          </w:p>
        </w:tc>
      </w:tr>
      <w:tr>
        <w:trPr/>
        <w:tc>
          <w:tcPr>
            <w:tcW w:w="8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r>
              <w:rPr/>
              <w:t> </w:t>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hyperlink w:anchor="clsd-ex31_1.htm">
              <w:r>
                <w:rPr>
                  <w:rStyle w:val="InternetLink"/>
                  <w:rFonts w:ascii="Times New Roman" w:hAnsi="Times New Roman"/>
                  <w:b w:val="false"/>
                  <w:color w:val="0000FF"/>
                  <w:sz w:val="20"/>
                  <w:u w:val="single"/>
                </w:rPr>
                <w:t>Certification of Principal Executive Officer under Section 302 of the Sarbanes-Oxley Act.</w:t>
              </w:r>
            </w:hyperlink>
          </w:p>
        </w:tc>
      </w:tr>
      <w:tr>
        <w:trPr/>
        <w:tc>
          <w:tcPr>
            <w:tcW w:w="8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r>
              <w:rPr/>
              <w:t> </w:t>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pPr>
            <w:hyperlink w:anchor="clsd-ex31_2.htm">
              <w:r>
                <w:rPr>
                  <w:rStyle w:val="InternetLink"/>
                  <w:rFonts w:ascii="Times New Roman" w:hAnsi="Times New Roman"/>
                  <w:b w:val="false"/>
                  <w:color w:val="0000FF"/>
                  <w:sz w:val="20"/>
                  <w:u w:val="single"/>
                </w:rPr>
                <w:t>Certification of Principal Financial Officer under Section 302 of the Sarbanes-Oxley Act.</w:t>
              </w:r>
            </w:hyperlink>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pPr>
            <w:hyperlink w:anchor="clsd-ex32_1.htm">
              <w:r>
                <w:rPr>
                  <w:rStyle w:val="InternetLink"/>
                  <w:rFonts w:ascii="Times New Roman" w:hAnsi="Times New Roman"/>
                  <w:b w:val="false"/>
                  <w:color w:val="0000FF"/>
                  <w:sz w:val="20"/>
                  <w:u w:val="single"/>
                </w:rPr>
                <w:t>Certifications of Principal Executive Officer and Principal Financial Officer under Section 906 of the Sarbanes-Oxley Act.</w:t>
              </w:r>
            </w:hyperlink>
            <w:r>
              <w:rPr>
                <w:rFonts w:ascii="Times New Roman" w:hAnsi="Times New Roman"/>
                <w:color w:val="000000"/>
                <w:sz w:val="20"/>
              </w:rPr>
              <w:t xml:space="preserve"> </w:t>
            </w:r>
          </w:p>
        </w:tc>
      </w:tr>
      <w:tr>
        <w:trPr/>
        <w:tc>
          <w:tcPr>
            <w:tcW w:w="8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r>
              <w:rPr/>
              <w:t> </w:t>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w:t>
            </w:r>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8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pPr>
            <w:r>
              <w:rPr/>
              <w:t> </w:t>
            </w:r>
          </w:p>
        </w:tc>
      </w:tr>
      <w:tr>
        <w:trPr/>
        <w:tc>
          <w:tcPr>
            <w:tcW w:w="87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1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4"/>
        <w:gridCol w:w="9951"/>
      </w:tblGrid>
      <w:tr>
        <w:trPr/>
        <w:tc>
          <w:tcPr>
            <w:tcW w:w="254" w:type="dxa"/>
            <w:tcBorders/>
            <w:vAlign w:val="center"/>
          </w:tcPr>
          <w:p>
            <w:pPr>
              <w:pStyle w:val="TableContents"/>
              <w:bidi w:val="0"/>
              <w:spacing w:before="0" w:after="283"/>
              <w:jc w:val="left"/>
              <w:rPr>
                <w:sz w:val="4"/>
                <w:szCs w:val="4"/>
              </w:rPr>
            </w:pPr>
            <w:r>
              <w:rPr>
                <w:sz w:val="4"/>
                <w:szCs w:val="4"/>
              </w:rPr>
            </w:r>
          </w:p>
        </w:tc>
        <w:tc>
          <w:tcPr>
            <w:tcW w:w="9951" w:type="dxa"/>
            <w:tcBorders/>
            <w:vAlign w:val="center"/>
          </w:tcPr>
          <w:p>
            <w:pPr>
              <w:pStyle w:val="TableContents"/>
              <w:bidi w:val="0"/>
              <w:spacing w:before="0" w:after="283"/>
              <w:jc w:val="left"/>
              <w:rPr>
                <w:sz w:val="4"/>
                <w:szCs w:val="4"/>
              </w:rPr>
            </w:pPr>
            <w:r>
              <w:rPr>
                <w:sz w:val="4"/>
                <w:szCs w:val="4"/>
              </w:rPr>
            </w:r>
          </w:p>
        </w:tc>
      </w:tr>
      <w:tr>
        <w:trPr/>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Filed herewith.</w:t>
            </w:r>
          </w:p>
        </w:tc>
      </w:tr>
      <w:tr>
        <w:trPr/>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tbl>
      <w:tblPr>
        <w:tblW w:w="5722" w:type="dxa"/>
        <w:jc w:val="left"/>
        <w:tblInd w:w="0" w:type="dxa"/>
        <w:tblLayout w:type="fixed"/>
        <w:tblCellMar>
          <w:top w:w="28" w:type="dxa"/>
          <w:left w:w="28" w:type="dxa"/>
          <w:bottom w:w="28" w:type="dxa"/>
          <w:right w:w="28" w:type="dxa"/>
        </w:tblCellMar>
      </w:tblPr>
      <w:tblGrid>
        <w:gridCol w:w="2206"/>
        <w:gridCol w:w="109"/>
        <w:gridCol w:w="406"/>
        <w:gridCol w:w="30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Clearside Biomedical,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Charles A. Deignan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Charles A. Deignan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(On behalf of the Registrant and as </w:t>
              <w:br/>
              <w:t>Principal Financial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7" w:name="clsd-ex31_1.htm"/>
      <w:bookmarkStart w:id="18" w:name="ksclsdex31_1"/>
      <w:bookmarkEnd w:id="17"/>
      <w:bookmarkEnd w:id="1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George Lasezkay,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for the period ended September 30, 2023 of Clearside Biomedical, Inc. (the “registrant”);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13, 2023</w:t>
      </w:r>
    </w:p>
    <w:tbl>
      <w:tblPr>
        <w:tblW w:w="3335" w:type="dxa"/>
        <w:jc w:val="left"/>
        <w:tblInd w:w="0" w:type="dxa"/>
        <w:tblLayout w:type="fixed"/>
        <w:tblCellMar>
          <w:top w:w="28" w:type="dxa"/>
          <w:left w:w="28" w:type="dxa"/>
          <w:bottom w:w="28" w:type="dxa"/>
          <w:right w:w="28" w:type="dxa"/>
        </w:tblCellMar>
      </w:tblPr>
      <w:tblGrid>
        <w:gridCol w:w="124"/>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George Lasezkay, Pharm.D., J.D.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George Lasezkay, Pharm. D., J.D.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clsd-ex31_2.htm"/>
      <w:bookmarkStart w:id="20" w:name="ksclsdex31_2"/>
      <w:bookmarkEnd w:id="19"/>
      <w:bookmarkEnd w:id="2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Charles A. Deignan,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for the period ended September 30, 2023 of Clearside Biomedical, Inc. (the “registrant”);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13, 2023</w:t>
      </w:r>
    </w:p>
    <w:tbl>
      <w:tblPr>
        <w:tblW w:w="2465" w:type="dxa"/>
        <w:jc w:val="left"/>
        <w:tblInd w:w="0" w:type="dxa"/>
        <w:tblLayout w:type="fixed"/>
        <w:tblCellMar>
          <w:top w:w="28" w:type="dxa"/>
          <w:left w:w="28" w:type="dxa"/>
          <w:bottom w:w="28" w:type="dxa"/>
          <w:right w:w="28" w:type="dxa"/>
        </w:tblCellMar>
      </w:tblPr>
      <w:tblGrid>
        <w:gridCol w:w="124"/>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Charles A. Deignan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Charles A. Deignan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lsd-ex32_1.htm"/>
      <w:bookmarkStart w:id="22" w:name="ksclsdex32_1"/>
      <w:bookmarkEnd w:id="21"/>
      <w:bookmarkEnd w:id="2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w:t>
      </w:r>
    </w:p>
    <w:p>
      <w:pPr>
        <w:pStyle w:val="TextBody"/>
        <w:bidi w:val="0"/>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period ended September 30, 2023,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b w:val="false"/>
          <w:color w:val="000000"/>
          <w:sz w:val="20"/>
        </w:rPr>
        <w:t>, the undersigned have set their hands hereto as of the 13th day of November, 2023.</w:t>
      </w:r>
    </w:p>
    <w:tbl>
      <w:tblPr>
        <w:tblW w:w="5676" w:type="dxa"/>
        <w:jc w:val="left"/>
        <w:tblInd w:w="0" w:type="dxa"/>
        <w:tblLayout w:type="fixed"/>
        <w:tblCellMar>
          <w:top w:w="28" w:type="dxa"/>
          <w:left w:w="28" w:type="dxa"/>
          <w:bottom w:w="28" w:type="dxa"/>
          <w:right w:w="28" w:type="dxa"/>
        </w:tblCellMar>
      </w:tblPr>
      <w:tblGrid>
        <w:gridCol w:w="3226"/>
        <w:gridCol w:w="109"/>
        <w:gridCol w:w="2341"/>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George Lasezkay, Pharm. D., J.D.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Charles. A. Deignan</w:t>
            </w:r>
          </w:p>
        </w:tc>
      </w:tr>
      <w:tr>
        <w:trPr/>
        <w:tc>
          <w:tcPr>
            <w:tcW w:w="32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George Lasezkay, Pharm. D., J.D.</w:t>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Charles A. Deignan</w:t>
            </w:r>
          </w:p>
        </w:tc>
      </w:tr>
      <w:tr>
        <w:trPr/>
        <w:tc>
          <w:tcPr>
            <w:tcW w:w="32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President and Chief Executive Officer </w:t>
              <w:b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Chief Financial Officer </w:t>
              <w:br/>
              <w:t>(principal financial officer)</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9029/000119312516615374/d208521dex31.htm" TargetMode="External"/><Relationship Id="rId4" Type="http://schemas.openxmlformats.org/officeDocument/2006/relationships/hyperlink" Target="https://www.sec.gov/Archives/edgar/data/1539029/000095017022012039/clsd-ex3_1.htm" TargetMode="External"/><Relationship Id="rId5" Type="http://schemas.openxmlformats.org/officeDocument/2006/relationships/hyperlink" Target="https://www.sec.gov/Archives/edgar/data/1539029/000119312516615374/d20852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16641</Words>
  <Characters>91518</Characters>
  <CharactersWithSpaces>108650</CharactersWithSpaces>
  <Paragraphs>3271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