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119380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5"/>
          <w:szCs w:val="15"/>
          <w:b w:val="1"/>
          <w:bCs w:val="1"/>
          <w:color w:val="auto"/>
        </w:rPr>
        <w:t>Mark One)</w:t>
      </w:r>
    </w:p>
    <w:p>
      <w:pPr>
        <w:spacing w:after="0" w:line="28" w:lineRule="exact"/>
        <w:rPr>
          <w:sz w:val="24"/>
          <w:szCs w:val="24"/>
          <w:color w:val="auto"/>
        </w:rPr>
      </w:pPr>
    </w:p>
    <w:p>
      <w:pPr>
        <w:ind w:left="620" w:hanging="400"/>
        <w:spacing w:after="0"/>
        <w:tabs>
          <w:tab w:leader="none" w:pos="620" w:val="left"/>
        </w:tabs>
        <w:numPr>
          <w:ilvl w:val="0"/>
          <w:numId w:val="1"/>
        </w:numPr>
        <w:rPr>
          <w:rFonts w:ascii="Arial" w:cs="Arial" w:eastAsia="Arial" w:hAnsi="Arial"/>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2022</w:t>
      </w:r>
    </w:p>
    <w:p>
      <w:pPr>
        <w:spacing w:after="0" w:line="5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4" w:lineRule="exact"/>
        <w:rPr>
          <w:sz w:val="24"/>
          <w:szCs w:val="24"/>
          <w:color w:val="auto"/>
        </w:rPr>
      </w:pPr>
    </w:p>
    <w:p>
      <w:pPr>
        <w:ind w:left="4060" w:right="2740" w:hanging="3840"/>
        <w:spacing w:after="0" w:line="312" w:lineRule="auto"/>
        <w:tabs>
          <w:tab w:leader="none" w:pos="618" w:val="left"/>
        </w:tabs>
        <w:numPr>
          <w:ilvl w:val="0"/>
          <w:numId w:val="2"/>
        </w:numPr>
        <w:rPr>
          <w:rFonts w:ascii="Arial" w:cs="Arial" w:eastAsia="Arial" w:hAnsi="Arial"/>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 to __________</w:t>
      </w:r>
    </w:p>
    <w:p>
      <w:pPr>
        <w:ind w:left="4420"/>
        <w:spacing w:after="0"/>
        <w:rPr>
          <w:rFonts w:ascii="Arial" w:cs="Arial" w:eastAsia="Arial" w:hAnsi="Arial"/>
          <w:sz w:val="15"/>
          <w:szCs w:val="15"/>
          <w:color w:val="auto"/>
          <w:highlight w:val="black"/>
        </w:rPr>
      </w:pPr>
      <w:r>
        <w:rPr>
          <w:rFonts w:ascii="Times New Roman" w:cs="Times New Roman" w:eastAsia="Times New Roman" w:hAnsi="Times New Roman"/>
          <w:sz w:val="15"/>
          <w:szCs w:val="15"/>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tbl>
      <w:tblPr>
        <w:tblLayout w:type="fixed"/>
        <w:tblInd w:w="520" w:type="dxa"/>
        <w:tblCellMar>
          <w:top w:w="0" w:type="dxa"/>
          <w:left w:w="0" w:type="dxa"/>
          <w:bottom w:w="0" w:type="dxa"/>
          <w:right w:w="0" w:type="dxa"/>
        </w:tblCellMar>
      </w:tblPr>
      <w:tr>
        <w:trPr>
          <w:trHeight w:val="240"/>
        </w:trPr>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gridSpan w:val="5"/>
          </w:tcPr>
          <w:p>
            <w:pPr>
              <w:jc w:val="center"/>
              <w:ind w:right="660"/>
              <w:spacing w:after="0"/>
              <w:rPr>
                <w:sz w:val="20"/>
                <w:szCs w:val="20"/>
                <w:color w:val="auto"/>
              </w:rPr>
            </w:pPr>
            <w:r>
              <w:rPr>
                <w:rFonts w:ascii="Times New Roman" w:cs="Times New Roman" w:eastAsia="Times New Roman" w:hAnsi="Times New Roman"/>
                <w:sz w:val="20"/>
                <w:szCs w:val="20"/>
                <w:b w:val="1"/>
                <w:bCs w:val="1"/>
                <w:color w:val="auto"/>
                <w:w w:val="98"/>
              </w:rPr>
              <w:t>Clearside Biomedical, Inc.</w:t>
            </w:r>
          </w:p>
        </w:tc>
        <w:tc>
          <w:tcPr>
            <w:tcW w:w="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40" w:type="dxa"/>
            <w:vAlign w:val="bottom"/>
            <w:gridSpan w:val="8"/>
          </w:tcPr>
          <w:p>
            <w:pPr>
              <w:jc w:val="center"/>
              <w:ind w:right="240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114"/>
        </w:trPr>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vMerge w:val="restart"/>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gridSpan w:val="2"/>
            <w:vMerge w:val="restart"/>
          </w:tcPr>
          <w:p>
            <w:pPr>
              <w:jc w:val="right"/>
              <w:ind w:right="1406"/>
              <w:spacing w:after="0"/>
              <w:rPr>
                <w:sz w:val="20"/>
                <w:szCs w:val="20"/>
                <w:color w:val="auto"/>
              </w:rPr>
            </w:pPr>
            <w:r>
              <w:rPr>
                <w:rFonts w:ascii="Times New Roman" w:cs="Times New Roman" w:eastAsia="Times New Roman" w:hAnsi="Times New Roman"/>
                <w:sz w:val="15"/>
                <w:szCs w:val="15"/>
                <w:b w:val="1"/>
                <w:bCs w:val="1"/>
                <w:color w:val="auto"/>
              </w:rPr>
              <w:t>45-2437375</w:t>
            </w:r>
          </w:p>
        </w:tc>
        <w:tc>
          <w:tcPr>
            <w:tcW w:w="0" w:type="dxa"/>
            <w:vAlign w:val="bottom"/>
          </w:tcPr>
          <w:p>
            <w:pPr>
              <w:spacing w:after="0"/>
              <w:rPr>
                <w:sz w:val="1"/>
                <w:szCs w:val="1"/>
                <w:color w:val="auto"/>
              </w:rPr>
            </w:pPr>
          </w:p>
        </w:tc>
      </w:tr>
      <w:tr>
        <w:trPr>
          <w:trHeight w:val="293"/>
        </w:trPr>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6020" w:type="dxa"/>
            <w:vAlign w:val="bottom"/>
            <w:gridSpan w:val="8"/>
          </w:tcPr>
          <w:p>
            <w:pPr>
              <w:jc w:val="center"/>
              <w:ind w:right="3180"/>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 w:type="dxa"/>
            <w:vAlign w:val="bottom"/>
          </w:tcPr>
          <w:p>
            <w:pPr>
              <w:spacing w:after="0"/>
              <w:rPr>
                <w:sz w:val="13"/>
                <w:szCs w:val="13"/>
                <w:color w:val="auto"/>
              </w:rPr>
            </w:pPr>
          </w:p>
        </w:tc>
        <w:tc>
          <w:tcPr>
            <w:tcW w:w="2720" w:type="dxa"/>
            <w:vAlign w:val="bottom"/>
          </w:tcPr>
          <w:p>
            <w:pPr>
              <w:jc w:val="center"/>
              <w:ind w:right="886"/>
              <w:spacing w:after="0" w:line="160"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6020" w:type="dxa"/>
            <w:vAlign w:val="bottom"/>
            <w:gridSpan w:val="8"/>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 w:type="dxa"/>
            <w:vAlign w:val="bottom"/>
          </w:tcPr>
          <w:p>
            <w:pPr>
              <w:spacing w:after="0"/>
              <w:rPr>
                <w:sz w:val="16"/>
                <w:szCs w:val="16"/>
                <w:color w:val="auto"/>
              </w:rPr>
            </w:pPr>
          </w:p>
        </w:tc>
        <w:tc>
          <w:tcPr>
            <w:tcW w:w="2720" w:type="dxa"/>
            <w:vAlign w:val="bottom"/>
          </w:tcPr>
          <w:p>
            <w:pPr>
              <w:jc w:val="center"/>
              <w:ind w:right="90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6020" w:type="dxa"/>
            <w:vAlign w:val="bottom"/>
            <w:gridSpan w:val="8"/>
          </w:tcPr>
          <w:p>
            <w:pPr>
              <w:jc w:val="center"/>
              <w:ind w:right="3200"/>
              <w:spacing w:after="0"/>
              <w:rPr>
                <w:sz w:val="20"/>
                <w:szCs w:val="20"/>
                <w:color w:val="auto"/>
              </w:rPr>
            </w:pPr>
            <w:r>
              <w:rPr>
                <w:rFonts w:ascii="Times New Roman" w:cs="Times New Roman" w:eastAsia="Times New Roman" w:hAnsi="Times New Roman"/>
                <w:sz w:val="15"/>
                <w:szCs w:val="15"/>
                <w:b w:val="1"/>
                <w:bCs w:val="1"/>
                <w:color w:val="auto"/>
              </w:rPr>
              <w:t>900 North Point Parkway, Suite 200</w:t>
            </w:r>
          </w:p>
        </w:tc>
        <w:tc>
          <w:tcPr>
            <w:tcW w:w="1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2040" w:type="dxa"/>
            <w:vAlign w:val="bottom"/>
            <w:gridSpan w:val="2"/>
          </w:tcPr>
          <w:p>
            <w:pPr>
              <w:jc w:val="center"/>
              <w:ind w:left="706"/>
              <w:spacing w:after="0"/>
              <w:rPr>
                <w:sz w:val="20"/>
                <w:szCs w:val="20"/>
                <w:color w:val="auto"/>
              </w:rPr>
            </w:pPr>
            <w:r>
              <w:rPr>
                <w:rFonts w:ascii="Times New Roman" w:cs="Times New Roman" w:eastAsia="Times New Roman" w:hAnsi="Times New Roman"/>
                <w:sz w:val="15"/>
                <w:szCs w:val="15"/>
                <w:b w:val="1"/>
                <w:bCs w:val="1"/>
                <w:color w:val="auto"/>
              </w:rPr>
              <w:t>Alpharetta, GA</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gridSpan w:val="2"/>
          </w:tcPr>
          <w:p>
            <w:pPr>
              <w:jc w:val="right"/>
              <w:ind w:right="1586"/>
              <w:spacing w:after="0"/>
              <w:rPr>
                <w:sz w:val="20"/>
                <w:szCs w:val="20"/>
                <w:color w:val="auto"/>
              </w:rPr>
            </w:pPr>
            <w:r>
              <w:rPr>
                <w:rFonts w:ascii="Times New Roman" w:cs="Times New Roman" w:eastAsia="Times New Roman" w:hAnsi="Times New Roman"/>
                <w:sz w:val="15"/>
                <w:szCs w:val="15"/>
                <w:b w:val="1"/>
                <w:bCs w:val="1"/>
                <w:color w:val="auto"/>
              </w:rPr>
              <w:t>30005</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6020" w:type="dxa"/>
            <w:vAlign w:val="bottom"/>
            <w:gridSpan w:val="8"/>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 w:type="dxa"/>
            <w:vAlign w:val="bottom"/>
          </w:tcPr>
          <w:p>
            <w:pPr>
              <w:spacing w:after="0"/>
              <w:rPr>
                <w:sz w:val="16"/>
                <w:szCs w:val="16"/>
                <w:color w:val="auto"/>
              </w:rPr>
            </w:pPr>
          </w:p>
        </w:tc>
        <w:tc>
          <w:tcPr>
            <w:tcW w:w="2720" w:type="dxa"/>
            <w:vAlign w:val="bottom"/>
          </w:tcPr>
          <w:p>
            <w:pPr>
              <w:jc w:val="center"/>
              <w:ind w:right="90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40" w:type="dxa"/>
            <w:vAlign w:val="bottom"/>
            <w:gridSpan w:val="8"/>
          </w:tcPr>
          <w:p>
            <w:pPr>
              <w:jc w:val="center"/>
              <w:ind w:right="238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270-3631</w:t>
            </w: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980" w:type="dxa"/>
            <w:vAlign w:val="bottom"/>
            <w:gridSpan w:val="6"/>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040" w:type="dxa"/>
            <w:vAlign w:val="bottom"/>
            <w:gridSpan w:val="2"/>
          </w:tcPr>
          <w:p>
            <w:pPr>
              <w:jc w:val="center"/>
              <w:ind w:right="864"/>
              <w:spacing w:after="0" w:line="166" w:lineRule="exact"/>
              <w:rPr>
                <w:sz w:val="20"/>
                <w:szCs w:val="20"/>
                <w:color w:val="auto"/>
              </w:rPr>
            </w:pPr>
            <w:r>
              <w:rPr>
                <w:rFonts w:ascii="Times New Roman" w:cs="Times New Roman" w:eastAsia="Times New Roman" w:hAnsi="Times New Roman"/>
                <w:sz w:val="15"/>
                <w:szCs w:val="15"/>
                <w:color w:val="auto"/>
              </w:rPr>
              <w:t>Title of each class</w:t>
            </w:r>
          </w:p>
        </w:tc>
        <w:tc>
          <w:tcPr>
            <w:tcW w:w="1060" w:type="dxa"/>
            <w:vAlign w:val="bottom"/>
          </w:tcPr>
          <w:p>
            <w:pPr>
              <w:spacing w:after="0"/>
              <w:rPr>
                <w:sz w:val="14"/>
                <w:szCs w:val="14"/>
                <w:color w:val="auto"/>
              </w:rPr>
            </w:pPr>
          </w:p>
        </w:tc>
        <w:tc>
          <w:tcPr>
            <w:tcW w:w="2920" w:type="dxa"/>
            <w:vAlign w:val="bottom"/>
            <w:gridSpan w:val="5"/>
          </w:tcPr>
          <w:p>
            <w:pPr>
              <w:jc w:val="center"/>
              <w:ind w:right="1520"/>
              <w:spacing w:after="0" w:line="166" w:lineRule="exact"/>
              <w:rPr>
                <w:sz w:val="20"/>
                <w:szCs w:val="20"/>
                <w:color w:val="auto"/>
              </w:rPr>
            </w:pPr>
            <w:r>
              <w:rPr>
                <w:rFonts w:ascii="Times New Roman" w:cs="Times New Roman" w:eastAsia="Times New Roman" w:hAnsi="Times New Roman"/>
                <w:sz w:val="15"/>
                <w:szCs w:val="15"/>
                <w:color w:val="auto"/>
              </w:rPr>
              <w:t>Trading Symbol(s)</w:t>
            </w:r>
          </w:p>
        </w:tc>
        <w:tc>
          <w:tcPr>
            <w:tcW w:w="140" w:type="dxa"/>
            <w:vAlign w:val="bottom"/>
          </w:tcPr>
          <w:p>
            <w:pPr>
              <w:spacing w:after="0"/>
              <w:rPr>
                <w:sz w:val="14"/>
                <w:szCs w:val="14"/>
                <w:color w:val="auto"/>
              </w:rPr>
            </w:pPr>
          </w:p>
        </w:tc>
        <w:tc>
          <w:tcPr>
            <w:tcW w:w="27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4"/>
          </w:tcPr>
          <w:p>
            <w:pPr>
              <w:jc w:val="center"/>
              <w:ind w:right="1640"/>
              <w:spacing w:after="0"/>
              <w:rPr>
                <w:sz w:val="20"/>
                <w:szCs w:val="20"/>
                <w:color w:val="auto"/>
              </w:rPr>
            </w:pPr>
            <w:r>
              <w:rPr>
                <w:rFonts w:ascii="Times New Roman" w:cs="Times New Roman" w:eastAsia="Times New Roman" w:hAnsi="Times New Roman"/>
                <w:sz w:val="15"/>
                <w:szCs w:val="15"/>
                <w:color w:val="auto"/>
              </w:rPr>
              <w:t>CLSD</w:t>
            </w:r>
          </w:p>
        </w:tc>
        <w:tc>
          <w:tcPr>
            <w:tcW w:w="14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390"/>
        </w:trPr>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40" w:type="dxa"/>
            <w:vAlign w:val="bottom"/>
            <w:gridSpan w:val="8"/>
          </w:tcPr>
          <w:p>
            <w:pPr>
              <w:jc w:val="center"/>
              <w:ind w:right="238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78"/>
        </w:trPr>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0" w:type="dxa"/>
            <w:vAlign w:val="bottom"/>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800" w:type="dxa"/>
            <w:vAlign w:val="bottom"/>
            <w:gridSpan w:val="2"/>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9760" w:type="dxa"/>
            <w:vAlign w:val="bottom"/>
            <w:gridSpan w:val="11"/>
          </w:tcPr>
          <w:p>
            <w:pPr>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tc>
        <w:tc>
          <w:tcPr>
            <w:tcW w:w="0" w:type="dxa"/>
            <w:vAlign w:val="bottom"/>
          </w:tcPr>
          <w:p>
            <w:pPr>
              <w:spacing w:after="0"/>
              <w:rPr>
                <w:sz w:val="1"/>
                <w:szCs w:val="1"/>
                <w:color w:val="auto"/>
              </w:rPr>
            </w:pPr>
          </w:p>
        </w:tc>
      </w:tr>
      <w:tr>
        <w:trPr>
          <w:trHeight w:val="257"/>
        </w:trPr>
        <w:tc>
          <w:tcPr>
            <w:tcW w:w="69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Act.</w:t>
            </w:r>
          </w:p>
        </w:tc>
        <w:tc>
          <w:tcPr>
            <w:tcW w:w="286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5"/>
                <w:szCs w:val="15"/>
                <w:color w:val="auto"/>
              </w:rPr>
              <w:t xml:space="preserve">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firstLine="509"/>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43" w:lineRule="exact"/>
        <w:rPr>
          <w:sz w:val="24"/>
          <w:szCs w:val="24"/>
          <w:color w:val="auto"/>
        </w:rPr>
      </w:pPr>
    </w:p>
    <w:p>
      <w:pPr>
        <w:ind w:right="240" w:firstLine="509"/>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29" w:lineRule="exact"/>
        <w:rPr>
          <w:sz w:val="24"/>
          <w:szCs w:val="24"/>
          <w:color w:val="auto"/>
        </w:rPr>
      </w:pPr>
    </w:p>
    <w:p>
      <w:pPr>
        <w:jc w:val="both"/>
        <w:ind w:right="36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20" w:type="dxa"/>
            <w:vAlign w:val="bottom"/>
          </w:tcPr>
          <w:p>
            <w:pPr>
              <w:ind w:left="64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482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201" w:lineRule="exact"/>
              <w:rPr>
                <w:sz w:val="20"/>
                <w:szCs w:val="20"/>
                <w:color w:val="auto"/>
              </w:rPr>
            </w:pPr>
            <w:r>
              <w:rPr>
                <w:rFonts w:ascii="Arial Unicode MS" w:cs="Arial Unicode MS" w:eastAsia="Arial Unicode MS" w:hAnsi="Arial Unicode MS"/>
                <w:sz w:val="15"/>
                <w:szCs w:val="15"/>
                <w:color w:val="auto"/>
              </w:rPr>
              <w:t>☐</w:t>
            </w:r>
          </w:p>
        </w:tc>
      </w:tr>
      <w:tr>
        <w:trPr>
          <w:trHeight w:val="310"/>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20" w:type="dxa"/>
            <w:vAlign w:val="bottom"/>
          </w:tcPr>
          <w:p>
            <w:pPr>
              <w:ind w:left="64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482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201" w:lineRule="exact"/>
              <w:rPr>
                <w:sz w:val="20"/>
                <w:szCs w:val="20"/>
                <w:color w:val="auto"/>
              </w:rPr>
            </w:pPr>
            <w:r>
              <w:rPr>
                <w:rFonts w:ascii="Arial Unicode MS" w:cs="Arial Unicode MS" w:eastAsia="Arial Unicode MS" w:hAnsi="Arial Unicode MS"/>
                <w:sz w:val="15"/>
                <w:szCs w:val="15"/>
                <w:color w:val="auto"/>
              </w:rPr>
              <w:t>☒</w:t>
            </w:r>
          </w:p>
        </w:tc>
      </w:tr>
      <w:tr>
        <w:trPr>
          <w:trHeight w:val="301"/>
        </w:trPr>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82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Emerging growth company</w:t>
            </w:r>
          </w:p>
        </w:tc>
        <w:tc>
          <w:tcPr>
            <w:tcW w:w="560" w:type="dxa"/>
            <w:vAlign w:val="bottom"/>
          </w:tcPr>
          <w:p>
            <w:pPr>
              <w:ind w:left="420"/>
              <w:spacing w:after="0" w:line="201" w:lineRule="exact"/>
              <w:rPr>
                <w:sz w:val="20"/>
                <w:szCs w:val="20"/>
                <w:color w:val="auto"/>
              </w:rPr>
            </w:pPr>
            <w:r>
              <w:rPr>
                <w:rFonts w:ascii="Arial Unicode MS" w:cs="Arial Unicode MS" w:eastAsia="Arial Unicode MS" w:hAnsi="Arial Unicode MS"/>
                <w:sz w:val="15"/>
                <w:szCs w:val="15"/>
                <w:color w:val="auto"/>
              </w:rPr>
              <w:t>☐</w:t>
            </w:r>
          </w:p>
        </w:tc>
      </w:tr>
    </w:tbl>
    <w:p>
      <w:pPr>
        <w:ind w:firstLine="509"/>
        <w:spacing w:after="0" w:line="18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29" w:lineRule="exact"/>
        <w:rPr>
          <w:sz w:val="24"/>
          <w:szCs w:val="24"/>
          <w:color w:val="auto"/>
        </w:rPr>
      </w:pPr>
    </w:p>
    <w:p>
      <w:pPr>
        <w:ind w:right="240" w:firstLine="509"/>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5"/>
          <w:szCs w:val="15"/>
          <w:color w:val="auto"/>
        </w:rPr>
        <w:t>☐</w:t>
      </w:r>
    </w:p>
    <w:p>
      <w:pPr>
        <w:spacing w:after="0" w:line="43" w:lineRule="exact"/>
        <w:rPr>
          <w:sz w:val="24"/>
          <w:szCs w:val="24"/>
          <w:color w:val="auto"/>
        </w:rPr>
      </w:pPr>
    </w:p>
    <w:p>
      <w:pPr>
        <w:ind w:right="320" w:firstLine="509"/>
        <w:spacing w:after="0" w:line="19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29" w:lineRule="exact"/>
        <w:rPr>
          <w:sz w:val="24"/>
          <w:szCs w:val="24"/>
          <w:color w:val="auto"/>
        </w:rPr>
      </w:pPr>
    </w:p>
    <w:p>
      <w:pPr>
        <w:ind w:right="320" w:firstLine="509"/>
        <w:spacing w:after="0" w:line="195"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auto"/>
        </w:rPr>
        <w:t>ﬃ</w:t>
      </w:r>
      <w:r>
        <w:rPr>
          <w:rFonts w:ascii="Times New Roman" w:cs="Times New Roman" w:eastAsia="Times New Roman" w:hAnsi="Times New Roman"/>
          <w:sz w:val="15"/>
          <w:szCs w:val="15"/>
          <w:color w:val="auto"/>
        </w:rPr>
        <w:t xml:space="preserve">cers during the relevant recovery period pursuant to §240.10D-1(b). </w:t>
      </w:r>
      <w:r>
        <w:rPr>
          <w:rFonts w:ascii="Arial Unicode MS" w:cs="Arial Unicode MS" w:eastAsia="Arial Unicode MS" w:hAnsi="Arial Unicode MS"/>
          <w:sz w:val="15"/>
          <w:szCs w:val="15"/>
          <w:color w:val="auto"/>
        </w:rPr>
        <w:t>☐</w:t>
      </w:r>
    </w:p>
    <w:p>
      <w:pPr>
        <w:spacing w:after="0" w:line="17" w:lineRule="exact"/>
        <w:rPr>
          <w:sz w:val="24"/>
          <w:szCs w:val="24"/>
          <w:color w:val="auto"/>
        </w:rPr>
      </w:pPr>
    </w:p>
    <w:p>
      <w:pPr>
        <w:ind w:left="520"/>
        <w:spacing w:after="0" w:line="201" w:lineRule="exact"/>
        <w:tabs>
          <w:tab w:leader="none" w:pos="7600" w:val="left"/>
          <w:tab w:leader="none" w:pos="818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ab/>
        <w:t xml:space="preserve">No </w:t>
      </w:r>
      <w:r>
        <w:rPr>
          <w:rFonts w:ascii="Arial Unicode MS" w:cs="Arial Unicode MS" w:eastAsia="Arial Unicode MS" w:hAnsi="Arial Unicode MS"/>
          <w:sz w:val="15"/>
          <w:szCs w:val="15"/>
          <w:color w:val="auto"/>
        </w:rPr>
        <w:t>☒</w:t>
      </w:r>
    </w:p>
    <w:p>
      <w:pPr>
        <w:spacing w:after="0" w:line="81" w:lineRule="exact"/>
        <w:rPr>
          <w:sz w:val="24"/>
          <w:szCs w:val="24"/>
          <w:color w:val="auto"/>
        </w:rPr>
      </w:pPr>
    </w:p>
    <w:p>
      <w:pPr>
        <w:ind w:right="400" w:firstLine="509"/>
        <w:spacing w:after="0" w:line="243" w:lineRule="auto"/>
        <w:rPr>
          <w:sz w:val="20"/>
          <w:szCs w:val="20"/>
          <w:color w:val="auto"/>
        </w:rPr>
      </w:pPr>
      <w:r>
        <w:rPr>
          <w:rFonts w:ascii="Times New Roman" w:cs="Times New Roman" w:eastAsia="Times New Roman" w:hAnsi="Times New Roman"/>
          <w:sz w:val="15"/>
          <w:szCs w:val="15"/>
          <w:color w:val="auto"/>
        </w:rPr>
        <w:t>The aggregate market value of Clearside Biomedical, Inc. voting and non-voting common equity held by non-affiliates as of June 30, 2022 (the last business day of the registrant's most recently completed second fiscal quarter) based on the closing sale price of $1.47 as reported on the Nasdaq Global Market on that date was approximately $80,000,000.</w:t>
      </w:r>
    </w:p>
    <w:p>
      <w:pPr>
        <w:spacing w:after="0" w:line="3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March 8, 2023, the registrant had 61,364,299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12" w:right="439" w:bottom="1440" w:gutter="0" w:footer="0" w:header="0"/>
        </w:sectPr>
      </w:pPr>
    </w:p>
    <w:bookmarkStart w:id="1" w:name="page2"/>
    <w:bookmarkEnd w:id="1"/>
    <w:p>
      <w:pPr>
        <w:ind w:left="412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5"/>
          <w:szCs w:val="15"/>
          <w:color w:val="auto"/>
        </w:rPr>
        <w:t>Portions of the Company’s definitive proxy statement, to be filed pursuant to Regulation 14A under the Securities Exchange Act of 1934, for its 2023 Annual Meeting of Stockholders are incorporated by reference in Part III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02" w:right="6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commercialization of XIPERE by our licensing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the development and potential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availability of data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regulatory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enter into and maintain collaborations with other companies;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 candidates with significant commercial potential that are compatible with suprachoroidal injection and which are consistent with our commercial objectives;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cash resources, our future expenses and needs for additional financing.</w:t>
      </w:r>
    </w:p>
    <w:p>
      <w:pPr>
        <w:spacing w:after="0" w:line="225"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a result of these factors, we cannot assure you that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will prove to be accurate. Furthermore, if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prove to be inaccurate, the inaccuracy may be material. In light of the significant uncertainties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proprietary rights to a number of trademarks used in this Annual Report which are important to our business, including Clearside, XIPERE, SCS, SCS Microinjector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68"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760" w:right="36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31"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are focused on the development of product candidates for treatment of eye disease through suprachoroidal injection and partnering with companies who can leverage our SCS Microinjector to deliver their ophthalmic product candidates to the suprachoroidal space, or SCS. Suprachoroidal injection is a novel approach and may fail to achieve and sustain market acceptance.</w:t>
      </w:r>
    </w:p>
    <w:p>
      <w:pPr>
        <w:spacing w:after="0" w:line="6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regulatory approval for, and commercialize either on our own or with a third party, CLS-AX or our other product candidates, or if we experience significant delays in doing so, our business may be harmed.</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53"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intend to continue intend to enter into, collaborations with third parties for the development and commercialization of product candidates. If those collaborations are not successful, we may not be able to capitalize on the market potential of these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gridSpan w:val="11"/>
          </w:tcPr>
          <w:p>
            <w:pPr>
              <w:jc w:val="center"/>
              <w:ind w:right="4740"/>
              <w:spacing w:after="0" w:line="196"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40" w:type="dxa"/>
            <w:vAlign w:val="bottom"/>
          </w:tcPr>
          <w:p>
            <w:pPr>
              <w:spacing w:after="0"/>
              <w:rPr>
                <w:sz w:val="17"/>
                <w:szCs w:val="17"/>
                <w:color w:val="auto"/>
              </w:rPr>
            </w:pPr>
          </w:p>
        </w:tc>
      </w:tr>
      <w:tr>
        <w:trPr>
          <w:trHeight w:val="237"/>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4020" w:type="dxa"/>
            <w:vAlign w:val="bottom"/>
            <w:gridSpan w:val="16"/>
          </w:tcPr>
          <w:p>
            <w:pPr>
              <w:spacing w:after="0"/>
              <w:rPr>
                <w:sz w:val="20"/>
                <w:szCs w:val="20"/>
                <w:color w:val="auto"/>
              </w:rPr>
            </w:pPr>
          </w:p>
        </w:tc>
        <w:tc>
          <w:tcPr>
            <w:tcW w:w="580" w:type="dxa"/>
            <w:vAlign w:val="bottom"/>
            <w:tcBorders>
              <w:top w:val="single" w:sz="8" w:color="0000EE"/>
            </w:tcBorders>
            <w:gridSpan w:val="3"/>
          </w:tcPr>
          <w:p>
            <w:pPr>
              <w:spacing w:after="0"/>
              <w:rPr>
                <w:sz w:val="20"/>
                <w:szCs w:val="20"/>
                <w:color w:val="auto"/>
              </w:rPr>
            </w:pPr>
          </w:p>
        </w:tc>
        <w:tc>
          <w:tcPr>
            <w:tcW w:w="4740" w:type="dxa"/>
            <w:vAlign w:val="bottom"/>
            <w:gridSpan w:val="8"/>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40" w:type="dxa"/>
            <w:vAlign w:val="bottom"/>
            <w:gridSpan w:val="18"/>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40" w:type="dxa"/>
            <w:vAlign w:val="bottom"/>
            <w:gridSpan w:val="22"/>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11"/>
          </w:tcPr>
          <w:p>
            <w:pPr>
              <w:jc w:val="center"/>
              <w:ind w:right="468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20" w:type="dxa"/>
            <w:vAlign w:val="bottom"/>
            <w:gridSpan w:val="4"/>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620" w:type="dxa"/>
            <w:vAlign w:val="bottom"/>
            <w:gridSpan w:val="13"/>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500" w:type="dxa"/>
            <w:vAlign w:val="bottom"/>
            <w:gridSpan w:val="3"/>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3"/>
          </w:tcPr>
          <w:p>
            <w:pPr>
              <w:spacing w:after="0"/>
              <w:rPr>
                <w:sz w:val="19"/>
                <w:szCs w:val="19"/>
                <w:color w:val="auto"/>
              </w:rPr>
            </w:pPr>
          </w:p>
        </w:tc>
        <w:tc>
          <w:tcPr>
            <w:tcW w:w="8220" w:type="dxa"/>
            <w:vAlign w:val="bottom"/>
            <w:gridSpan w:val="20"/>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9"/>
                <w:szCs w:val="19"/>
                <w:color w:val="auto"/>
              </w:rPr>
            </w:pPr>
          </w:p>
        </w:tc>
        <w:tc>
          <w:tcPr>
            <w:tcW w:w="5060" w:type="dxa"/>
            <w:vAlign w:val="bottom"/>
            <w:gridSpan w:val="9"/>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53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3"/>
          </w:tcPr>
          <w:p>
            <w:pPr>
              <w:jc w:val="center"/>
              <w:ind w:right="438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40" w:type="dxa"/>
            <w:vAlign w:val="bottom"/>
          </w:tcPr>
          <w:p>
            <w:pPr>
              <w:spacing w:after="0"/>
              <w:rPr>
                <w:sz w:val="24"/>
                <w:szCs w:val="24"/>
                <w:color w:val="auto"/>
              </w:rPr>
            </w:pPr>
          </w:p>
        </w:tc>
      </w:tr>
      <w:tr>
        <w:trPr>
          <w:trHeight w:val="203"/>
        </w:trPr>
        <w:tc>
          <w:tcPr>
            <w:tcW w:w="8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202"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880" w:type="dxa"/>
            <w:vAlign w:val="bottom"/>
            <w:gridSpan w:val="14"/>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96</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700" w:type="dxa"/>
            <w:vAlign w:val="bottom"/>
            <w:gridSpan w:val="2"/>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540" w:type="dxa"/>
            <w:vAlign w:val="bottom"/>
            <w:gridSpan w:val="5"/>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64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7080" w:type="dxa"/>
            <w:vAlign w:val="bottom"/>
            <w:gridSpan w:val="16"/>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925"/>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18"/>
          </w:tcPr>
          <w:p>
            <w:pPr>
              <w:ind w:left="47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or SCS. Our novel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we are creating a broad therapeutic platform for developing product candidates to treat serious eye diseases.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Suprachoroidal Space (SCS) Injection Platform</w:t>
      </w:r>
    </w:p>
    <w:p>
      <w:pPr>
        <w:spacing w:after="0" w:line="121" w:lineRule="exact"/>
        <w:rPr>
          <w:sz w:val="20"/>
          <w:szCs w:val="20"/>
          <w:color w:val="auto"/>
        </w:rPr>
      </w:pPr>
    </w:p>
    <w:p>
      <w:pPr>
        <w:ind w:right="100" w:firstLine="549"/>
        <w:spacing w:after="0" w:line="258" w:lineRule="auto"/>
        <w:rPr>
          <w:sz w:val="20"/>
          <w:szCs w:val="20"/>
          <w:color w:val="auto"/>
        </w:rPr>
      </w:pPr>
      <w:r>
        <w:rPr>
          <w:rFonts w:ascii="Times New Roman" w:cs="Times New Roman" w:eastAsia="Times New Roman" w:hAnsi="Times New Roman"/>
          <w:sz w:val="18"/>
          <w:szCs w:val="18"/>
          <w:color w:val="auto"/>
        </w:rPr>
        <w:t>Our suprachoroidal injection platform is a novel, patented approach for delivering pharmacotherapy to the back of the eye via the SCS. When fluid is injected between the choroid and sclera, the elasticity of the SCS allows the fluid to migrate and spread spherically toward the posterior regions of the eye where it is absorbed into adjacent tissue. Our proprietary SCS microinjector is able to precisely administer drugs into the SCS utilizing a needle that is approximately one millimeter in length. This non-surgical method of administration facilitates more targeted delivery of therapeutic agents to chorioretinal structures and can be accomplished in an in-office setting. The suprachoroidal injection procedure is depicted in the picture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145415</wp:posOffset>
            </wp:positionV>
            <wp:extent cx="3188970" cy="1791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8897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With suprachoroidal injections, product candidates are more directly administered to the retina and choroid, limiting exposure to non-target tissues as compared to other ocular drug administration techniques. Furthermore, a natural pressure gradient between the intraocular pressure, or IOP, and the SCS pressure drives suprachoroidal injectates posteriorly towards the macula, which facilitates treatment of macular disorders with this office-based approach, without the need for an intraocular catheter or other surgical techniques. In contrast, intravitreal injections, the current standard for delivery of many drugs for eye diseases, rely on diffusion of drug outward from the vitreous, a jelly-like substance that occupies the central portion of the eye, to the retina and choroid. This diffusion can result in lower concentrations of drug in these targeted areas and the drug spreading to unintended parts of the eye, potentially causing significant side effects. We believe treatment of eye disease via suprachoroidal injection may provide a number of benefits, including a non-surgical procedure, lower frequency of administration, limited exposure to non-targeted tissues, faster onset of therapeutic effect and an improved safety profile.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extensive patent portfolio provides us with the right to develop and commercialize pharmacological agents for treatment of eye diseases via suprachoroidal injection. We believe this proprietary method of administration has the potential to become the standard for the delivery of therapies intended to treat retinal and choroidal diseases. Our intellectual property portfolio consists of 26 issued U.S. patents and more than 70 European and international patents broadly directed to the use of the SCS Microinjector, administration of any drug into the SCS by injection, as well as XIPERE and our product candidates.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SCS Microinjector</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proprietary SCS Microinjector can be used to inject a wide variety of therapies into the SCS, including our internally developed and our collaborators’ drug candidates. Our SCS Microinjector provides targeted delivery to potentially improve efficacy and compartmentalization of medication to reduce or eliminate toxic effects on non-diseased cells. Suprachoroidal injection enables the rapid dispersion of medicine to the back of the eye, offering the potential for the medicine to act longer and minimize harm to the surrounding healthy parts of the eye.</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SCS Microinjector has been used in over 2,000 suprachoroidal injections in our clinical trials and the clinical trials of our partners. It has been commercially accepted by retinal physicians following the launch of XIPERE in the United States by Bausch + Lomb with over 1,000 retinal physicians trained to date. Suprachoroidal injections using our SCS Microinjector have demonstrated a clinical safety profile comparable to intravitreal injections.</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SCS Microinjector, shown in the picture below, is composed of a syringe and two 30-gauge hollow microneedles of varying lengths, each approximately one millimeter, within a custom-designed hub that optimizes insertion and suprachoroidal administration of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131445</wp:posOffset>
            </wp:positionV>
            <wp:extent cx="4920615" cy="2820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061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firstLine="549"/>
        <w:spacing w:after="0" w:line="258" w:lineRule="auto"/>
        <w:rPr>
          <w:sz w:val="20"/>
          <w:szCs w:val="20"/>
          <w:color w:val="auto"/>
        </w:rPr>
      </w:pPr>
      <w:r>
        <w:rPr>
          <w:rFonts w:ascii="Times New Roman" w:cs="Times New Roman" w:eastAsia="Times New Roman" w:hAnsi="Times New Roman"/>
          <w:sz w:val="18"/>
          <w:szCs w:val="18"/>
          <w:color w:val="auto"/>
        </w:rPr>
        <w:t>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Intravitreal injections are typically performed using a needle that is approximately five millimeters in length, or five times the length of our microneedle. Using a needle of this length, the physician penetrates past the sclera, choroid and retina until reaching the vitreous and does not receive any tactile feedback as to when the needle reaches one of the layers between the sclera and the vitreous.</w:t>
      </w:r>
    </w:p>
    <w:p>
      <w:pPr>
        <w:spacing w:after="0" w:line="183" w:lineRule="exact"/>
        <w:rPr>
          <w:sz w:val="20"/>
          <w:szCs w:val="20"/>
          <w:color w:val="auto"/>
        </w:rPr>
      </w:pPr>
    </w:p>
    <w:p>
      <w:pPr>
        <w:ind w:firstLine="549"/>
        <w:spacing w:after="0" w:line="258" w:lineRule="auto"/>
        <w:rPr>
          <w:sz w:val="20"/>
          <w:szCs w:val="20"/>
          <w:color w:val="auto"/>
        </w:rPr>
      </w:pPr>
      <w:r>
        <w:rPr>
          <w:rFonts w:ascii="Times New Roman" w:cs="Times New Roman" w:eastAsia="Times New Roman" w:hAnsi="Times New Roman"/>
          <w:sz w:val="18"/>
          <w:szCs w:val="18"/>
          <w:color w:val="auto"/>
        </w:rPr>
        <w:t>By contrast, our SCS Microinjector is designed to inject drug into the SCS. This suprachoroidal injection is designed to be carried out under local anesthesia, perpendicular to the sclera, at a site similar to an intravitreal injection. Once the microneedle penetrates the sclera and reaches the SCS, the boundary between the sclera and the choroid, the open bevel of the needle releases the drug between these two layers. Once drug is injected into the SCS, it spreads to the back of the eye, due to a natural pressure gradient between the IOP and the SCS pressure, precisely targeting the cells of interest without the need for intraocular catheters or other surgical techniques.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jc w:val="both"/>
        <w:ind w:right="480" w:firstLine="554"/>
        <w:spacing w:after="0" w:line="261" w:lineRule="auto"/>
        <w:rPr>
          <w:sz w:val="20"/>
          <w:szCs w:val="20"/>
          <w:color w:val="auto"/>
        </w:rPr>
      </w:pPr>
      <w:r>
        <w:rPr>
          <w:rFonts w:ascii="Times New Roman" w:cs="Times New Roman" w:eastAsia="Times New Roman" w:hAnsi="Times New Roman"/>
          <w:sz w:val="18"/>
          <w:szCs w:val="18"/>
          <w:color w:val="auto"/>
        </w:rPr>
        <w:t>We have research capabilities focused on developing proprietary therapeutic formulations to utilize with our SCS Microinjector. Our current internal research and development initiatives are focused on small molecules to address serious diseases that affect the back of the eye. In addition to growing our internal pipeline, we are also focused on strategically collaborating with other companies to provide access to the suprachoroidal space through the use of our SCS Microinjector.</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172200" cy="2820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Clinical Development Pipeline</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are building a clinical development pipeline focused on small molecules. Our first product, XIPERE, was approved by the FDA in October 2021. The XIPERE approval supports our approach both clinically and preclinically to advance small molecule suspensions delivered into the SCS.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most advanced clinical development product candidate is a proprietary suspension of axitinib, a tyrosine kinase inhibitor, or TKI, for suprachoroidal injection, which we refer to as CLS-AX. We recently completed OASIS, a Phase 1/2a clinical trial in patients with neovascular age-related macular degeneration, commonly referred to as wet AMD. We are currently finalizing the trial design for ODYSSEY, our Phase 2b clinical trial of CLS-AX, and expect to initiate the trial in the second quarter of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CLS-AX (axitinib injectable suspension)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CLS-AX, our most advanced product candidate, is our proprietary suspension of the TKI axitinib for suprachoroidal injection delivered via our SCS Microinjector. CLS-AX is an inhibitor of vascular endothelial growth factor receptor-1, -2 and -3 that we believe may benefit patients who respond sub optimally to current anti-VEGF therapies. We are developing CLS-AX for administration to the SCS as a long-acting therapy for wet AMD, a retinal degenerative disease that causes a progressive loss of central vision.</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AMD is the leading cause of irreversible blindness in adults over 55 years old in developed countries. Approximately 11 million individuals in the United States are affected with AMD, with a global prevalence of 170 million. Aging is the greatest risk factor; therefore, the United States prevalence of AMD is anticipated to increase to 22 million by 2050, while the global prevalence is expected to increase to 288 million by 2040. An estimated 10% to 15% of people with AMD will develop the wet form, which refers to the advanced neovascular stage of the disease in which blood vessels leak blood and fluid into the macula and damage photoreceptor cells. Wet AMD often progresses rapidly and causes substantial loss of central vision if left untreated. Current wet AMD therapy has a ceiling of efficacy as increased dosage or more intense regimens yield limited or no additional visual benefit and require adherence to a regimen of frequent injections. This treatment burden is further highlighted by recent large “real-world” retrospective studies of wet AMD which underscore the difficulty in adhering to regimens. These real-world studies demonstrate that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patients are undertreated, receiving only 6 to 7 injections per year on average, resulting in mean improvement of only one to three letters in visual acuity after one year of treatment. The current anti-VEGF market for the treatment of retinal diseases consists of several drugs that generated aggregate 2020 sales of approximately $14.3 billion globally.</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Axitinib is currently approved to treat renal cell cancer. Because it is a well-characterized small molecule instead of a novel complex biologic, we believe there is potential for less immune response and inflammation compared to some new, contemporary biologic agents. Also, compared to other TKIs, axitinib has shown better biocompatibility with ocular cells, including retinal pigment epithelial cells, which may potentially translate to safety benefits. Other TKIs have shown biologic effect in wet AMD clinical trials when delivered systemically, topically and intravitreally. However, each of these routes of administration have been associated with off-target effects. Consequently, a limitation of TKIs may be associated with the delivery of the drug and not a result of the mechanism of action. Importantly, we believe that administration of CLS-AX to the SCS using our SCS Microinjector, may minimize the occurrence of related adverse events, such as vitreous floaters, "snow globe" effect or corneal off-target effects seen with other TKI administration techniques.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With its broad VEGF blockade, we believe axitinib may have efficacy advantages over existing retinal therapies, which predominantly focus on VEGF-A blockade and may upregulate other forms of VEGF. Axitinib achieves pan-VEGF blockade by acting at a different level of the angiogenesis cascade, directly inhibiting VEGF receptors-1, -2, and -3 with high potency and specificity. In preclinical studies, axitinib was observed to be greater than ten times more potent than other TKIs. In multiple preclinical animal studies conducted by independent investigators, axitinib has inhibited corneal, retinal and choroidal angiogenesis. In addition, in preclinical models, axitinib more effectively inhibited and regressed experimental corneal neovascularization than other TKIs.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our internal preclinical studies, CLS-AX delivered through suprachoroidal injection was well tolerated and showed durability over several months. This could lead to a longer lasting, highly effective treatment that may reduce the number of treatments and visits required for wet AMD patients to achieve optimal results. These studies have also demonstrated up to eleven times higher drug levels in affected tissues versus intravitreal administration of the same dose of axitinib. Therefore, suprachoroidal delivery of CLS-AX has the potential to compartmentalize therapy away from unaffected tissues for potential safety benefits and target the affected chorioretinal tissue layers for potential efficacy benefits.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August 2020, we announced that the FDA had accepted our Investigational New Drug application, or IND, for CLS-AX. In January 2021, we announced the enrollment of our first participant in OASIS, a Phase 1/2a clinical trial of CLS-AX in participants with wet AMD. OASIS was an open-label, dose-escalation clinical trial to assess the safety and tolerability of single doses of CLS-AX administered through suprachoroidal injection following two or more prior treatments with aflibercept, an intravitreal anti-VEGF agent, dosed at screening. All participants were highly treatment-experienced wet AMD participants with active disease at screening. The primary endpoint for the trial assessed the safety and tolerability of CLS-AX for the three months following the administration of CLS-AX, and secondary endpoints evaluated the pharmacokinetics, visual function, ocular anatomy and the need for additional treatment with intravitreal aflibercept during the three- and six-month periods.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Participant inclusion criteria for enrollment in OASIS included: active subfoveal choroidal neovascularization secondary to AMD; two or more anti-VEGF treatments with a meaningful response in the four months preceding the screening visit; and a best corrected visual acuity, or BCVA, score of ≥ 20 letters (20/400) and ≤ 75 letters (20/32) with &lt; 5 letters change between screening and baseline to ensure patient stability after anti-VEGF treatment. Participants were assessed at weeks four, eight and twelve. Participants were assessed for additional therapy if they experienced any of the following: (1) loss of 10 or more letters in BCVA compared to the best prior study-assessed BCVA in the study eye that is attributed to intra- or sub-retinal fluid observed by the investigator; (2) increase in central subfield retinal thickness greater than 75 microns from baseline at visit 2 in the study eye; or (3) presence of vision-threatening hemorrhage due to AMD in the study eye. The trial consisted of four cohorts at the following doses of CLS-AX delivered via suprachoroidal injection: Cohort 1 at 0.03 mg; Cohort 2 at 0.1 mg; Cohort 3 at 0.5 mg; Cohort 4 at 1.0 mg. In January 2021, we announced that the first participants had been enrolled in OASIS. In December 2021, we announced that the primary endpoints were met in Cohorts 1 and 2. CLS-AX was well tolerated with no serious adverse events; there were no treatment emergent adverse events related to aflibercept, CLS-AX or the suprachoroidal injection procedure, no dispersion of drug into the vitreous, and no adverse events related to IOP, inflammation or vasculitis. In July 2022, we completed patient enrollment of OASIS and also completed dosing in Cohort 3 in which each patient received a dose of 0.5 mg, and in Cohort 4 in which each patient received a dose of 1.0 mg.</w:t>
      </w:r>
    </w:p>
    <w:p>
      <w:pPr>
        <w:spacing w:after="0" w:line="1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four OASIS cohorts we enrolled a total of 27 participants. All participants were highly treatment-experienced wet AMD participants with active disease at screening. These four cohorts allowed us to collect more CLS-AX patient data to help guide our selection of the most appropriate dosing protocol for ODYSSEY, our planned Phase 2b clinical trial of CLS-AX for the treatment of wet AMD.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Participants in Cohorts 2, 3, and 4 who elected to participate in an extension study were followed for an additional 3 months. On November 9, 2022, we reported positive results that included final three-month data from Cohorts 3 and 4, and interim data from the extension study. CLS-AX demonstrated a positive safety profile in all four cohorts. There were no serious adverse events and no treatment emergent adverse events related to aflibercept, CLS-AX, or the suprachoroidal injection procedure. There were also no dose limiting toxicities. There were no adverse events related to inflammation, vasculitis or vascular occlusion, and there were no vitreous “floaters” or dispersion of CLS-AX into the vitreous.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Cohorts 3 and 4, the data showed favorable durability with a meaningful reduction in treatment burden at the 3-month endpoint and to date in the extension study. Of the 16 participants in Cohorts 3 and 4, at the 3-month endpoint, 69% did not receive additional therapy, 92% did not receive additional therapy per protocol criteria, and there was at least a 73% reduction in treatment burden from the average monthly injections in the three months before CLS-AX administration. Of the 12 participants in the extension study, based on interim data as of October 27, 2022, 88% (7/8) of participants did not receive additional therapy to the 5-month endpoint and 75% (3/4) of participants did not receive additional therapy to the 6-month endpoint. Further, in the extension study, there was at least a 90% reduction in treatment burden from the average monthly injections in the six months before CLS-AX administration. In Cohorts 3 and 4, CLS-AX also showed an observable biologic effect with stable mean BCVA, stable mean central subfield thickness, or CST, and anatomical signs of TKI biologic effect observed on Optical Coherence Tomography, or OCT, images.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 2023, we announced positive results from the complete OASIS extension study.</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CLS-AX was well-tolerated and demonstrated a favorable safety profile across all cohorts in both the three-month dose-escalation portion (n=27) and the extension study (n=14). No serious adverse events, treatment emergent adverse events related to study or dose limiting toxicities were observed. In addition, there were no adverse events related to inflammation, vasculitis or vascular occlusion, no vitreous “floaters” or dispersion of CLS-AX into the vitreous and no retinal detachments, endophthalmitis or adverse events related to IOP.</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full extension data for Cohorts 3 and 4 (n=12) showed promising durability, with a 77% - 85% reduction in treatment burden observed compared to the average monthly injections in the six months before CLS-AX administration. The table below details the length of time the participants went without additional therapy:</w:t>
      </w:r>
    </w:p>
    <w:p>
      <w:pPr>
        <w:spacing w:after="0" w:line="171" w:lineRule="exact"/>
        <w:rPr>
          <w:sz w:val="20"/>
          <w:szCs w:val="20"/>
          <w:color w:val="auto"/>
        </w:rPr>
      </w:pPr>
    </w:p>
    <w:tbl>
      <w:tblPr>
        <w:tblLayout w:type="fixed"/>
        <w:tblInd w:w="1410" w:type="dxa"/>
        <w:tblCellMar>
          <w:top w:w="0" w:type="dxa"/>
          <w:left w:w="0" w:type="dxa"/>
          <w:bottom w:w="0" w:type="dxa"/>
          <w:right w:w="0" w:type="dxa"/>
        </w:tblCellMar>
      </w:tblPr>
      <w:tr>
        <w:trPr>
          <w:trHeight w:val="26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Duration Without Additional Therapy</w:t>
            </w:r>
          </w:p>
        </w:tc>
        <w:tc>
          <w:tcPr>
            <w:tcW w:w="4200" w:type="dxa"/>
            <w:vAlign w:val="bottom"/>
            <w:tcBorders>
              <w:top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Number of Participants (n=12)</w:t>
            </w:r>
          </w:p>
        </w:tc>
      </w:tr>
      <w:tr>
        <w:trPr>
          <w:trHeight w:val="206"/>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 Months</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 (92%)</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 Months</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10/12 (83%)</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6 Months</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8/12 (67%)</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 6 Months</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6/12 (50%)</w:t>
            </w:r>
          </w:p>
        </w:tc>
      </w:tr>
    </w:tbl>
    <w:p>
      <w:pPr>
        <w:spacing w:after="0" w:line="19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Cohorts 3 and 4 of the extension study, CLS-AX showed signs of biologic effect with stable mean BCVA and stable mean CST to the six-month timepoint. On optical coherent tomography images, anatomical signs of TKI biologic effect were observed in anti-VEGF treatment experienced sub-responders on optical coherent tomography images.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ODYSSEY Phase 2b Clinical Trial</w:t>
      </w:r>
    </w:p>
    <w:p>
      <w:pPr>
        <w:spacing w:after="0" w:line="22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Based on the results from the OASIS trial, we are planning to conduct a randomized, controlled, double-masked, Phase 2b clinical trial of CLS-AX for the treatment of wet AMD, which we refer to as ODYSSEY. Based on the issuance by the FDA of draft guidance on February 24, 2023 entitled Neovascular Age-Related Macular Degeneration: Developing Drugs for Treatment and subsequent interactions with the FDA, we intend to use aflibercept as the comparator drug in the ODYSSEY trial. We are currently finalizing the clinical trial design and plan to open enrollment in the second quarter of 2023, with data expected in the second half of 2024.</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an experienced team of scientists and researchers evaluating small molecules that may be utilized as potential treatment options for back of the eye diseases. This work often entails developing a suspension formulation for delivery into the suprachoroidal space via our SCS Microinjector. Suprachoroidal delivery of a new suspension could provide targeting, compartmentalization and durability advantages over topical or intravitreal delivery, similar to what we observed with XIPERE and CLS-AX. Once a formulation is confirmed, we proceed with conducting non-human studies until enough data is collected to warrant submitting an IND for such a product candidate.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XIPERE (triamcinolone acetonide injectable suspension) for suprachoroidal use</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first product, XIPERE, formerly known as CLS-TA, is a proprietary, preservative-free suspension of the corticosteroid triamcinolone acetonide, or TA, for suprachoroidal use.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IOP, which can lead to glaucoma.</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XIPERE was approved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evaluating options for potential submissions to regulatory agencies in additional territories not currently licensed for the treatment of patients with macular edema associated with uveitis.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External Collaborations Pipeline</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Health, Arctic Vision, REGENXBIO, Inc., and Aura Biosciences. Under these license agreements, we have received an aggregate of $38.3 million of non-dilutive capital in the form of upfront and milestone payments since 2019, and we are eligible to receive up to an aggregate of more than $233 million in potential development and sales milestones, as well as royalties from net sales of covered products. As discussed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 we are obligated to pay HCR any such royalties or milestone payments until we have satisfied our obligations under the Purchase and Sale Agreement.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for commercialization of XIPERE in United States and Canada</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October 22, 2019, we entered into a License Agreement with Bausch + Lomb or, as amended, the Bausch License Agreement. Pursuant to the Bausch License Agreement, we granted an exclusive license to Bausch to develop, manufacture, distribute, promote, market and commercialize XIPERE using our SCS Microinjector, as well as specified other steroids, corticosteroids and NSAIDs in combination with the SCS Microinjector, or together with XIPERE, the Products, subject to specified exceptions, in the United States and Canada, or the Territory for the treatment of ophthalmology indications, including non-infectious uveitis.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the Bausch License Agreement, Bausch paid us an upfront payment of $5.0 million in October 2019. In October 2021, the FDA approved XIPERE, and we received $5.0 million from Bausch as a result of the approval. In January 2022, we received an additional payment of $10.0 million related to the completion of pre-launch activities for XIPERE.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as well as a lower royalty on annual net sales of other products, in each case subject to reductions in specified circumstances. However, we will not receive any royalties on the first $45.0 million of cumulative net sales of all products in the Territory. Bausch launched XIPERE in the United States in the first quarter of 2022.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Both parties may terminate the Bausch License Agreement (i) upon a material breach of the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Bausch License Agreement, subject to a specified cure period and specified exceptions, or (ii) if the other party encounters bankruptcy or insolvency.</w:t>
      </w:r>
    </w:p>
    <w:p>
      <w:pPr>
        <w:spacing w:after="0" w:line="329"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License agreement for commercialization of XIPERE in China, Hong Kong, Macau, Taiwan and South Korea, India, ASEAN Countries, Australia and New Zealand</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10,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2020, Arctic Vision announced clearance of its IND for a Phase 3 clinical trial of ARVN001 (XIPERE) in China for the treatment of macular edema associated with uveitis.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November 2021, Arctic Vision announced dosing of the first patient in a Phase 3 clinical trial of ARVN001 for the treatment of macular edema associated with uveitis. Arctic Vision has also branded ARVN001 as Arcatus.</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March 2022, Arctic Vision announced dosing of the first patient in a Phase 1 clinical trial of ARVN011 in China for the treatment of diabetic macular edema.</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the Arctic Vision License Agreement, Arctic Vision paid us an upfront payment of $4.0 million in March 2020. In December 2021, we received a milestone payment of $4.0 million following receipt of FDA approval of XIPERE in the United States. In addition, Arctic Vision has agreed to pay us up to a total of $22.5 million in development and sales milestone payments. Further, during the applicable royalty term, we are also entitled to receive tiered royalties of 10% to 12%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Arctic Vision License Agreement will expire upon the expiration of the last-to-expire royalty term. Arctic Vision may terminate the License Agreement for convenience upon 45 days’ notice if before regulatory approval in the Arctic Territory or 90 days’ notice if after regulatory approval in the Arctic Territory. In addition, we can terminate the License Agreement if Arctic Vision commences a legal action challenging the validity, enforceability or scope of the licensed patents. Both parties may terminate the License Agreement (i) upon a material breach of the License Agreement, subject to a specified cure period, or (ii) if the other party enters bankruptcy. Upon termination, all licenses and other rights granted to Arctic Vision pursuant to the License Agreement would revert to us. If Arctic Vision exercises its termination right for convenience or if the License Agreement terminates as a result of Arctic Vision’s material breach or bankruptcy, Arctic Vision will assign and transfer all regulatory approvals, related documents and trademarks (with respect to trademarks, only those specific to) pertaining to XIPERE in the Arctic Territory to us. If Arctic Vision terminates the Arctic Vision License Agreement as a result of material breach by us or our bankruptcy after regulatory approval of XIPERE in the Arctic Territory, we are obligated to pay Arctic Vision royalties equal to a low-single digit percentage of net sales of XIPERE in the Arctic Territory.</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 Therapy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our platform offers the potential for safer, targeted ocular gene therapy without some of the risks of surgery and subretinal administration. Suprachoroidal administration of gene therapy could ultimately enhance access to care because it does not require specialized gene therapy surgery treatment centers. The procedure for suprachoroidal injection is conducted in an office setting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and is similar in terms of patient preparation and duration to the procedure for intravitreal injection. Therefore, we believe our products could be incorporated into retina specialists’ standard medical practice.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past several years, gene therapy has demonstrated in preclinical studies and clinical trials conducted by third parties that genetic material can be effectively and tolerably introduced to the retinal tissues, most often using an adeno-associated virus, or AAV. Safe and reproducible delivery of gene therapy vector into the subretinal space is essential for successful targeting of the retinal pigment epithelium, or RPE, and photoreceptor rods or cones. Currently, the only approved retinal gene therapy and most investigational retinal gene therapies are delivered via retinal surgery at a limited number of specialized ocular gene therapy treatment centers. During the pars plana vitrectomy surgery, the surgeon creates a small hole in the retina to inject the gene therapy beneath the retina to the subretinal space without tearing or damaging the retina and macula. This process creates a small retinal detachment, which separates and exposes the photoreceptors and RPE to the gene therapy. The retina is in a diseased state and already compromised and the procedure carries iatrogenic risk. However, the success of this surgery is critical for the clinical efficacy of retinal gene therapy. Consequently, the surgery requires extensive training and the limited number of specialized ocular gene therapy centers creates patient access issues. Unlike vitrectomy, suprachoroidal administration does not require detachment of the photoreceptors from the RPE, and consequently, avoids the risk of iatrogenic subretinal injection to an already-compromised retina. Suprachoroidal injection procedure training is minimal and could ultimately enhance access to care because it would not have to be administered at a specialized gene therapy surgery treatment center.</w:t>
      </w:r>
    </w:p>
    <w:p>
      <w:pPr>
        <w:spacing w:after="0" w:line="19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Inherited retinal diseases, or IRDs, such as Stargardt disease and Usher syndrome, represent some of the most challenging diseases that ophthalmologists encounter. They cause progressive and relentless vision loss due to changes in genes critical to the survival of photoreceptors and RPE cells, yet delivery of therapeutics to these cells is challenging. In preclinical animal studies from which data was presented at the American Academy of Ophthalmology 2019 Annual Meeting in October 2019, the suprachoroidal injection of luciferase DNA nanoparticles, or DNPs, in rabbits produced activity comparable to that seen from subretinal injections of luciferase DNPs. In these studies, SCS injections of DNPs were generally well tolerated across both rabbits and non-human primates, and no significant abnormalities were observed on ophthalmic exams. DNPs can also transfer large genes at potentially higher doses without the risks of subretinal surgery, which may allow for gene therapy in some of the most common IRDs.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suprachoroidal administration may further enhance the value proposition of ocular gene therapy by potentially improving safety and expanding access. In preclinical studies we have observed that SCS injection can administer both viral and non-viral gene therapy. Using marker genes like green fluorescent protein and luciferase in both rabbits and non-human primates, gene therapy was delivered with our SCS injection to achieve expression in the retina and choroid. To expand our overall development pipeline, we are looking to selectively partner our proprietary technology for use with novel gene therapies.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REGENXBIO, Inc.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expanded the reach of our SCS Microinjector technology in AAV-based gene therapy through a development and commercial partner.</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August 2019, we entered into an option and license agreement, or the REGENXBIO Option and License Agreement, with REGENXBIO Inc., or REGENXBIO, pursuant to which we granted REGENXBIO an exclusive option, or the Option, to enter into a commercial license agreement granting REGENXBIO an exclusive, worldwide and sublicensable license to our SCS Microinjector for the in-office delivery of AAV-based gene therapies for the treatment of wet AMD, diabetic retinopathy and other conditions for which anti-VEGF treatment is currently the standard of care.</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October 2019, REGENXBIO exercised the Option and paid us an option fee equal to $2.0 million less $0.5 million received under a prior technology access agreement. Under the license agreement, REGENXBIO paid us $3.0 million in connection with a development milestone and has agreed to additional payments to us of up to an aggregate of $31.0 million upon the achievement of specified development milestones and up to $102.0 million in sales-based milestone payments, as well as mid-single digit royalties on net sales of products using the SCS Microinjector during the royalty term.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7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REGENXBIO will be responsible for all development, regulatory and commercialization activities for their gene therapy product candidates. We will be responsible for supplying the SCS Microinjector in support of REGENXBIO’s preclinical studies, clinical studies and commercial use.</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REGENXBIO is currently conducting two multi-center, open-label, randomized, controlled, dose-escalation Phase 2 clinical trials evaluating the efficacy, safety and tolerability of suprachoroidal delivery of RGX-314 using our SCS Microinjector technology: a Phase 2 trial entitled AAVIATE for the treatment of wet AMD and a second Phase 2 trial entitled ALTITUDE for the treatment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diabetic retinopathy. REGENXBIO has reported positive initial data from both clinical trials and the trials continue to enroll participants. In February 2022, REGENXBIO reported that both the wet AMD and diabetic retinopathy suprachoroidal clinical trials are on track to be completed in the first half of 2023, with additional interim trial data expected in the second half of 2023.</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Ocular Oncology</w:t>
      </w:r>
    </w:p>
    <w:p>
      <w:pPr>
        <w:spacing w:after="0" w:line="12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color w:val="auto"/>
        </w:rPr>
        <w:t>Ocular cancers are a group of rare, life-threatening conditions that affect one or both eyes. The main indications include choroidal melanoma, choroidal metastases, cancers of the ocular surface and retinoblastoma, among others. Diagnosing and treating these cancers early is important because they have the potential to spread both within the eye and to other organs. The risk for ocular cancer increases with age and increases significantly after the age of</w:t>
      </w:r>
    </w:p>
    <w:p>
      <w:pPr>
        <w:spacing w:after="0" w:line="1" w:lineRule="exact"/>
        <w:rPr>
          <w:sz w:val="20"/>
          <w:szCs w:val="20"/>
          <w:color w:val="auto"/>
        </w:rPr>
      </w:pPr>
    </w:p>
    <w:p>
      <w:pPr>
        <w:ind w:right="200" w:firstLine="8"/>
        <w:spacing w:after="0" w:line="260"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cancers that occur inside the eye (e.g., choroidal melanoma), the typical treatment is radiotherapy in the form of plaque brachytherapy and proton beam therapy, but these treatments are highly invasive and result in major vision loss and other comorbidities for many patients.</w:t>
      </w:r>
    </w:p>
    <w:p>
      <w:pPr>
        <w:spacing w:after="0" w:line="1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Choroidal melanoma is the most common intraocular cancer in adults, with an incidence of approximately 11,000 patients per year in the United States and Europe. This comprises approximately 90% of all cases of uveal melanoma, consisting of melanomas in the choroid, ciliary body and iris, which are collectively referred to as the uvea. It is estimated that 96% of patients are diagnosed early without clinical evidence of metastatic disease. There are approximately 2,000 new cases treated each year in the United States and 1,600 new cases treated each year in Europe. However, despite the current treatments with radiotherapy, the long-term prognosis is poor with death occurring in more than 50% of cases. There are no FDA-approved therapies for choroidal melanoma. There is a need for treatment of early-stage disease which includes small melanomas and indeterminate lesions representing approximately 9,000 patients in the United States and Europe.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Aura Biosciences</w:t>
      </w:r>
    </w:p>
    <w:p>
      <w:pPr>
        <w:spacing w:after="0" w:line="119"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color w:val="auto"/>
        </w:rPr>
        <w:t>On July 9, 2019, we entered into a worldwide licensing agreement with Aura Biosciences, or Aura, for the use of our SCS Microinjector to deliver Aura’s proprietary drug candidates into the SCS for the potential treatment of certain ocular cancers, including choroidal melanoma. Our SCS Microinjector may offer a non-surgical alternative to intravitreal delivery of Aura’s oncology drug candidates, and we believe suprachoroidal administration may further enhance the value proposition of choroidal melanoma by potentially improving safety and expanding access. Pursuant to the licensing agreement, we are eligible to receive up to $21.1 million in payments related to pre-specified development and regulatory milestones, as well as low to mid-single digit royalties on net sales that utilize the SCS Microinjector.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7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Aura is utilizing our SCS Microinjector to deliver their viral like drug conjugate, bel-sar, for the treatment of choroidal melanoma. In February 2022, Aura presented positive interim efficacy data from their ongoing Phase 2 clinical trial. The data presented showed a favorable safety profile along with an excellent response to the therapy with 89-100% tumor control. Based on their promising data, Aura announced final plans for its global Phase 3 trial utilizing the suprachoroidal route of administration. They expect to begin enrollment in that trial in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Purchase and Sale Agreement</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August 8, 2022, or the Closing Date, we, through our wholly-owned subsidiary Clearside Royalty LLC, a Delaware limited liability company, or Royalty Sub, entered into a Purchase and Sale Agreement, or the Purchase and Sale Agreement, with entities managed by HealthCare Royalty Management, LLC, or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or the Aura License Agreement, the REGENXBIO Option and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or the Royalties, in exchange for up to $65 million. In connection with this transaction, we assigned the Arctic Vision License Agreement, Bausch License Agreement, Aura License Agreement, REGENXBIO Option and License Agreement, the Company's license agreement with Emory University and The Georgia Tech Research Corporation and related intellectual property rights to Royalty Sub.</w:t>
      </w:r>
    </w:p>
    <w:p>
      <w:pPr>
        <w:spacing w:after="0" w:line="18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we were entitled, net of certain of HCR's transaction-related expenses which we agreed to reimburse. An additional $12.5 million was deposited by HCR in an escrow account to be released to Royalty Sub upon attainment of a pre-specified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XIPERE sales milestone achieved no later than March 31, 2024. The terms of the Purchase and Sale Agreement also provide for an additional $20 million milestone payment to Royalty Sub upon attainment of a second pre-specified sales milestone related to 2024 XIPERE sales, or the Second Milestone Event.</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or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or the Alternative Cap. In the event of a change in control, acquiror will have the option to make a payment to HCR of the Initial Cap or the Alternative Cap, depending on which is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own any manufacturing facilities. We utilize CMOs to formulate and produce our drug candidates and to produce our SCS Microinjector. We procure active pharmaceutical ingredients for our drugs from third-party suppliers. We expect to continue to utilize third-party manufacturers to produce quantities of our drug candidates and the SCS Microinjector.</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May 8, 2018, we entered into a supply agreement with Gerresheimer Regensburg GmbH to supply our SCS Microinjector. Unless terminated earlier pursuant to its terms, the Gerresheimer agreement has an initial term of five years, after which it renews in three-year increments unless either party gives notice of non-renewal at least one year in advance. Each party has the right to terminate the agreement for customary reasons such as material breach and bankruptcy. The Gerresheimer agreement contains provisions relating to compliance by Gerresheimer with current Good Manufacturing Practices, regulations promulgated by the FDA, confidentiality and other customary matters for an agreement of this nature. We may enter into commercial supply agreements with our other suppliers.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exclusive license agreements for the commercialization and development of XIPERE with Bausch in the United States and Canada and with Arctic Vision in China, Hong Kong, Macau, Taiwan, South Korea, India, the ASEAN Countries, Australia and New Zealand. We may enter into distribution or licensing arrangements for commercialization rights for other regions. If any of our future product candidates, including CLS-AX, are approved by the applicable regulatory authorities, we may either commercialize those product candidates ourselves or through license or collaboration agreements with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drugs. While we believe that our technologies, knowledge, experience and scientific resources provide us with competitive advantages, we face potential competition from many different sources, including major pharmaceutical companies, specialty pharmaceutical and biotechnology companies, government agencies and public, and private research and academic institutions. Any product candidate that we successfully develop and commercialize will compete with existing therapies and new therapies that may become available in the future.</w:t>
      </w:r>
    </w:p>
    <w:p>
      <w:pPr>
        <w:spacing w:after="0" w:line="183" w:lineRule="exact"/>
        <w:rPr>
          <w:sz w:val="20"/>
          <w:szCs w:val="20"/>
          <w:color w:val="auto"/>
        </w:rPr>
      </w:pPr>
    </w:p>
    <w:p>
      <w:pPr>
        <w:ind w:right="220" w:firstLine="509"/>
        <w:spacing w:after="0" w:line="273" w:lineRule="auto"/>
        <w:rPr>
          <w:sz w:val="20"/>
          <w:szCs w:val="20"/>
          <w:color w:val="auto"/>
        </w:rPr>
      </w:pPr>
      <w:r>
        <w:rPr>
          <w:rFonts w:ascii="Times New Roman" w:cs="Times New Roman" w:eastAsia="Times New Roman" w:hAnsi="Times New Roman"/>
          <w:sz w:val="17"/>
          <w:szCs w:val="17"/>
          <w:color w:val="auto"/>
        </w:rPr>
        <w:t>XIPERE faces competition from other commercially available forms of TA and other topical, injectable and implantable corticosteroids, although none are approved for the indication of macular edema associated with uveitis. Bristol-Myers Squibb markets TA, under the brand name Kenalog, for which a number of generic equivalents are currently available. Kenalog is indicated only for intramuscular or intraarticular injection; however, it is used off-label for intraocular inflammation using intravitreal and periocular administration. In addition, Alcon’s injectable TA, Triesence, is approved in the United States for the treatment of uveitis and other ocular inflammatory conditions unresponsive to topical corticosteroids, but it is not indicated for the treatment of macular edema associated with uveitis. Ozurdex, marketed by Allergan, is a bio-erodible, extended-release implant that delivers the corticosteroid and dexamethasone, and is approved for the treatment of non-infectious uveitis affecting the posterior segment of the eye and for macular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edema due to retinal vein occlusion, or RVO in both the United States and in the European Union. Ozurdex is also approved in the United States for the treatment of diabetic macular edema, or DME. Retisert and Yutiq, both intravitreal implants of fluocinolone acetonide, are marketed by Bausch and Eyepoint Pharmaceuticals, respectively, and are approved in the United Sates for the treatment of chronic non-infectious uveitis affecting the posterior segment of the eye. In addition, Oxular is developing OXU-001 which is dexamethasone delivered via the Oxulumis suprachoroidal device for the treatment of Diabetic Macular Edema. It is possible physicians may use OXU-001 off label to treat macular edema associated with uveitis once approved.</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diabetic macular edema.</w:t>
      </w:r>
    </w:p>
    <w:p>
      <w:pPr>
        <w:spacing w:after="0" w:line="19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to Genentech’s products, Regeneron’s anti-VEGF product, Eylea and Novartis’ product, Beovu, also present potential competition for CLS-AX in both the United States and Europe. Eylea is approved for the treatment of wet AMD, macular edema following RVO and diabetic retinopathy and DME in the United States and for the treatment of wet AMD, RVO and DME in the European Union. Novartis’ Beovu was approved in 2019 for the treatment of wet AMD in the United States and in 2020 in Europe.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future competition may emerge from biosimilar anti-VEGF products as they are approved and enter the market.</w:t>
      </w:r>
    </w:p>
    <w:p>
      <w:pPr>
        <w:spacing w:after="0" w:line="22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Ocular drug candidates being investigated for treatment of wet AMD may also represent potential competition for CLS-AX. Ocular Therapeutics and Eyepoint are companies currently investigating TKIs for ocular use. We expect other established companies will seek to develop new products in the ocular space with the goal of superior efficacy and duration over the current standard of care.</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SCS Microinjector faces competition from other devices being developed to access ocular posterior tissues via the SCS. Oxular Limited announced plans to file for a 510(k) clearance of its Oxulumis device which is designed to administer therapy to the SCS via a microcatheter, and Gyroscope Therapeutics also announced 510(k) clearance for its Orbit Subretinal Delivery System which uses a catheter to access the subretinal space via the SCS.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Both large and established companies, as well as smaller or early-stage companies could represent challenges in the competitive space. Larger established companies may have greater resources such as greater financial resources, deeper expertise and personnel in nonclinical development, clinical development, manufacturing and regulatory sectors. Smaller or early-stage companies could pose a challenge competitively through collaborative arrangements with large and established companies. Lastly, both small and large companies will compete in areas such as recruiting and retaining qualified scientific and management personnel and establishing clinical trial sites and patient recruitment for competing clinical trials.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Several key competitive factors affecting the potential success of our product candidates are likely to be the efficacy, safety, method of administration, convenience, price and the availability of coverage and reimbursement from government and other third-party payors. Additionally, our commercial opportunity could be reduced or eliminated if our competitors develop and commercialize drugs that are safer, more effective, more convenient or are less expensive than any drugs we develop. The timing of competitors’ regulatory approval and patent protection could also impact commercial opportunities. Competitors receiving approval prior to us could result in stronger market positioning and/or obtaining FDA market exclusivity. Competitors’ patent protection could potentially delay FDA approval of our product candidates for up to 30 months, as well as subject us to potential patent litigation that might arise beyond the 30 months.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candidates, proprietary delivery devices and core technologies. We also rely on trade secrets, know-how and continuing technological innovation to develop and maintain our proprietary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patent estate, on a worldwide basis, includes 27 granted U.S. patents broadly directed to devices and methods of administering drugs into the SCS by injection, including one design patent. In addition, our patent estate includes 23 patent applications pending in the United States, 75 issued foreign patents and one allowed foreign patents, three pending international PCT applications and 44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eight issued U.S. patents, five pending U.S. applications, 21 of the issued foreign patents, and four foreign patent applications in major international markets, each relating to methods of delivering drugs to the eye by microneedle administration, pursuant to a license agreement with Georgia Tech Research Corporation and Emory University that is described below. With respect to in-licensed international PCT applications, according to the terms of the license 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 associated with uveitis and RVO, wet AMD as well as DME and improvement of specified clinical parameters, are expected to expire, if issued, between 2027 and 2042, without taking into account possible patent term adjustments or extensions.</w:t>
      </w:r>
    </w:p>
    <w:p>
      <w:pPr>
        <w:spacing w:after="0" w:line="19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w:t>
      </w:r>
    </w:p>
    <w:p>
      <w:pPr>
        <w:spacing w:after="0" w:line="18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are protected against genericization through numerous patents. In the case of XIPERE injected into the SCS, an applicant who files a paragraph 4 Abbreviated New Drug Application, or ANDA, or 505(b)(2) NDA certifying they may circumvent our patents must also demonstrate comparability of the proposed drug, which we believe may require a clinical trial in macular edema associated with uveitis, against our product, unless a biowaiver is obtained.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patent filings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Emory and Georgia Tech</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a license agreement with Emory University, or Emory, and the Georgia Tech Research Corporation, or GTRC,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upfront and milestone payments of $65,000 in the aggregate made to date, we made a $75,000 payment related to a milestone that was achieved in December 2021 for the commercialization of a drug developed using the licensed patents. On July 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2018 and 2019, we paid Emory and GTRC $75,000 and $50,000, respectively, to extend the date by which we may achieve the commercialization milestone. Additionally, we are currently paying a low single-digit royalty on any worldwide net product sales related to the licensed patents, with minimum annual royalties starting at $15,000 per year after commercialization. The minimum annual royalty increases each year after the first commercial sale, up to a maximum amount of $100,000 per year in the sixth calendar year and in subsequent years.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solely responsible for the development and commercialization of products related to the licensed patients. We are obligated to provide Emory and GTRC a written report detailing our activities related to the development and commercialization of products twice a year.</w:t>
      </w:r>
    </w:p>
    <w:p>
      <w:pPr>
        <w:spacing w:after="0" w:line="162" w:lineRule="exact"/>
        <w:rPr>
          <w:sz w:val="20"/>
          <w:szCs w:val="20"/>
          <w:color w:val="auto"/>
        </w:rPr>
      </w:pPr>
    </w:p>
    <w:p>
      <w:pPr>
        <w:ind w:right="180" w:firstLine="509"/>
        <w:spacing w:after="0" w:line="263" w:lineRule="auto"/>
        <w:rPr>
          <w:sz w:val="20"/>
          <w:szCs w:val="20"/>
          <w:color w:val="auto"/>
        </w:rPr>
      </w:pPr>
      <w:r>
        <w:rPr>
          <w:rFonts w:ascii="Times New Roman" w:cs="Times New Roman" w:eastAsia="Times New Roman" w:hAnsi="Times New Roman"/>
          <w:sz w:val="18"/>
          <w:szCs w:val="18"/>
          <w:color w:val="auto"/>
        </w:rPr>
        <w:t>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this license agreement will expire upon the expiration of the last to expire of the licensed patents. We have the right to terminate this license agreement at any time upon 60 days’ written notice to Emory and GTRC. Emory and GTRC may also terminate this license agreement in the event of a material breach by us. This license agreement will immediately terminate if we challenge the validity or enforceability of any of the licensed patents in a court or other governmental agency of competent jurisdiction.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 trade secrets and know-how</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trademark portfolio currently consists of two registered trademarks in Australia and Korea, two registered trademarks in Russia, two registered trademarks in Singapore, six registered trademarks in Brazil, five registered and one pending application in Canada, five registered trademarks in China, four registered and two pending applications in the European Union, two registered trademarks in each of India and New Zealand, two registered trademarks in Japan, three registered and 1 pending application in Israel, eight registered trademarks in Mexico, four registered and three pending applications in South Africa, six registered trademarks in the United States and four pending applications in the United States and six registered trademarks in the United Kingdom. We also have three international registrations: the first with registered protection in the European Union, India, Japan, New Zealand, Korea and Singapore; the second with extensions of protection pending in India and registered in Australia, China, European Union, Israel, Japan, Korea, Mexico, New Zealand, Russia, and Singapore; and the third with extensions of protection pending in Australia, Brazil, Canada, Japan and Mexico.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 and device products under the Food, Drug and Cosmetic Act, or FDCA, and its implementing regulations. This includes combination products where a drug and a device are used together.</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case of our product candidates, the primary mode of action is attributable to the drug component of the product, which means that the FDA’s Center for Drug Evaluation and Research, or CDER, has primary jurisdiction over the premarket development, review and approval of our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Drugs</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and animal tests conducted under GLP;</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application for human clinical testing, which must become effective before human clinical trials commence;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and conducted in accordance with Good Clinical Practices, or GCP;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NDA;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NDA, which might include an Advisory Committee review;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is made to assess compliance with current Good Manufacturing Practices, or cGMPs.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or an independent institutional review board, or IRB, may nevertheless initiate a clinical hold after the 30 days if, for example, significant health risks arise.</w:t>
      </w:r>
    </w:p>
    <w:p>
      <w:pPr>
        <w:spacing w:after="0" w:line="18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each clinical trial must be reviewed and approved by an IRB at each of the sites at which the trial will be conducted. The IRB will consider, among other things, ethical factors, the safety of human subjects and the possible liability of the institution.</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prior to approval, but the phases may overlap. These phases generally include the following:</w:t>
      </w:r>
    </w:p>
    <w:p>
      <w:pPr>
        <w:spacing w:after="0" w:line="160"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Phase 1 clinical trials represent the initial introduction of a product candidate into human subjects, frequently healthy volunteers. In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the product candidate is usually tested for safety, including adverse effects, dosage tolerance, absorption, distribution, metabolism, excretion and pharmacodynamics.</w:t>
      </w:r>
    </w:p>
    <w:p>
      <w:pPr>
        <w:spacing w:after="0" w:line="173"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Phase 2 clinical trials usually involve studies in a limited patient population to (1) evaluate the efficacy of the product candidate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indications, (2) determine dosage tolerance and optimal dosage and (3) identify possible adverse effects and safety risks.</w:t>
      </w:r>
    </w:p>
    <w:p>
      <w:pPr>
        <w:spacing w:after="0" w:line="158"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If a product candidate is found to be potentially effective and to have an acceptable safety profile in Phase 2 clinical trials, the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will be expanded to Phase 3 clinical trials to further demonstrate clinical efficacy, optimal dosage and safety within an expanded patient population at geographically dispersed clinical trial sites.</w:t>
      </w:r>
    </w:p>
    <w:p>
      <w:pPr>
        <w:spacing w:after="0" w:line="1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and exemptions apply in limited cases. The FDA has substantial discretion in the approval process and may refuse to accept any application or decide that the data is insufficient for approval and require additional preclinical, clinical or other studies.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application</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Once an NDA has been accepted for filing, which occurs, if at all, 60 days after submission, the FDA sets a user fee goal date that informs the applicant of the specific date by which the FDA intends to complete its review. This is typically 10 months from the date of submission for drugs that are not new molecular entities, such as our product candidates. The review process can be expedited if priority review is granted. In such a case, the FDA review period is only 6 months. Alternatively, the FDA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The FDA will issue either an approval of the NDA or a CRL, detailing the deficiencies and information required for reconsideration of the application.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program user fee requirements for approved products, as well as new application fees for certain supplemental applications.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FDA and other agencies actively enforce the laws and regulations prohibiting the promotion of off-label uses, including without limitation the FDCA, the federal civil False Claims Act, other federal and state health care fraud and abuse laws and state consumer protection laws. A company that is found to have improperly promoted off-label uses may be subject to significant liability, including investigation by federal and state authorities.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21" w:lineRule="exact"/>
        <w:rPr>
          <w:sz w:val="20"/>
          <w:szCs w:val="20"/>
          <w:color w:val="auto"/>
        </w:rPr>
      </w:pPr>
    </w:p>
    <w:p>
      <w:pPr>
        <w:jc w:val="both"/>
        <w:ind w:right="60" w:firstLine="509"/>
        <w:spacing w:after="0" w:line="269" w:lineRule="auto"/>
        <w:rPr>
          <w:sz w:val="20"/>
          <w:szCs w:val="20"/>
          <w:color w:val="auto"/>
        </w:rPr>
      </w:pPr>
      <w:r>
        <w:rPr>
          <w:rFonts w:ascii="Times New Roman" w:cs="Times New Roman" w:eastAsia="Times New Roman" w:hAnsi="Times New Roman"/>
          <w:sz w:val="17"/>
          <w:szCs w:val="17"/>
          <w:color w:val="auto"/>
        </w:rPr>
        <w:t>One of our regulatory strategies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As a condition for approval, the FDA may also require us to perform additional studies or measurements, including clinical trials, to support the change from the approved branded reference drug.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8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the reference NDA holder and patent owners file patent litigation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case that is favorable to the applicant. Even if the 45 days expire, a patent infringement lawsuit can be brought and could delay market entry, but it would not extend the FDA-related 30-month stay of approval.</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ANDA or 505(b)(2) application also will not be approved until any applicable non-patent exclusivity listed in the Orange Book for the branded reference drug has expired as described in further detail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Non-patent exclusivity</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to patent exclusivity, the holder of the NDA for the listed drug may be entitled to a period of non-patent exclusivity, during which the FDA cannot approve an ANDA or 505(b)(2) application that relies on the listed drug.</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affecting fewer than 200,000 individuals in the United States, or in other limited cases. Orphan drug designation does not convey any 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w:t>
      </w:r>
    </w:p>
    <w:p>
      <w:pPr>
        <w:spacing w:after="0" w:line="18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seek orphan drug designation for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data privacy and security and transparency laws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Therefore, even if we structure our programs with the intent of compliance with such laws, there can be no certainty that we would not need to defend ourselves against enforcement or litigation due to the fact that there is significant enforcement interest in life sciences companies in the United States and some of the applicable laws are broad in scope.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 Pharmaceutical, device and other healthcare companies have been prosecuted under these laws for, among other things, allegedly providing free product to customers with the expectation that the customers would bill federal programs for the product. Companies have been prosecuted for causing false claims to be submitted because of the companies’ marketing of products for unapproved, and thus non-covered, uses.</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and civil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6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Under HIPAA, the U.S. Department of Health and Human Services, or HHS, has issued regulations to protect the privacy and security of protected health information used or disclosed by covered entities including certain health care providers, health plans, and healthcare clearinghouses.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and their subcontractors that use, disclose, access, or otherwise process protected health information. In addition to federal privacy regulations, there are a number of state laws governing confidentiality and security of health information that are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and regulations governing privacy and security may be adopted in the future as well.</w:t>
      </w:r>
    </w:p>
    <w:p>
      <w:pPr>
        <w:spacing w:after="0" w:line="19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and various related provincial laws, as well as Canada’s Anti-Spam Legislation, may, in the future, apply to our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California has enacted legislation that has been dubbed the first “GDPR-like” law in the United States. Known as the California Consumer Privacy Act, or CCPA, it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California Privacy Rights Act of 2020, or CPRA expands the CCPA’s requirements, including by adding a new right for individuals to correct their personal information and establishing a new regulatory agency to implement and enforce the law. Other states, such as Virginia, Colorado, Utah, and Connecticut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w:t>
      </w:r>
    </w:p>
    <w:p>
      <w:pPr>
        <w:spacing w:after="0" w:line="200" w:lineRule="exact"/>
        <w:rPr>
          <w:sz w:val="20"/>
          <w:szCs w:val="20"/>
          <w:color w:val="auto"/>
        </w:rPr>
      </w:pPr>
    </w:p>
    <w:p>
      <w:pPr>
        <w:spacing w:after="0" w:line="316" w:lineRule="exact"/>
        <w:rPr>
          <w:sz w:val="20"/>
          <w:szCs w:val="20"/>
          <w:color w:val="auto"/>
        </w:rPr>
      </w:pPr>
    </w:p>
    <w:p>
      <w:pPr>
        <w:ind w:right="40" w:firstLine="596"/>
        <w:spacing w:after="0" w:line="258" w:lineRule="auto"/>
        <w:rPr>
          <w:sz w:val="20"/>
          <w:szCs w:val="20"/>
          <w:color w:val="auto"/>
        </w:rPr>
      </w:pPr>
      <w:r>
        <w:rPr>
          <w:rFonts w:ascii="Times New Roman" w:cs="Times New Roman" w:eastAsia="Times New Roman" w:hAnsi="Times New Roman"/>
          <w:sz w:val="18"/>
          <w:szCs w:val="18"/>
          <w:color w:val="auto"/>
        </w:rPr>
        <w:t>With the GDPR, CCPA, CPRA, and other state and Federal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Additionally, a trend has continued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physicians (defined to include doctors, dentists, optometrists, podiatrists, and chiropractors), other healthcare professionals (such as physicians assistants and nurse practitioners), and teaching hospitals, as well as ownership and investment interests held by physicians and their family members. Certain states also mandate implementation of commercial compliance programs, impose restrictions on pharmaceutical manufacturer and device manufacturer marketing practices, require registration of pharmaceutical sales representatives, require drug manufacturers to report information on the pricing of certain drugs, or require tracking and reporting of gifts, compensation and other remuneration to particular types of healthcare professionals and entities.</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 potentially significant criminal, civil and administrative penalties, damages, fines, disgorgement, individual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third-party payors, including private insurers and government-funded programs, like Medicare, and Medicare administrative contractors. CPT code 0465T became effective on January 1, 2017. With respect to our product candidates, we or our partners may seek a separate Healthcare Common Procedure Coding System, or HCPCS, code as maintained by CMS for the drug itself. We believe obtaining billing codes for the use of our products is critical to maximizing our commercial success. There is no guarantee that these billing codes, once granted, or the payment amounts, if any, associated with such codes will not change in the future.</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strategy will include efforts to engage third-party payors to establish coverage, coding and reimbursement that will facilitate access to our product candidates and the SCS injection procedure as we expand our commercialization efforts in the United States. Our success in these efforts depends in part on the extent to which third-party payors provide coverage and establish adequate reimbursement levels for the procedures during which our product candidates are administered and for the drugs themselves. Failure by physicians, hospitals, ambulatory surgery centers and other users of our products to obtain sufficient coverage and adequate reimbursement from third-party payors for the procedures to administer our product candidates or for the product candidates themselves, or adverse changes in third-party payors’ policies would have a material adverse effect on our business, financial condition, results of operations and future growth prospects.</w:t>
      </w:r>
    </w:p>
    <w:p>
      <w:pPr>
        <w:spacing w:after="0" w:line="18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the U.S., third-party payors continue to implement initiatives that restrict the use of certain technologies to those that meet certain clinical evidentiary requirements. Failure to obtain favorable coverage policies could have a material adverse effect on our business and operations.</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procedures performed administering our products, which could directly impact the demand for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established a quality payment program, also referred to as the Quality Payment Program. The quality payment program has two tracks, one known as the merit-based incentive payment system for providers in the fee-for service Medicare program, and the advanced alternative payment model for providers in specific care models, such as accountable care organizations. In November 2019, CMS issued a final rule finalizing the changes to the Quality Payment Program. At this time it is unclear how the introduction of the Quality Payment Program will impact overall physician reimbursement under the Medicare program. In addition, beginning on January 1, 2023, certain manufacturers will be required to pay quarterly refunds to CMS for discarded amounts of single-dose container and single-use package drugs covered under Medicare Part B. Refunds will be based on the discarded volume above 10% of the total allowed amount, except in unique circumstances as determined by CMS. Any changes in coverage and reimbursement that further restricts coverage of our products or lowers reimbursement for procedures using our products could materially affect our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Current and future legislative proposals to further reform healthcare or reduce healthcare costs may result in lower reimbursement for our products, or for the procedures associated with the use of our products, or limit coverage of our products. The cost containment measures that third-party payors and providers are instituting and the effect of any healthcare reform initiative implemented in the future could significantly reduce our revenues from the sale of our products.</w:t>
      </w:r>
    </w:p>
    <w:p>
      <w:pPr>
        <w:spacing w:after="0" w:line="180"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example, implementation of the Affordable Care Act has the potential to substantially change healthcare financing and delivery by both governmental and private insurers, and significantly impact the pharmaceutical and medical device industries.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Affordable Care Act imposed, among other things, a new federal excise tax on the sale of certain medical devices, established an annual, nondeductible fee on any entity that manufactures or imports certain specified branded prescription drugs and biologic agents,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There have been judicial and Congressional challenges to certain aspects of the Affordable Care Act. While Congress has not passed comprehensive repeal legislation, several bills affecting the implementation of certain taxes under the Affordable Care Act have been signed into law. Further,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that initiated a special enrollment period from February 15, 2021 through May 15, 2021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unclear any additional healthcare reform measures of the Biden administration will impact the Affordable Care Act and our business.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the BBA, will remain in effect until 2031. Under current legislation the actual reduction in Medicare payments will vary from 1% in 2022 to up to 4% in the final fiscal year of this sequester.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strive to recruit people who share our vision to develop technology that provides a ground-breaking impact to medicine and superior care to patients. We are proud of what we do and believe we create an excellent working environment that is inclusive and diverse with meaningful compensation, benefits and wellness programs that continue to facilitate the attraction, retention and motivation of talented employees.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we had 36 employees, all of whom were full-time and were located in the United States. None of our employees are represented by a labor union or covered by a collective bargaining agreement. We consider our relationship with our employees to be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May 2011. Our principal executive offices are located at 900 North Point Parkway, Suite 200, Alpharetta, Georgia 30005. Our telephone number is (678) 270-3631.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40"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incurred a net loss of $32.9 million in 2022, net income of $0.4 million in 2021 and net loss of $18.2 million in 2020. We expect to incur significant expenses and operating losses over the next several years. Our financial results may fluctuate significantly from quarter to quarter and year to year.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preclinical studies and clinical trials.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as we:</w:t>
      </w:r>
    </w:p>
    <w:p>
      <w:pPr>
        <w:spacing w:after="0" w:line="9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research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additional partnerships for the development and commercialization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and scientific personnel.</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drugs that can generate significant revenue once commercialized. This will require us to be successful in a range of challenging activities, including completing preclinical testing and clinical trials of our product candidates, manufacturing, obtaining regulatory approval and potentially entering into agreements for the commercialization of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expenditure requirements into the second quarter of 2024. However, we will need to obtain substantial additional funding in connection with our continuing operations beyond the second quarter 2024, including additional funding to complete clinical development of CLS-AX. Our future capital requirements will depend on many factors, including:</w:t>
      </w:r>
    </w:p>
    <w:p>
      <w:pPr>
        <w:spacing w:after="0" w:line="7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ongoing, planned and future clinical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and intend to commercialize ourselves;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any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sz w:val="20"/>
          <w:szCs w:val="20"/>
          <w:color w:val="auto"/>
        </w:rPr>
      </w:pPr>
    </w:p>
    <w:p>
      <w:pPr>
        <w:jc w:val="both"/>
        <w:ind w:right="140" w:firstLine="469"/>
        <w:spacing w:after="0" w:line="26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of our product candidates and achieve product sales. In addition, XIPERE and our other product candidates, if approved, may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 achieve commercial success.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28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although as described in this report we have also entered into an at-the-market sales facility that allows us to sell shares of our common stock at prevailing market prices and on specified terms,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grant licenses on terms that may not be favorable to or relinquish valuable rights to our technologies, research programs, product candidates or future revenue streams. For example, we, through our wholly-owned subsidiary, sold our rights to receive certain royalty and milestone payments under the Arctic Vision License Agreement, Bausch License Agreement, the Aura License Agreement, the REGENXBIO Option and License Agreement and any out-license agreements for, or related to, XIPERE or our SCS Microinjector technology to be used in connection with compounds or products of any third parties in exchange for up to $65 million. If we are unable to raise additional funds through equity or debt financings when needed, we may be required to delay, limit, reduce or terminate our drug development efforts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HCR contain various covenants and other provisions, which, if violated, could materially adversely affect our financial condition.</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August 8, 2022, we, through Royalty Sub, entered into the Purchase and Sale Agreement, with HCR pursuant to which we sold our rights to royalty and milestone payments due to us from XIPERE and certain license agreements related to our SCS Microinjector, or the Royalties, subject to a cap of 2.5 times the total purchase price paid by HCR under the Purchase and Sale Agreement, which cap can be increased to 3.4 times under certain circumstances. Under the terms of the Purchase and Sale Agreement, Royalty Sub received an initial payment of $32.5 million, less certain expenses. An additional $12.5 million was placed in an escrow account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Purchase and Sale Agreement, we entered into a Contribution and Servicing Agreement with Royalty Sub, pursuant to which we assigned the Arctic Vision License Agreement, Bausch License Agreement, Aura License Agreement, REGENXBIO Option and License Agreement, our license agreement with Emory University and The Georgia Tech Research Corporation and related intellectual property rights, or collectively the Contributed Assets, to Royalty Sub. The Contribution and Servicing Agreement contains various representations and warranties, covenants, indemnification obligations and other provisions related to the contribution of the Contributed Assets and our maintenance and servicing obligations with respect to the same.</w:t>
      </w:r>
    </w:p>
    <w:p>
      <w:pPr>
        <w:spacing w:after="0" w:line="187"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and Sale Agreement, we also entered into a Pledge and Security Agreement with HCR. The Pledge and Security Agreement contains various representations, warranties and covenants, and includes a limited recourse guaranty of Royalty Sub’s obligations under the Purchase and Sale Agreement which is secured by the pledge in favor of HCR all of the capital stock of Royalty Sub. HCR is entitled to foreclose on the capital stock of Royalty Sub following the occurrence of certain remedies events, including, without limitation, a bankruptcy of us, our failure of to perform our obligations under the Contribution and Servicing Agreement or in the event of a change of control of us, any failure to make the payment required under Section 2.3 of the Purchase Agreement within the time period required thereunder. Such foreclosure, if it were to occur, could have a material adverse effect on our financial condition as HCR, by virtue of owning Royalty Sub, would own the Royalties and the Contributed Assets.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such as the COVID-19 pandemic, political crises, geopolitical events, such as the crisis in Ukraine, or other macroeconomic conditions.</w:t>
      </w:r>
    </w:p>
    <w:p>
      <w:pPr>
        <w:spacing w:after="0" w:line="159"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Federal Reserve recently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adversely affect our or our partners’ business.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clinical trials costs and labor and employee benefit costs.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375"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As of March 10, 2023, we had nearly all of our cash and cash equivalent balances on deposit with SVB.</w:t>
      </w:r>
    </w:p>
    <w:p>
      <w:pPr>
        <w:spacing w:after="0" w:line="39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200" w:lineRule="exact"/>
        <w:rPr>
          <w:sz w:val="20"/>
          <w:szCs w:val="20"/>
          <w:color w:val="auto"/>
        </w:rPr>
      </w:pPr>
    </w:p>
    <w:p>
      <w:pPr>
        <w:spacing w:after="0" w:line="204" w:lineRule="exact"/>
        <w:rPr>
          <w:sz w:val="20"/>
          <w:szCs w:val="20"/>
          <w:color w:val="auto"/>
        </w:rPr>
      </w:pPr>
    </w:p>
    <w:p>
      <w:pPr>
        <w:ind w:right="60" w:firstLine="495"/>
        <w:spacing w:after="0" w:line="255"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efforts are focused on the development of product candidates for treatment of eye disease through suprachoroidal injection and partnering with companies who can leverage our SCS Microinjector to deliver their ophthalmic product candidates to the SCS. Suprachoroidal injection is a novel approach and may fail to achieve and sustain market acceptance.</w:t>
      </w:r>
    </w:p>
    <w:p>
      <w:pPr>
        <w:spacing w:after="0" w:line="6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Injecting drugs into the SCS is a novel approach for ophthalmic therapies, and there is no guarantee this approach will provide adequate patient benefit or be accepted by physicians, patients or third-party payors. We have also licensed our SCS Microinjector technology to third parties to deliver their proprietary drug candidates into the SCS for the potential treatment of certain ocular indications.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the FDA approved XIPERE for suprachoroidal use for the treatment of macular edema associated with uveitis, we cannot guarantee that suprachoroidal injection of other drugs will prove in ongoing and future clinical trials to be a safe or effective approach for treating eye diseases in humans, nor can we ensure that such other drugs will achieve regulatory approval, even if the clinical trials are successful.</w:t>
      </w:r>
    </w:p>
    <w:p>
      <w:pPr>
        <w:spacing w:after="0" w:line="17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addition, the novelty of suprachoroidal injection may make it difficult to demonstrate to physicians and third-party payors that suprachoroidal injection of drugs is an appropriate approach for treating eye diseases and provides advantages compared to the current standards of care. Further, if we or our commercialization and collaboration partners are not successful in conveying to physicians, patients and third-party payors that the suprachoroidal administration of drugs with our proprietary SCS Microinjector provides useful patient outcomes, we or our commercialization and collaboration partners may experience reluctance, or refusal, on the part of physicians to order and use, and third-party payors to cover and provide adequate reimbursement for, such drugs. Additionally, in some cases, drugs delivered using our SCS Microinjector will complement the current standard of care, rather than serve as a replacement for the current standard of care. Therefore, we or our commercialization and collaboration partners may encounter significant difficulty in gaining broad market acceptance by physicians, third-party payors and potential patients.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partners may require that we modify our SCS Microinjector to deliver their product candidates, and we may be unable to do so.</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currently partnering with companies who can leverage our SCS Microinjector to deliver their ophthalmic product candidates to the SCS. Our current and future licensing partners may request modifications to the design of our SCS Microinjector to accommodate the delivery of their respective product candidates. If we are unable to make such modifications, we may not receive regulatory and development milestone payments that we otherwise would be eligible to receive after we have satisfied our obligations under the Purchase and Sale Agreement, which could significantly harm our financial position.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regulatory approval for, and commercialize either on our own or with a third party, CLS-AX or our other product candidates, or if we experience significant delays in doing so, our business may be harmed.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Given our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in the development of our proprietary SCS Microinjector for suprachoroidal injection of drugs and the identification of potential drug candidates using that technology. Our ability to generate revenue from our product candidates will depend heavily on their successful development and eventual commercialization, either by us or third parties. The success of those product candidates will depend on several factors, including the following:</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requisite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preclinical studies and clinical trials in compliance with FDA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import sufficient quantity of product for trials or potential commercialization;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with labeling for sufficiently broad patient populations and indications, without unduly restrictive distribution limitations or safety warnings, such as black box warnings or a risk evaluation and mitigation strategy, or REMS, program;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training of physicians in the proper use of our SCS Microinjector;</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our products for use with our SCS Microinjector without a requirement from the FDA that we obtain a separate medical device authorization;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therapies and of the concept of suprachoroidal injection of drugs, if and when approved, by physicians, patients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drugs and our SCS Microinjector following approval.</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6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from our clinical trials that we announce or publish from time to time may change as more patient data become available, and such data are subject to audit and verification procedures that could result in material changes in the final data.</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publish data from our clinical trials. Data from clinical trials are subject to the risk that one or more of the clinical outcomes may materially change as patient enrollment continues and more patient data become available. Data also remain subject to audit and verification procedures that may result in the final data being materially different from the preliminary data we previously published. As a result, data should be viewed with caution until the final data are available. Adverse differences between preliminary or interim data and final data could significantly harm our prospects for obtaining regulatory approval of our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receive marketing approval or achieve market acceptance. If we do not successfully develop product candidates based upon our approach, we will not be able to obtain product revenue in future periods, which could significantly harm our financial position and adversely affect our stock price.</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5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CLS-AX or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For example, we were previously developing XIPERE in combination with an anti-VEGF therapy for the treatment of macular edema associated with RVO. In November 2018, we announced that the primary endpoint of our Phase 3 clinical trial evaluating XIPERE together with intravitreal Eylea in patients with RVO was not achieved. In light of the 8-week topline data, we discontinued our Phase 3 trials of suprachoroidal XIPERE together with an intravitreal anti-VEGF agent in patients with RVO, as well as the clinical development of XIPERE in combination with anti-VEGF agents for the treatment of RVO.</w:t>
      </w:r>
    </w:p>
    <w:p>
      <w:pPr>
        <w:spacing w:after="0" w:line="18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outcome of preclinical testing and early clinical trials may not be predictive of the success of later clinical trials and interim results of a clinical trial do not necessarily predict final results. Moreover, preclinical and clinical data are often susceptible to varying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interpretations and analyses, and many companies that have believed their product candidates performed satisfactorily in preclinical studies and clinical trials have nonetheless failed to obtain marketing approval of their products.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our product candidates, including:</w:t>
      </w:r>
    </w:p>
    <w:p>
      <w:pPr>
        <w:spacing w:after="0" w:line="54" w:lineRule="exact"/>
        <w:rPr>
          <w:sz w:val="20"/>
          <w:szCs w:val="20"/>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example, our initiation of the ODYSSEY trial will be delayed by one quarter due to the issuance by FDA of draft guidance on February 6, 2023 entitled Neovascular Age-Related Macular Degeneration: Developing Drugs for Treatment. As announced by us on February 3, 2023, the ODYSSEY trial originally was planned to have intravitreal faricimab as the comparator drug and would have been initiated in the first quarter of 2023. Based on the draft guidance publication and subsequent interaction with FDA, we intend to amend the protocol to have aflibercept as the comparator drug. As we finalize the protocol amendment in consultation with FDA there may be additional changes to our originally announced design. Despite changing the protocol in response to FDA’s draft guidance, the guidance document could be finalized in the future with different recommendations at a time at which the ODYSSEY trial can no longer be amended, potentially requiring longer or additional clinical development of CLS-AX for the treatment of wet AMD.</w:t>
      </w:r>
    </w:p>
    <w:p>
      <w:pPr>
        <w:spacing w:after="0" w:line="8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such as black box warnings or a REMS program;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or our potential collaborators’ ability to successfully commercialize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w:t>
      </w:r>
    </w:p>
    <w:p>
      <w:pPr>
        <w:spacing w:after="0" w:line="8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drugs approved to treat the diseases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or unacceptable side effects are identified during the development of our product candidates, we may need to abandon or limit our development of some of our product candidates.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 stage testing have later been found to cause side effects that prevented further development of the product candidate. In addition, in some cases, the FDA could issue a clinical hold to stop the study.</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granted an exclusive license to Bausch for the commercialization and development of XIPERE in the United States and Canada. After we have satisfied our obligations under the Purchase and Sale Agreement, if we are unable to maintain our partnership with Bausch, or if Bausch fails to successfully commercialize XIPERE, our business and prospects will be materially harmed.</w:t>
      </w:r>
    </w:p>
    <w:p>
      <w:pPr>
        <w:spacing w:after="0" w:line="6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We will not retain these royalties and milestone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payments until our obligations under the Purchase and Sale Agreement described above in “Business</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 are satisfied. The successful or timely achievement of many of these milestones is outside of our control because the relevant activities will be conducted by Bausch or third parties engaged by Bausch, including manufacturers and suppliers. We expect to depend to a large degree on the payments from Bausch after we have satisfied our obligations under the Purchase and Sale Agreement as well as payments from future potential commercialization partners in order to fund our operations, and a failure to receive such payments may cause us to:</w:t>
      </w:r>
    </w:p>
    <w:p>
      <w:pPr>
        <w:spacing w:after="0" w:line="7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reduce or terminate certain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headcount;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raising of additional funds through equity or convertible debt financings that could be dilutive to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funds by entering into agreements that require us to assign rights to technologies or products that we would have otherwise retained;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arrangements that may be less favorable than those we would have obtained under different circumstances;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strategic transactions or engaging in a joint venture with a third party.</w:t>
      </w:r>
    </w:p>
    <w:p>
      <w:pPr>
        <w:spacing w:after="0" w:line="3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intend to continue to enter into, collaborations with third parties for the development and commercialization of XIPERE. In addition, we may seek commercialization partners for our product candidates. If those collaborations are not successful, we may not be able to capitalize on the market potential of XIPERE and our product candidates.</w:t>
      </w:r>
    </w:p>
    <w:p>
      <w:pPr>
        <w:spacing w:after="0" w:line="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and intend to continue to enter into, agreements with third-party collaborators for the development and commercialization of XIPERE and our product candidates. Our likely collaborators for any collaboration arrangements include large and mid-size pharmaceutical companies, regional and national pharmaceutical companies and smaller biotechnology companies. Our ability to generate revenues from these arrangements will depend on our collaborators’ abilities to successfully perform the functions assigned to them in these arrangements.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XIPERE and our product candidates would pose the following risks to us:</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refuse to perform clinical trials or other obligations required for approval in a particular jurisdiction outside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regulatory submissions may be denied by the applicable regulatory authorities;</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20" w:right="2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280" w:lineRule="exact"/>
        <w:rPr>
          <w:sz w:val="20"/>
          <w:szCs w:val="20"/>
          <w:color w:val="auto"/>
        </w:rPr>
      </w:pPr>
    </w:p>
    <w:p>
      <w:pPr>
        <w:jc w:val="both"/>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and those third parties may not perform satisfactorily, including failing to meet deadlines for the completion of such trials or failing to comply with applicable regulatory requirements.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that would delay our drug development activities.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or our potential collaborators’ efforts to, successfully commercialize our product candidates.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the commercialization of our current or future product candidates.</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our current product candidates and our SCS Microinjector. This reliance on third parties increases the risk that we will not have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sufficient quantities of our drug products and our SCS Microinjector, or such quantities at an acceptable cost, which could delay, prevent or impair our development or commercialization efforts.</w:t>
      </w:r>
    </w:p>
    <w:p>
      <w:pPr>
        <w:spacing w:after="0" w:line="51"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procure the active pharmaceutical ingredient of our product candidates on a purchase order basis from a third-party manufacturer, but we do not have a commercial supply agreement in place with that manufacturer. In addition, we have entered into a supply agreement with Gerresheimer, our SCS Microinjector supplier. Some of our current suppliers are based outside of the United States. In addition, some of the facilities of our third-party manufacturers have only undergone a limited number of FDA inspections or no inspections. We expect to continue to rely on third parties as we proceed with preclinical and clinical studies using our SCS Microinjector, as well as for commercial manufacture, for any of our product candidates that receive marketing approval. This reliance on third parties increases the risk that we will not have sufficient quantities of our drug products including our SCS Microinjector or such quantities at an acceptable cost or quality, which could delay, prevent or impair our ability to timely conduct our clinical trials or our other development or commercialization efforts. In addition, we may be unable to establish any agreements with third-party manufacturers or collaborators or to do so on acceptable terms.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Reliance on third-party manufacturers or collaborators entails additional risks, including:</w:t>
      </w:r>
    </w:p>
    <w:p>
      <w:pPr>
        <w:spacing w:after="0" w:line="225" w:lineRule="exact"/>
        <w:rPr>
          <w:sz w:val="20"/>
          <w:szCs w:val="20"/>
          <w:color w:val="auto"/>
        </w:rPr>
      </w:pPr>
    </w:p>
    <w:p>
      <w:pPr>
        <w:ind w:left="1340" w:hanging="380"/>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20" w:firstLine="578"/>
        <w:spacing w:after="0" w:line="254" w:lineRule="auto"/>
        <w:rPr>
          <w:sz w:val="20"/>
          <w:szCs w:val="20"/>
          <w:color w:val="auto"/>
        </w:rPr>
      </w:pPr>
      <w:r>
        <w:rPr>
          <w:rFonts w:ascii="Times New Roman" w:cs="Times New Roman" w:eastAsia="Times New Roman" w:hAnsi="Times New Roman"/>
          <w:sz w:val="18"/>
          <w:szCs w:val="18"/>
          <w:color w:val="auto"/>
        </w:rPr>
        <w:t>Our product candidates, including our proprietary drug formulations packaged together with our SCS Microinjector, are subject to the drug regulations of the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Our failure, or the failure of our third-party manufacturers, to comply with applicable regulations could result in sanctions being imposed on us, including clinical holds, a refusal to file determination by the FDA, receipt of a CRL,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w:t>
      </w:r>
    </w:p>
    <w:p>
      <w:pPr>
        <w:spacing w:after="0" w:line="192"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supply of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88" w:lineRule="exact"/>
        <w:rPr>
          <w:sz w:val="20"/>
          <w:szCs w:val="20"/>
          <w:color w:val="auto"/>
        </w:rPr>
      </w:pPr>
    </w:p>
    <w:p>
      <w:pPr>
        <w:ind w:right="580" w:firstLine="57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compromise our future profit margins and/or our commercialization partner's ability to commercialize any product candidates that receive marketing approval on a timely and competitive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additional collaborations, we may have to alter some of our future development and commercialization plans.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distribution capabilities for our product candidates for which we do not out-license commercialization rights, we may not be successful in commercializing those product candidates, if and when they are approved.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a sales infrastructure. To achieve commercial success for any product candidate for which we may obtain marketing approval in the United States and have not licensed the commercialization rights to a third party, we will need to establish a sales organization. There are risks involved with establishing our own sales and distribution capabilities. For example, recruiting and training a sales force is expensive and time-consuming and could delay any product launch. If the commercial launch of a product candidate for which we recruit a sales force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on our own include:</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compared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and distribution capabilities and, instead, enter into arrangements with third parties to perform these services, our product revenues and our profitability, if any, are likely to be lower than if we were to sell and distribute any product candidates that we develop ourselves. In addition, we may not be successful in entering into arrangements with third parties to sell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distribution capabilities successfully, either on our own or in collaboration with third parties, we will not be successful in commercializing our product candidates.</w:t>
      </w:r>
    </w:p>
    <w:p>
      <w:pPr>
        <w:spacing w:after="0" w:line="29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XIPERE and any of our product candidates that receive marketing approval,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XIPERE and any of our product candidates that receive marketing approval may nonetheless fail to gain sufficient market acceptance by physicians, patients, third-party payors and others in the medical community. Suprachoroidal injection of drugs is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novel approach and physicians, patients or third-party payors may be hesitant to deviate from or change the current standard of care. If XIPERE or our product candidates do not achieve an adequate level of market acceptance, we may not generate significant product revenue and we may not become profitable. The degree of market acceptance of XIPERE and our product candidates, if approved for commercial sale,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healthcare community and patients to adopt new technologies and our novel approach of SCS injection of drugs;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uveitis and retina specialists to expend the time necessary to receive proper training on injecting drugs into the SCS using our SCS Microinjector;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products in sufficient quantities and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provided by us or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3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also are aware of companies that are developing suprachoroidal injectors which may compete with our SCS Microinjector.</w:t>
      </w:r>
    </w:p>
    <w:p>
      <w:pPr>
        <w:spacing w:after="0" w:line="18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With respect to XIPERE, we face competition from other commercially available forms of TA and other injectable and implantable corticosteroids. Bristol-Myers Squibb markets TA under the brand name Kenalog, for which a number of generic equivalents are currently available. Kenalog is indicated only for intramuscular or intraarticular injection; however, it is commonly used off-label for intraocular inflammation using intravitreal and periocular administration. In addition, Alcon’s injectable TA, Triesence, is approved in the United States for the treatment of uveitis and other ocular inflammatory conditions unresponsive to topical corticosteroids, although it is not indicated for the treatment of macular edema associated with uveitis.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Ozurdex is also approved in the United States for the treatment of DME. Retisert and Yutiq, both intravitreal implants of fluocinolone acetonide, are marketed by Bausch and Eyepoint Pharmaceuticals, respectively, and are approved in the United Sates for the treatment of chronic non-infectious uveitis affecting the posterior segment of the eye.</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diabetic macular edema. In addition to Genentech’s products, Regeneron’s anti-VEGF product, Eylea and Novartis’ product, Beovu, also present potential competition for CLS-AX in both the United States and Europe. Eylea is approved for the treatment of wet AMD, macular edema following RVO and diabetic retinopathy and DME in the United States and for the treatment of wet AMD, RVO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DME in the European Union. Novartis’ Beovu was approved in 2019 for the treatment of wet AMD in the United States and in 2020 in Europe.</w:t>
      </w:r>
    </w:p>
    <w:p>
      <w:pPr>
        <w:spacing w:after="0" w:line="22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Ocular drug candidates being investigated for treatment of wet AMD may also represent potential competition for CLS-AX. Ocular Therapeutics and Eyepoint are companies currently investigating TKIs for ocular use. We expect other established companies will seek to develop new products in the ocular space with the goal of superior efficacy and duration over the current standard of care.</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SCS Microinjector faces competition from other devices being developed to access ocular posterior tissues via the SCS. Oxular Limited recently announced plans to file for a 510(k) clearance of its Oxulumis device which is designed to administer therapy to the SCS via a microcatheter, and Gyroscope Therapeutics also announced 510(k) clearance for its Orbit Subretinal Delivery System which uses a catheter to access the subretinal space via the SCS.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or our collaborators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 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w:t>
      </w:r>
    </w:p>
    <w:p>
      <w:pPr>
        <w:spacing w:after="0" w:line="18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XIPERE and our product candidates may be subject to unfavorable pricing regulations, third-party coverage and reimbursement policies or healthcare reform initiatives.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and our collaborators’ ability to commercialize XIPERE and any of our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 may not be available and, even if these are available, the level of reimbursement may not be satisfactory. Inadequate reimbursement levels may adversely affect the demand for, or the price of, any product candidate for which we obtain marketing approval. Obtaining and maintaining coverage and adequate reimbursement for our drugs may be difficult. We or our collaborators may be required to conduct expensive pharmacoeconomic studies to justify coverage and reimbursement or the level of reimbursement compared to other therapies. If coverage and adequate reimbursement are not available or reimbursement is available only to limited levels, we or our collaborators may not be able to successfully commercialize any product candidates for which marketing approval is obtained.</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program and introduced a new reimbursement methodology based on average sales prices for Medicare Part B physician-administered drugs, including drugs currently on the market used by physicians to treat the clinical indications for which we are currently seeking FDA approval and likely our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similar reduction in payments from private payors. These cost reduction initiatives and other provisions of the MMA could decrease the coverage and reimbursement that we receive for any approved products and could seriously harm our business.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from time to time, typically on an annual basis, payment amounts are updated and revised by third-party payors. Because we expect that customers who use our product candidates, if approved, will be separately reimbursed for the procedure administering our products, these updates could directly impact the demand for our products.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the Centers for Medicare and Medicaid Services, or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w:t>
      </w:r>
    </w:p>
    <w:p>
      <w:pPr>
        <w:spacing w:after="0" w:line="18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believe that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For our product candidates, we intend to seek a separate Healthcare Common Procedure Coding System, or HCPCS, code as maintained by CMS for the drug itself. We believe that separate CPT and HCPCS codes will help payors differentiate our drug candidates from other drugs currently on the market administered through intravitreal injections, although we can provide no assurance that CMS will approve the creation of a separate HCPCS code or that the Category III codes will remain in effect.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Additionally, coverage policies and reimbursement rates may change at any time. For example, beginning on January 1, 2023, certain manufacturers will be required to pay quarterly refunds to CMS for discarded amounts of single-dose container and single-use package drugs covered under Medicare Part B. Refunds will be based on the discarded volume above 10% of the total allowed amount, except in unique circumstances, as determined by CMS. Our or our collaborators’ inability to promptly obtain coverage and adequate reimbursement rates from both government-funded and private payors for any approved drugs that we develop could significantly harm our operating results, our ability to raise capital and our overall financial condition. Further, any changes in coverage and reimbursement that further restricts coverage of our products or lowers reimbursement for procedures using our products could materially affect our business.</w:t>
      </w:r>
    </w:p>
    <w:p>
      <w:pPr>
        <w:spacing w:after="0" w:line="19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Current and future legislation may significantly change the approval requirements in ways that could involve additional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XIPERE as well as the testing of our product candidates in human clinical trials.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inability to commercialize any drugs that we may develop.</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or our collaborators commence commercialization of our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our executive officers and senior management, as well as the other members of our scientific and clinical development teams. Our executive officers may terminate their employment with us at any time. We do not maintain “key person” insurance for any of our executives or employees.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will also be critical to our success. The loss of the services of our executive officers or other key employees could impede the achievement of our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gain regulatory approval of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or that we have published an invention prior to filing a relevant patent application.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 these patents and applications may not be prosecuted and enforced in a manner consistent with the best interests of our business. If such licensors fail to maintain such patents, or lose rights to those patents, the rights we have licensed may be reduced or eliminated.</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United States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 additional uncertainties and increased costs surrounding the prosecution, enforcement and defense of our owned and licensed patents and patent applications.</w:t>
      </w:r>
    </w:p>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200" w:lineRule="exact"/>
        <w:rPr>
          <w:sz w:val="20"/>
          <w:szCs w:val="20"/>
          <w:color w:val="auto"/>
        </w:rPr>
      </w:pPr>
    </w:p>
    <w:p>
      <w:pPr>
        <w:spacing w:after="0" w:line="2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will likely be introduced by the end of 2023, which would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30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which would undermine our competitive position.</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5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8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Competing products may be sold in countries in which our patent coverage might not exist or be as strong. If we lose a patent lawsuit alleging our infringement of a competitor’s patent, or if FDA approval is stayed pending the outcome of patent litigation, we could be prevented from marketing our products. As a result, our ability to grow our business and compete in the market may be harmed.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9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intellectual property licenses with third parties, we could lose license rights that are important to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 negotiate new or reinstated licenses with less favorable terms. If our licensors under the Emory/GT License were to terminate their license agreement with us for any reason, we would lose access to critical technology related to our SCS Microinjector.</w:t>
      </w:r>
    </w:p>
    <w:p>
      <w:pPr>
        <w:spacing w:after="0" w:line="29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of our product candidates. It may be necessary for us or our collaborators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cease development of one or more or our product candidates or accept unfavorable contractual terms. If we are unable to obtain such licenses on commercially reasonable terms, our business could be harmed.</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claims that we have caused an employee to breach the terms of his or her non-competition or non-solicitation agreement. Litigation may be necessary to defend against these potential claims.</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or our collaborators’ ability to commercialize our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Other than the trade name XIPERE,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may have been discovered through a government funded program and may be subject to certain federal regulations.</w:t>
      </w:r>
    </w:p>
    <w:p>
      <w:pPr>
        <w:spacing w:after="0" w:line="5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including such rights licensed from Emory University and Georgia Tech Research Corporation,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may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could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and our collaborators will not be able to commercialize our product candidates, and our ability to generate revenue will be materially impaired.</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or any collaborator to whom we grant rights, from commercializing the product candidate. We expect to rely on third-party CROs to assist us in preparing some or all aspects of the applications necessary to gain marketing approvals.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a product candidate satisfies the requirements for the Section 505(b)(2) regulatory approval pathway, or if the requirements under Section 505(b)(2) are not as we expect, the approval pathway for our product candidates in this pathway will likely take significantly longer, cost significantly more and entail significantly greater complications and risks than anticipated, and in either case may not be successful.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certain of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the FDA does not allow us to pursue the Section 505(b)(2) regulatory pathway for a product candidate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regulatory approval for our product candidates because of the complexity involved with co-packaging a drug-device combination product.</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require coordination within the FDA and similar foreign regulatory agencies for review of the drug along with the SCS Microinjector. Although the FDA and similar foreign regulatory 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development and commercialization of our product candidates. Additionally, other jurisdictions may have additional requirements for any drug and device combination, which may cause delays in product approval.</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or requirements.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in order for us or our collaborators to commercialize our products in any market.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could affect our business.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40" w:hanging="512"/>
        <w:spacing w:after="0"/>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and other risks associated with our international operations may compromise our ability to achieve or maintain profitability.</w:t>
      </w:r>
    </w:p>
    <w:p>
      <w:pPr>
        <w:spacing w:after="0" w:line="3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imposes stringent restrictions on manufacturers’ communications regarding off-label use and if we do not market our drugs for their approved indications, we may be subject to enforcement action for off-label marketing. Violations of the FDCA relating to the promotion of prescription drugs may lead to investigations alleging violations of federal and state healthcare fraud and abuse laws, such as the federal civil False Claims Act, as well as state consumer protection laws.</w:t>
      </w:r>
    </w:p>
    <w:p>
      <w:pPr>
        <w:spacing w:after="0" w:line="1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drugs, including device malfunctions, manufacturers or manufacturing processes, or failure to comply with regulatory requirements, may have negative consequences,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drugs,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117"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withdrawal of the drugs from the market;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orphan drug designation in the European Union for the treatment of non-infectious uveitis, we may not be able to obtain orphan drug marketing exclusivity for this product candidate.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We have received orphan drug designation from the EMA for the treatment of non-infectious uveitis, and we may seek orphan drug designation from the FDA or EMA for our future product candidates. However, we cannot pursue orphan drug designation from the FDA for the treatment of uveitis.</w:t>
      </w:r>
    </w:p>
    <w:p>
      <w:pPr>
        <w:spacing w:after="0" w:line="18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 medicinal product is sufficiently profitable not to justify maintenance of market exclusivity. There is no guarantee that we will be able to obtain or maintain orphan exclusivity even if we receive marketing authorization in Europe.</w:t>
      </w:r>
    </w:p>
    <w:p>
      <w:pPr>
        <w:spacing w:after="0" w:line="29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substantial civil, criminal and administrative penalties, damages, monetary fines, disgorgement, possible exclusion from participation in Medicare, Medicaid and other federal healthcare programs, contractual damages, reputational harm, imprisonment,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2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(including privacy and cybersecurity laws and regulations) that may affect our ability to operate include the following:</w:t>
      </w:r>
    </w:p>
    <w:p>
      <w:pPr>
        <w:spacing w:after="0" w:line="84" w:lineRule="exact"/>
        <w:rPr>
          <w:sz w:val="20"/>
          <w:szCs w:val="20"/>
          <w:color w:val="auto"/>
        </w:rPr>
      </w:pPr>
    </w:p>
    <w:p>
      <w:pPr>
        <w:ind w:left="1020" w:right="1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7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federal civil False Claims Act which permits private individuals, on behalf of the government, to bring civil whistleblower or qui tam actions to enforce the law, prohibits individuals or entities from,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6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or HIPAA, which created additional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0"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2019,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health information, with respect to safeguarding the privacy, security and transmission of individually identifiable health information;</w:t>
      </w:r>
    </w:p>
    <w:p>
      <w:pPr>
        <w:spacing w:after="0" w:line="79"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Section 6002 of the Patient Protection and Affordable Care Act, as amended by the Health Care and Education Reconciliation Act of 2010, or collectively, the Affordable Care Act, imposed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20" w:right="40"/>
        <w:spacing w:after="0" w:line="261" w:lineRule="auto"/>
        <w:rPr>
          <w:sz w:val="20"/>
          <w:szCs w:val="20"/>
          <w:color w:val="auto"/>
        </w:rPr>
      </w:pPr>
      <w:r>
        <w:rPr>
          <w:rFonts w:ascii="Times New Roman" w:cs="Times New Roman" w:eastAsia="Times New Roman" w:hAnsi="Times New Roman"/>
          <w:sz w:val="18"/>
          <w:szCs w:val="18"/>
          <w:color w:val="auto"/>
        </w:rPr>
        <w:t>annual reporting requirements for certain manufacturers of drugs, devices, biologics and medical supplies for certain payments and “transfers of value” provided to physicians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w:t>
      </w:r>
    </w:p>
    <w:p>
      <w:pPr>
        <w:spacing w:after="0" w:line="72" w:lineRule="exact"/>
        <w:rPr>
          <w:sz w:val="20"/>
          <w:szCs w:val="20"/>
          <w:color w:val="auto"/>
        </w:rPr>
      </w:pPr>
    </w:p>
    <w:p>
      <w:pPr>
        <w:ind w:left="1020" w:right="80" w:hanging="503"/>
        <w:spacing w:after="0" w:line="25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state and local laws requiring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80"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data privacy regulations, such as the CCPA, which creates new individual privacy rights for consumers and places increased privacy and security obligations on entities handling personal data of consumers or households. The CCPA requires covered companies to provide new disclosures to California consumers, provides such consumers new ways to opt-out of certain sales of personal information, and allows for a new cause of action for data breaches;</w:t>
      </w:r>
    </w:p>
    <w:p>
      <w:pPr>
        <w:spacing w:after="0" w:line="71" w:lineRule="exact"/>
        <w:rPr>
          <w:rFonts w:ascii="Times New Roman" w:cs="Times New Roman" w:eastAsia="Times New Roman" w:hAnsi="Times New Roman"/>
          <w:sz w:val="18"/>
          <w:szCs w:val="18"/>
          <w:color w:val="auto"/>
        </w:rPr>
      </w:pPr>
    </w:p>
    <w:p>
      <w:pPr>
        <w:ind w:left="960" w:hanging="383"/>
        <w:spacing w:after="0" w:line="254" w:lineRule="auto"/>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U.S. data privacy regulations, such as the California Privacy Rights Act of 2020, or CPRA, which establishes a new California Privacy Protection Agency to implement and enforce the CPRA. Other states, such as Virginia, Colorado, Utah, and Connecticut have also passed comprehensive privacy laws that have or will go into effect during 2023, and similar laws are being considered in several other states, as well as at the federal and local levels. While these new state laws, like the CCPA, also exempt some data processed in the context of clinical trials, these developments further complicate compliance efforts, and increase legal risk and compliance costs for us, the third parties upon whom we rely.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83" w:lineRule="exact"/>
        <w:rPr>
          <w:rFonts w:ascii="Times New Roman" w:cs="Times New Roman" w:eastAsia="Times New Roman" w:hAnsi="Times New Roman"/>
          <w:sz w:val="18"/>
          <w:szCs w:val="18"/>
          <w:color w:val="auto"/>
        </w:rPr>
      </w:pPr>
    </w:p>
    <w:p>
      <w:pPr>
        <w:ind w:left="960" w:right="40" w:hanging="383"/>
        <w:spacing w:after="0" w:line="255" w:lineRule="auto"/>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data privacy regulations, such as the General Data Protection Regulation (2016/679), or GDPR, which applies to identified or identifiable personal data in electronic or paper form.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 including a private right of action. Also under the EU GDPR, companies may face temporary or definitive bans on data processing and other corrective actions. Other such foreign data privacy obligations include the EU GDPR as it forms part of United Kingdom ("UK") law by virtue of section 3 of the European Union (Withdrawal) Act 2018 ("UK GDPR"); and</w:t>
      </w:r>
    </w:p>
    <w:p>
      <w:pPr>
        <w:spacing w:after="0" w:line="80" w:lineRule="exact"/>
        <w:rPr>
          <w:rFonts w:ascii="Times New Roman" w:cs="Times New Roman" w:eastAsia="Times New Roman" w:hAnsi="Times New Roman"/>
          <w:sz w:val="18"/>
          <w:szCs w:val="18"/>
          <w:color w:val="auto"/>
        </w:rPr>
      </w:pPr>
    </w:p>
    <w:p>
      <w:pPr>
        <w:ind w:left="960" w:hanging="383"/>
        <w:spacing w:after="0" w:line="252" w:lineRule="auto"/>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pacing w:after="0" w:line="19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Further, the Affordable Care Act, among other things, amended the intent requirement of the federal Anti-Kickback Statute and the healthcare fraud statute. A person or entity no longer needs to have actual knowledge of these statutes or specific intent to violate them in order to have committed a violation. In addition, the Affordable Care Act provided that the government may assert that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claim including items or services resulting from a violation of the federal Anti-Kickback Statute constitutes a false or fraudulent claim for purposes of the federal civil False Claims Act.</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 and administrative sanctions, including exclusions from participation in government healthcare programs, which could also affect our business.</w:t>
      </w:r>
    </w:p>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provisions of the Affordable Care Act of importance to our potential product candidates are the following:</w:t>
      </w:r>
    </w:p>
    <w:p>
      <w:pPr>
        <w:spacing w:after="0" w:line="117" w:lineRule="exact"/>
        <w:rPr>
          <w:sz w:val="20"/>
          <w:szCs w:val="20"/>
          <w:color w:val="auto"/>
        </w:rPr>
      </w:pPr>
    </w:p>
    <w:p>
      <w:pPr>
        <w:ind w:left="1020" w:right="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most branded and generic drugs, respectively;</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federal civil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requirements under the federal Open Payments program and its implementing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20" w:right="6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27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There have been judicial and congressional challenges to certain aspects of the Affordable Care Act. On June 17, 2021 the U.S. Supreme Court dismissed a challenge on procedural grounds that argued the Affordable Care Act is unconstitutional in its entirety because the “individual mandate” was repealed by Congress. Further, prior to the U.S. Supreme Court ruling, on January 28, 2021, President Biden issued an executive order to initiate a special enrollment period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The Affordable Care Act may be subject to additional judicial or Congressional challenges in the future.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unclear how any additional healthcare reform measures of the Biden administration will impact the Affordable Care Act and our business.</w:t>
      </w:r>
    </w:p>
    <w:p>
      <w:pPr>
        <w:spacing w:after="0" w:line="1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These changes included aggregate reductions to Medicare payments to providers of up to 2% per fiscal year, which went into effect in April 2013 and, due to the BBA, will stay in effect through 2031 with the exception of a temporary suspension from May 1, 2020 through March 31, 2022 unless additional Congressional action is taken. Under current legislation, the actual reduction in Medicare payments will vary from 1% in 2022 to up to 4%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negatively impact customers for our product candidates, if approved, and, accordingly, our financial operations.</w:t>
      </w:r>
    </w:p>
    <w:p>
      <w:pPr>
        <w:spacing w:after="0" w:line="19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 the Department of Health and Human Services, or HHS, released a Comprehensive Plan for Addressing High Drug Prices that outlines principles for drug pricing reform and sets out a variety of potential legislative policies that Congress could pursue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will be taken in response to the COVID-19 pandemic.</w:t>
      </w:r>
    </w:p>
    <w:p>
      <w:pPr>
        <w:spacing w:after="0" w:line="18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affect our revenue, if any.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incur substantial losses.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stock price has been and may continue to be volatile. Since January 1, 2021, our common stock has traded at prices between $0.98 and $7.73 per share. The stock market in general and the market for biopharmaceutical companies in particular have experienced extreme volatility that has often been unrelated or disproportionate to the operating performance of particular companies, including in connection with the COVID-19 pandemic. Broad market and industry factors, including potentially worsening economic conditions, inflation and other adverse effects or developments relating to the ongoing COVID-19 pandemic, may negatively affect the market price of our common stock, regardless of our actual operating performance. As a result of this volatility, investors may not be able to sell their common stock at or above the price paid for the shares. The market price for our common stock may be influenced by many factors, including:</w:t>
      </w:r>
    </w:p>
    <w:p>
      <w:pPr>
        <w:spacing w:after="0" w:line="8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specific stockholders;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5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Subject to compliance with applicable rules and regulations, we may issue our shares of common stock or securities convertible into our common stock from time to time in connection with a financing, acquisition, investment, our stock incentive plans or otherwise. Any such issuance could result in substantial dilution to our existing stockholders and cause the trading price of our common stock to decline.</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significant number of our shares are sold into the market, it could cause the market price of our common stock to drop significantly, even if our business is doing well.</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registering the issuance of shares of common stock subject to options or other equity awards issued or reserved for future issuance under our equity incentive plans. These registered shares will be available for sale in the public market subject to vesting arrangements and exercise of options and, in the case of our affiliates, the restrictions of Rule 144.</w:t>
      </w:r>
    </w:p>
    <w:p>
      <w:pPr>
        <w:spacing w:after="0" w:line="28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are elected each year;</w:t>
      </w:r>
    </w:p>
    <w:p>
      <w:pPr>
        <w:spacing w:after="0" w:line="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stockholders are not entitled to remove directors other than by a 66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vote and only for cause;</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take actions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jc w:val="both"/>
        <w:ind w:right="380"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common stock, including transactions that may be in your best interests. These provisions may also prevent changes in our management or limit the price that investors are willing to pay for our stock.</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However, this exclusive forum provision would not apply to suits brought to enforce a duty or liability created by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 In addition, as a smaller reporting company and non-accelerated filer, we are not required to comply with the auditor attestation requirements of Section 404 of the Sarbanes-Oxley Act.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our cash in ways with which investors do not agree.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Investors may not agree with our decisions, and our use of our cash may not yield any return on investment. Our failure to apply our resources effectively could compromise our ability to pursue our growth strategy. Investors will not have the opportunity to influence our decisions on how to use our cash and cash equivalents.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the sole source of gains and investors may never receive a return on their investment.</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Investors should not rely on an investment in our common stock to provide dividend income. We have not declared or paid cash dividends on our common stock to date. We currently intend to retain our future earnings, if any, to fund the development and growth of our business. In addition, our prior loan agreement prohibited us from paying dividends without the consent of the lenders under the agreement, and we expect that the terms of any future debt agreements would likewise preclude us from paying dividends. As a result, capital appreciation, if any, of our common stock will be investors’ sole source of gain for the foreseeable future. Investors seeking cash dividends should not purchase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material computer system failures or security breaches,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Cyberattacks, malicious internet-based activity, and online and offline fraud are prevalent and continue to increase. These threats are becoming increasingly difficult to detect. These threats come from a variety of sources. In addition to traditional computer “hackers,” threat actors, personnel (such as through theft or misuse), sophisticated nation-states, and nation-state-supported actors now engage in attacks.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of the foregoing could result in a material disruption of our clinical and product development activities and business operations, in addition to possibly requiring substantial expenditures of resources to remedy. For example, the loss or compromise of clinical trial data from completed or ongoing clinical trials could result in delays in our regulatory approval efforts and significantly increase our costs to recover or reproduce the data. To the extent that any disruption or security incident was to result in a loss or damage to our data or applications, or inappropriate disclosure of confidential or proprietary information, or any personal data for which we are responsible, we could incur significant unexpected losses, expenses and liabilities, we could face litigation or suffer reputational harm and the further development of our product candidates could be delayed.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2017 comprehensive tax reform bill, as modified by the CARES Act, the Inflation Reduction Act, and possible future changes in tax laws or regulations could adversely affect our business and financial condition.</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December 22, 2017, President Trump signed into law the Tax Act, which significantly revised the Internal Revenue Code of 1986, as amended, or the Code. In March 2020, the Tax Act was modified in certain respects by the Coronavirus Aid, Relief, and Economic Security (CARES) Act. More recently, the Inflation Reduction Inflation of 2022, or the IRA, was enacted which includes provisions that impact the U.S. federal income taxation of corporations, including imposing a minimum tax on the book income of certain large corporations and an excise tax on certain corporate stock repurchases that would be imposed on the corporation repurchasing such stock. Future guidance from the U.S. Internal Revenue Service and other tax authorities with respect to the Tax Act, as modified by the CARES Act, and the IRA, may affect us, and certain aspects of the Tax Act, CARES Act and IRA could be repealed or modified in future legislation. Changes in corporate tax rates, the realization of net deferred tax assets relating to our U.S. operations, the taxation of foreign earnings, and the deductibility of expenses under the Tax Act, the CARES Act, the IRA, or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97"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Act, the CARES Act, the IRA, or any newly enacted federal tax legislation.</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taxation in numerous U.S. states and territories. As a result, our effective tax rate is derived from a combination of applicable tax rates in the various places in which we operate. In preparing our financial statements, we estimate the amount of tax that will become payable in each of such places. Nevertheless, our effective tax rate may be different than experienced in the past due to numerous factors, including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use potential future operating losses and our federal and state NOL carryforwards to offset future taxable income, if any. However, our ability to use existing NOL carryforwards could be limited as a result of issuances of equity securities.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2022, we had approximately $216.1 million of federal and $78.4 million of state net operating loss, or NOL, carryforwards. If not utilized, the portion of these federal NOL carryforwards arising in tax years beginning before 2018 will begin to expire at various dates beginning in 2031, and these state NOL carryforwards will begin to expire at various dates beginning in 2027. Under the Tax Act, as modified by the CARES Act, federal NOLs incurred in taxable years beginning in 2018 and in later years may be carried forward indefinitely, but the deductibility of such federal NOLs is limited for taxable years beginning after 2020 to 80% of taxable income. Certain states have conformed to the federal NOL rules included in the Tax Act and CARES Act. However, under Section 382 of the Code of 1986, as interpreted by the U.S. Internal Revenue Service, the amount of benefits from our NOL carryforwards may be impaired or limited if we incur ownership changes. The completion of our IPO, follow-on public offerings, private placements and other transactions that have occurred, and future offerings of our securities have triggered, and may in the future trigger additional, ownership changes. We have determined that three such ownership changes have occurred in the past. We have determined that $38,000 and $2,000 of our deferred tax assets related to federal NOL and R&amp;D credits, respectively, will expire due to Section 382.</w:t>
      </w:r>
    </w:p>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addition, since we will need to raise substantial additional funding to finance our operations, we may undergo ownership changes in the future. Any such additional limitations may significantly reduce the value of our NOL carryforwards before they expire, which could result in greater tax liabilities than we would incur in the absence of such limitations. At the state level, there may be periods during which the use of net operating loss carryforwards is suspended or otherwise limited, which could accelerate or permanently increase state taxes owed.</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Because we are a smaller reporting company and a non-accelerated filer, we are not required to comply with the auditor attestation requirements of Section 404 of the Sarbanes-Oxley Act. However, 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demands upon management as a result of being a public company.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legal, accounting and other costs, which we expect to increase if we cease to be a smaller reporting company under SEC rules.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extreme weather events, earthquakes and other natural disasters could adversely affect our business.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recent years, extreme weather events and changing weather patterns such as storms, flooding, droughts, fires and temperature changes have become more common. As a result, we are potentially exposed to varying natural disaster or extreme weather risks such as hurricanes, tornadoes, fires, droughts or floods, or other events that may result from the impact of climate change on the environment, such as sea level rise. The potential impacts of climate change may also include increased operating costs associated with additional regulatory requirements and investments in reducing energy, water use and greenhouse gas emissions.</w:t>
      </w:r>
    </w:p>
    <w:p>
      <w:pPr>
        <w:spacing w:after="0" w:line="28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and geopolitical tensions could have a negative effect on our business, results of operations and financial condition and liquidity.</w:t>
      </w:r>
    </w:p>
    <w:p>
      <w:pPr>
        <w:spacing w:after="0" w:line="51" w:lineRule="exact"/>
        <w:rPr>
          <w:sz w:val="20"/>
          <w:szCs w:val="20"/>
          <w:color w:val="auto"/>
        </w:rPr>
      </w:pPr>
    </w:p>
    <w:p>
      <w:pPr>
        <w:ind w:right="120" w:firstLine="554"/>
        <w:spacing w:after="0" w:line="254" w:lineRule="auto"/>
        <w:rPr>
          <w:sz w:val="20"/>
          <w:szCs w:val="20"/>
          <w:color w:val="auto"/>
        </w:rPr>
      </w:pPr>
      <w:r>
        <w:rPr>
          <w:rFonts w:ascii="Times New Roman" w:cs="Times New Roman" w:eastAsia="Times New Roman" w:hAnsi="Times New Roman"/>
          <w:sz w:val="18"/>
          <w:szCs w:val="18"/>
          <w:color w:val="auto"/>
        </w:rPr>
        <w:t>In recent years, concerns about the global economic outlook have adversely affected market and business conditions in general. Macroeconomic weakness and uncertainty could make it more difficult for us or the licensing partners on whom we depend to commercialize XIPERE to manage our respective operations. Geopolitical tensions, such as Russia’s recent incursion into Ukraine, ongoing conflicts between the United States and China, tariff and trade policy changes, economic sanctions and increasing potential of conflict involving countries in Asia, including countries that are part of the Artic Territory under our license agreement with Arctic Vision, create uncertainty for us and for global commerce generally. Sustained or worsening of global economic conditions and increasing geopolitical tensions may increase our cost of doing business, limit our ability to access capital, disrupt our supply chain operations or the supply chain operations of our licensing partners and intensify pricing pressures. Any or all of these factors could negatively affect our business, financial condition and result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principal offices occupy approximately 14,000 square feet of office space in Alpharetta, Georgia under a lease with an initial term until November 2026, with a renewal option for one additional three-year term.</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leased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“CLSD.”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March 8, 2023, we had 61,364,299 shares of common stock outstanding held by 7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97" w:lineRule="exact"/>
        <w:rPr>
          <w:sz w:val="20"/>
          <w:szCs w:val="20"/>
          <w:color w:val="auto"/>
        </w:rPr>
      </w:pPr>
    </w:p>
    <w:p>
      <w:pPr>
        <w:ind w:right="20" w:firstLine="509"/>
        <w:spacing w:after="0" w:line="223"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reflect our plans, estimates, beliefs and expectations that involve risks and uncertainties. Our actual results and the timing of events could differ materially from those discussed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Factors that could cause or contribute to these differences include those discussed below and elsewhere in this Annual Report, particularly in Item 1A. “Risk Factors” and “Special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(SCS). Our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suprachoroidal injection technology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187"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1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raising capital, conducting preclinical studies and clinical trials and undertaking other research and development initiatives. To date, we have only generated revenue through upfront payments and milestone payments related to license agreements and other revenue generated from collaboration agreements. We have primarily financed our operations through public offerings and private placements of our equity securities, issuances of convertible promissory notes and loan agreements. As of December 31, 2022, we had an accumulated deficit of $288.3 million. We recorded net losses of $32.9 million for the year ended December 31, 2022, net income of $0.4 million for the year ended December 31, 2021 and net losses of $18.2 million for the year ended December 31, 2020.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therapeutics to utilize with our SCS Microinjector.</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We do not expect to generate significant product or license and other revenue unless and until XIPERE is successfully commercialized by its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2023 as a result of the implementation of a Phase 2b clinical trial of CLS-AX as well as continuing our pipeline development. We also will continue our efforts to seek to discover, research and develop additional product candidates and seek regulatory approvals in additional regions for XIPERE for the treatment of macular edema associated with uveitis. Based on our current research and development plans, we expect to have sufficient resources to fund our planned operations into the second quarter of 2024. We will require additional capital in order to complete clinical development of CLS-AX.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from the sale of XIPERE and we do not expect to generate any other product revenue unless or until we obtain regulatory approval of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 and other agreements with third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54" w:lineRule="exact"/>
        <w:rPr>
          <w:sz w:val="20"/>
          <w:szCs w:val="20"/>
          <w:color w:val="auto"/>
        </w:rPr>
      </w:pPr>
    </w:p>
    <w:p>
      <w:pPr>
        <w:ind w:left="1020" w:right="7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activities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type of activity for the years ended December 31, 2022, 2021 and 2020.</w:t>
      </w:r>
    </w:p>
    <w:p>
      <w:pPr>
        <w:spacing w:after="0" w:line="24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r>
      <w:tr>
        <w:trPr>
          <w:trHeight w:val="220"/>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XIPERE (uveitis program)</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CLS-AX (wet AMD program)</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20"/>
                <w:szCs w:val="20"/>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CLS-301 (DME program)</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program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0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-504825</wp:posOffset>
            </wp:positionV>
            <wp:extent cx="6858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-504825</wp:posOffset>
            </wp:positionV>
            <wp:extent cx="60325"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032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that include the following:</w:t>
      </w:r>
    </w:p>
    <w:p>
      <w:pPr>
        <w:spacing w:after="0" w:line="54" w:lineRule="exact"/>
        <w:rPr>
          <w:sz w:val="20"/>
          <w:szCs w:val="20"/>
          <w:color w:val="auto"/>
        </w:rPr>
      </w:pPr>
    </w:p>
    <w:p>
      <w:pPr>
        <w:ind w:left="1020" w:right="2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(Other Expense)</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Other income consists of the gain on the extinguishment of the PPP Loan and accrued interest and interest income earned on our cash, cash equivalents and short-term investments. Interest income is not currently significant to our financial statements.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consists of interest expense incurred under our loan agreements.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Liability Related to the Sales of Future Royalties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 consists of imputed interest on the carrying value of the liability and the amortization of the related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in accordance with U.S. GAAP, as those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financial statements appearing elsewhere in this Annual Report, we believe the following are the critical accounting policies used in the preparation of our financial statements that require significant estimates and judgments.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recognize revenue from our contracts with customers under Financial Accounting Standards Board (“FASB”) Accounting Standards Codification (“ASC”) Topic 606, Revenue from Contracts with Customers (“ASC 606”). Under ASC 606, we recognize revenue in an amount that reflects the consideration to which we expect to be entitled in exchange for the transfer of promised goods or services to customers. To determine revenue recognition for contracts with customers that are within the scope of ASC 606, we perform the following steps: (1) identify the contract with the customer,</w:t>
      </w:r>
    </w:p>
    <w:p>
      <w:pPr>
        <w:spacing w:after="0" w:line="3" w:lineRule="exact"/>
        <w:rPr>
          <w:sz w:val="20"/>
          <w:szCs w:val="20"/>
          <w:color w:val="auto"/>
        </w:rPr>
      </w:pPr>
    </w:p>
    <w:p>
      <w:pPr>
        <w:jc w:val="both"/>
        <w:ind w:right="60" w:firstLine="8"/>
        <w:spacing w:after="0" w:line="255"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(3) determine the transaction price, (4) allocate the transaction price to the performance obligations in the contract, and (5) recognize revenue when (or as) the entity satisfies a performance obligation. We only apply the five-step model to contracts when it is probable that we will collect the consideration we are entitled to in exchange for the goods or services transferred to the customer.</w:t>
      </w:r>
    </w:p>
    <w:p>
      <w:pPr>
        <w:spacing w:after="0" w:line="18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part of the accounting for our revenue arrangements, we develop assumptions that require judgment such as the estimate of the stand-alone selling price for each performance obligation identified in the contract.</w:t>
      </w:r>
    </w:p>
    <w:p>
      <w:pPr>
        <w:spacing w:after="0" w:line="160"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our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we recognize revenue allocated to the license when the license is transferred to the customer and the customer is able to use and benefit from the license. For licenses that are bundled with other promised goods or services,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8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commercialization, and regulatory milestone payments,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whether the achievement of the milestones is considered probable and estimate the amount to be included in the transaction price using the most likely amount method. Performance milestone payments represent a form of variable consideration. If it is probable that a significant revenue reversal would not occur, the associated milestone value is included in the transaction price. Achievement of milestones that are not within our or our licensee’s control, such as regulatory approvals, are not considered probable until the approvals are achieved. The transaction price is then allocated to each performance obligation on a relative stand-alone selling price basis and we recognize revenue as or when the performance obligations under the contract are satisfied. At the end of each subsequent reporting period, we re-evaluate the probability of achieving such milestones and any related constraint, and if necessary, adjust our estimate of the overall transaction price. Any such adjustments are recorded on a cumulative catch-up basis, which would affect revenues and earnings in the period of adjustment.</w:t>
      </w:r>
    </w:p>
    <w:p>
      <w:pPr>
        <w:spacing w:after="0" w:line="18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development or commercial supply at the customer’s discretion are generally considered options. </w:t>
      </w:r>
      <w:r>
        <w:rPr>
          <w:rFonts w:ascii="Times New Roman" w:cs="Times New Roman" w:eastAsia="Times New Roman" w:hAnsi="Times New Roman"/>
          <w:sz w:val="18"/>
          <w:szCs w:val="18"/>
          <w:color w:val="212529"/>
        </w:rPr>
        <w:t>The arrangements may also include assistance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oversight of the customer’s use of the drug substance or drug product. </w:t>
      </w:r>
      <w:r>
        <w:rPr>
          <w:rFonts w:ascii="Times New Roman" w:cs="Times New Roman" w:eastAsia="Times New Roman" w:hAnsi="Times New Roman"/>
          <w:sz w:val="18"/>
          <w:szCs w:val="18"/>
          <w:color w:val="000000"/>
        </w:rPr>
        <w:t>We assess if these options provide a material right to the licensee and if so, they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accounted for as separate performance obligations at the outset of the arrangement.</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received any royalty revenue resulting from any of our licensing arrangements.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accrue our expenses related to clinical trials based on our estimates of the services received and efforts expended pursuant to contracts with multiple research institutions and CROs that conduct research activities or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We estimate the fair value of stock options using a Black-Scholes option pricing model. Share-based compensation costs are expensed on a straight-line basis over the relevant vesting period. The fair value of restricted stock units, or RSUs, granted is measured based on the market value of our common stock on the date of grant and is recognized ratably over the requisite service period, which is generally the vesting period of the awards. All share-based compensation costs are recorded in general and administrative or research and development costs in the statements of operations based upon the underlying employees’ roles.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factors, assumptions and methodologies used in determining fair value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and cancellation behaviors, risk-free interest rates and expected dividends.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the fair value of stock options at the grant date using Black-Scholes option pricing model with the following assumptions:</w:t>
      </w:r>
    </w:p>
    <w:p>
      <w:pPr>
        <w:spacing w:after="0" w:line="115" w:lineRule="exact"/>
        <w:rPr>
          <w:sz w:val="20"/>
          <w:szCs w:val="20"/>
          <w:color w:val="auto"/>
        </w:rPr>
      </w:pPr>
    </w:p>
    <w:p>
      <w:pPr>
        <w:ind w:left="1020" w:right="20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our common stock. </w:t>
      </w:r>
      <w:r>
        <w:rPr>
          <w:rFonts w:ascii="Times New Roman" w:cs="Times New Roman" w:eastAsia="Times New Roman" w:hAnsi="Times New Roman"/>
          <w:sz w:val="18"/>
          <w:szCs w:val="18"/>
          <w:color w:val="auto"/>
        </w:rPr>
        <w:t>We estimate the fair value of our common stock by reference to the closing price of our common stock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Nasdaq Global Market on the date of grant.</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We calculate expected volatility based on the historical volatility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In the year ended December 31, 2022, we used historical data to calculate the expected term. In the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2021 and 2020, we used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as we did not have sufficient historical exercise and post-vesting termination data to provide a reasonable basis upon which to estimate the expected term of stock options granted to employees.</w:t>
      </w:r>
    </w:p>
    <w:p>
      <w:pPr>
        <w:spacing w:after="0" w:line="71" w:lineRule="exact"/>
        <w:rPr>
          <w:rFonts w:ascii="Times New Roman" w:cs="Times New Roman" w:eastAsia="Times New Roman" w:hAnsi="Times New Roman"/>
          <w:sz w:val="18"/>
          <w:szCs w:val="18"/>
          <w:color w:val="auto"/>
        </w:rPr>
      </w:pPr>
    </w:p>
    <w:p>
      <w:pPr>
        <w:ind w:left="1020" w:right="42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Forfeitures are accounted for as they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have never declared or paid any cash dividends and do not presently plan to pay cash dividends in the foreseeable future.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an employee stock purchase plan that is considered a compensatory plan. The fair value of the discount and the look-back period of the employee stock purchase plan are estimated using the Black-Scholes option pricing model and expense is recognized over the six-month withholding period prior to the purchase date.</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related to stock options, the employee stock purchase plan and RSUs aggregated $4.9 million, $5.1 million and $3.6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Related to the Sales of Royalties and Non-Cash Interest Expense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recognized a liability related to the sales of future royalties under ASC 470-10 Debt and ASC 835-30 Interest - Imputation of Interest. The initial funds received by us pursuant to the terms of the Purchase and Sale Agreement were recorded as a liability and will be accreted under the effective interest method up to the estimated amount of future royalties and milestone payments to be made under the Purchase and Sale Agreement. The issuance costs were recorded as a direct deduction to the carrying amount of the liability and will be amortized under the effective interest method over the estimated period the liability will be repaid. We estimated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we will prospectively adjust the effective interest and the related amortization of the liability and related issuance costs.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recorded aggregate deferred tax assets of $73.7 million, primarily related to our net operating losses, as of December 31, 2022, which have been fully offset by a valuation allowance due to uncertainties surrounding our ability to realize these tax benefits. We record a valuation allowance if it is more likely than not that a deferred tax asset will not be realized. We provided a full valuation allowance on our deferred tax assets that primarily consist of cumulative net operating losses, or NOLs for the period from our inception through December 31, 2022. We incurred a net income for tax purposes of $19.3 million for the year ended December 31, 2022 which was offset by utilizing NOLs for the same amount. Due to our three-year cumulative loss position, history of operating losses and losses expected to be incurred in the foreseeable future, we considered it necessary to provide for a full valuation allowance against our net deferred tax assets.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deferred tax assets are primarily composed of federal and state tax NOL carryforwards. As of December 31, 2022, we had federal NOL carryforwards of $216.1 million and state NOL carryforwards of $78.4 million available to reduce future taxable income, if any. These federal NOL carryforwards will begin to expire at various dates starting in 2031. The state NOL carryforwards will begin to expire at various dates starting in 2027. In general, if we experience a greater than 50 percentage point aggregate change in ownership of specified significant stockholders over a three-year period, utilization of our pre-change NOL carryforwards will be subject to an annual limitation under Section 382 of the U.S. Internal Revenue Code of 1986, as amended, or the Code, and similar state laws. Such limitations may result in expiration of a portion of the NOL carryforwards before utilization and may be substantial. The completion of our IPO, follow-on public offerings, private placements and other transactions that have occurred, and future offerings of our securities have triggered, and may in the future trigger additional, ownership changes. We have determined that three such ownership changes have occurred in the past. We have determined that $38,000 and $2,000 of our deferred tax assets related to federal NOL and R&amp;D credits, respectively, will expire due to Section 382. In addition, if we experience a Section 382 ownership change as a result of future offerings or changes in our stock ownership, some of which changes are outside our control, the tax benefits related to the NOL carryforwards may be further limited or lost.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2022 and 2021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rPr>
              <w:t>Period-to-</w:t>
            </w:r>
          </w:p>
        </w:tc>
        <w:tc>
          <w:tcPr>
            <w:tcW w:w="0" w:type="dxa"/>
            <w:vAlign w:val="bottom"/>
          </w:tcPr>
          <w:p>
            <w:pPr>
              <w:spacing w:after="0"/>
              <w:rPr>
                <w:sz w:val="1"/>
                <w:szCs w:val="1"/>
                <w:color w:val="auto"/>
              </w:rPr>
            </w:pPr>
          </w:p>
        </w:tc>
      </w:tr>
      <w:tr>
        <w:trPr>
          <w:trHeight w:val="249"/>
        </w:trPr>
        <w:tc>
          <w:tcPr>
            <w:tcW w:w="6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6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Borders>
              <w:top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4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(28,248 )</w:t>
            </w:r>
          </w:p>
        </w:tc>
        <w:tc>
          <w:tcPr>
            <w:tcW w:w="0" w:type="dxa"/>
            <w:vAlign w:val="bottom"/>
          </w:tcPr>
          <w:p>
            <w:pPr>
              <w:spacing w:after="0"/>
              <w:rPr>
                <w:sz w:val="1"/>
                <w:szCs w:val="1"/>
                <w:color w:val="auto"/>
              </w:rPr>
            </w:pP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4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4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4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w:t>
            </w:r>
          </w:p>
        </w:tc>
        <w:tc>
          <w:tcPr>
            <w:tcW w:w="30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(3,339 )</w:t>
            </w:r>
          </w:p>
        </w:tc>
        <w:tc>
          <w:tcPr>
            <w:tcW w:w="360" w:type="dxa"/>
            <w:vAlign w:val="bottom"/>
            <w:shd w:val="clear" w:color="auto" w:fill="CFF0FC"/>
          </w:tcPr>
          <w:p>
            <w:pPr>
              <w:spacing w:after="0"/>
              <w:rPr>
                <w:sz w:val="18"/>
                <w:szCs w:val="18"/>
                <w:color w:val="auto"/>
              </w:rPr>
            </w:pPr>
          </w:p>
        </w:tc>
        <w:tc>
          <w:tcPr>
            <w:tcW w:w="1340" w:type="dxa"/>
            <w:vAlign w:val="bottom"/>
            <w:gridSpan w:val="2"/>
            <w:vMerge w:val="restart"/>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(3,339 )</w:t>
            </w:r>
          </w:p>
        </w:tc>
        <w:tc>
          <w:tcPr>
            <w:tcW w:w="0" w:type="dxa"/>
            <w:vAlign w:val="bottom"/>
          </w:tcPr>
          <w:p>
            <w:pPr>
              <w:spacing w:after="0"/>
              <w:rPr>
                <w:sz w:val="1"/>
                <w:szCs w:val="1"/>
                <w:color w:val="auto"/>
              </w:rPr>
            </w:pPr>
          </w:p>
        </w:tc>
      </w:tr>
      <w:tr>
        <w:trPr>
          <w:trHeight w:val="234"/>
        </w:trPr>
        <w:tc>
          <w:tcPr>
            <w:tcW w:w="6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300" w:type="dxa"/>
            <w:vAlign w:val="bottom"/>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(32,947 )</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(33,323 )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-950595</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-950595</wp:posOffset>
            </wp:positionV>
            <wp:extent cx="685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ind w:right="20" w:firstLine="554"/>
        <w:spacing w:after="0" w:line="257"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In the year ended December 31, 2022 and 2021, we recognized $1.3 million and $29.6 million of revenue associated with our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License revenue for the year ended December 31, 2022 was primarily from providing training materials and clinical trial products to our licensees. License revenue for the year ended December 31, 2021 was primarily a result of (i) the milestone payments from Bausch that consisted of $5.0 million received upon FDA approval of XIPERE, the recognition of $5.0 million of deferred revenue for the upfront milestone payment and the recognition of a $10.0 million milestone for pre-launch activities and (ii) an aggregate of $8.0 million received from Arctic Vision for FDA approval of XIPERE, territory expansion and certain development milestones.</w:t>
      </w:r>
    </w:p>
    <w:p>
      <w:pPr>
        <w:spacing w:after="0" w:line="182" w:lineRule="exact"/>
        <w:rPr>
          <w:sz w:val="20"/>
          <w:szCs w:val="20"/>
          <w:color w:val="auto"/>
        </w:rPr>
      </w:pPr>
    </w:p>
    <w:p>
      <w:pPr>
        <w:ind w:right="6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In the year ended December 31, 2022, we recognized $0.2 million in cost of goods sold related to the sales of our SCS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Microinjector kits to our licensees.</w:t>
      </w:r>
    </w:p>
    <w:p>
      <w:pPr>
        <w:spacing w:after="0" w:line="1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increased by $1.1 million, from $18.5 million for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$19.6 million for the year ended December 31, 2022. This increase was primarily due to a $0.9 million increase in costs for the CLS-AX program, including costs for OASIS, a Phase 1/2a clinical trial of CLS-AX, the OASIS extension study and the preliminary startup costs of ODYSSEY, a Phase 2b clinical trial of CLS-AX. Additionally, there was $1.2 million in costs related to our other programs and a $0.7 million increase in costs related to an increase in headcount. This is partially offset by a $2.3 million decrease in costs related to XIPERE.</w:t>
      </w:r>
    </w:p>
    <w:p>
      <w:pPr>
        <w:spacing w:after="0" w:line="183"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$0.1 million for the years ended December 31, 2022 and 2021.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a result of a $0.4 million increase in patent related expenses and a $0.5 million decrease in costs related to employee benefits.</w:t>
      </w:r>
    </w:p>
    <w:p>
      <w:pPr>
        <w:spacing w:after="0" w:line="158"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for the year ended December 31, 2022 was primarily comprised of interest income from the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income for the year ended December 31, 2021 was primarily comprised of the gain on the extinguishment of debt from the forgiveness of the PPP Loan and accrued interest.</w:t>
      </w:r>
    </w:p>
    <w:p>
      <w:pPr>
        <w:spacing w:after="0" w:line="173"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Non-cash interest expense from liability related to the sales of future royalties</w:t>
      </w:r>
      <w:r>
        <w:rPr>
          <w:rFonts w:ascii="Times New Roman" w:cs="Times New Roman" w:eastAsia="Times New Roman" w:hAnsi="Times New Roman"/>
          <w:sz w:val="18"/>
          <w:szCs w:val="18"/>
          <w:color w:val="auto"/>
        </w:rPr>
        <w:t>. Non-cash interest expense for the year ended December 31,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imputed interest on the liability related to the sales of future royalties and the amortization of the associated issuance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2021 and 2020.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Period-to-</w:t>
            </w:r>
          </w:p>
        </w:tc>
        <w:tc>
          <w:tcPr>
            <w:tcW w:w="100" w:type="dxa"/>
            <w:vAlign w:val="bottom"/>
          </w:tcPr>
          <w:p>
            <w:pPr>
              <w:spacing w:after="0"/>
              <w:rPr>
                <w:sz w:val="18"/>
                <w:szCs w:val="18"/>
                <w:color w:val="auto"/>
              </w:rPr>
            </w:pPr>
          </w:p>
        </w:tc>
      </w:tr>
      <w:tr>
        <w:trPr>
          <w:trHeight w:val="243"/>
        </w:trPr>
        <w:tc>
          <w:tcPr>
            <w:tcW w:w="5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21"/>
                <w:szCs w:val="21"/>
                <w:color w:val="auto"/>
              </w:rPr>
            </w:pPr>
          </w:p>
        </w:tc>
      </w:tr>
      <w:tr>
        <w:trPr>
          <w:trHeight w:val="222"/>
        </w:trPr>
        <w:tc>
          <w:tcPr>
            <w:tcW w:w="5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9"/>
                <w:szCs w:val="19"/>
                <w:color w:val="auto"/>
              </w:rPr>
            </w:pPr>
          </w:p>
        </w:tc>
      </w:tr>
      <w:tr>
        <w:trPr>
          <w:trHeight w:val="221"/>
        </w:trPr>
        <w:tc>
          <w:tcPr>
            <w:tcW w:w="5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0"/>
                <w:szCs w:val="20"/>
                <w:color w:val="auto"/>
              </w:rPr>
            </w:pPr>
          </w:p>
        </w:tc>
      </w:tr>
      <w:tr>
        <w:trPr>
          <w:trHeight w:val="237"/>
        </w:trPr>
        <w:tc>
          <w:tcPr>
            <w:tcW w:w="5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4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4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(627 </w:t>
            </w:r>
            <w:r>
              <w:rPr>
                <w:rFonts w:ascii="Times New Roman" w:cs="Times New Roman" w:eastAsia="Times New Roman" w:hAnsi="Times New Roman"/>
                <w:sz w:val="18"/>
                <w:szCs w:val="18"/>
                <w:color w:val="auto"/>
                <w:highlight w:val="white"/>
              </w:rPr>
              <w:t>)</w:t>
            </w:r>
          </w:p>
        </w:tc>
        <w:tc>
          <w:tcPr>
            <w:tcW w:w="320" w:type="dxa"/>
            <w:vAlign w:val="bottom"/>
          </w:tcPr>
          <w:p>
            <w:pPr>
              <w:spacing w:after="0"/>
              <w:rPr>
                <w:sz w:val="20"/>
                <w:szCs w:val="20"/>
                <w:color w:val="auto"/>
              </w:rPr>
            </w:pPr>
          </w:p>
        </w:tc>
        <w:tc>
          <w:tcPr>
            <w:tcW w:w="13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 xml:space="preserve">(17,935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(275 )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r>
      <w:tr>
        <w:trPr>
          <w:trHeight w:val="27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460" w:type="dxa"/>
            <w:vAlign w:val="bottom"/>
            <w:tcBorders>
              <w:bottom w:val="single" w:sz="8" w:color="CFF0FC"/>
            </w:tcBorders>
            <w:shd w:val="clear" w:color="auto" w:fill="CFF0FC"/>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-659130</wp:posOffset>
            </wp:positionV>
            <wp:extent cx="5969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In the year ended December 31, 2021, we recognized $29.6 million of revenue associated with our license agreements.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we recognized $7.7 million of revenue associated with our license agreements and $0.2 million of revenue associated with other agreements to evaluate the potential use of our proprietary SCS Microinjector with third-party product candidates for the treatment of various diseases. License revenue for the year ended December 31, 2021 was primarily a result of (i) the milestone payments from Bausch that consisted of $5.0 million received upon FDA approval of XIPERE, the recognition of $5.0 million of deferred revenue for the upfront milestone payment and the recognition of a $10.0 million milestone for pre-launch activities and (ii) an aggregate of $8.0 million received from Arctic Vision for FDA approval of XIPERE, territory expansion and certain development milestones. License revenue for the year end December 31, 2020 was primarily a result of milestone payments of $4.3 million received from Arctic Vision and $3.0 million milestone payment received from REGENXBIO.</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increased by $3.5 million, from $15.1 million for the year ended December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$18.5 million for the year ended December 31, 2021. This increase was primarily due to a $2.3 million increase in costs for the CLS-AX program, including costs for OASIS, a Phase 1/2a clinical trial of CLS-AX, and a $0.7 million increase in costs for the CLS-301 program. Additionally, there was an $0.8 million increase in costs related to share-based compensation and a $0.9 million increase in costs related to an increase in headcount, salary increases and bonuses. This is partially offset by a $1.1 million decrease in costs related to XIPERE.</w:t>
      </w:r>
    </w:p>
    <w:p>
      <w:pPr>
        <w:spacing w:after="0" w:line="183"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$0.9 million for the years ended December 31, 2021 and 2020.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a result of a $0.7 million increase in costs related to share-based compensation and a $0.5 million increase in costs related to salary increases and bonuses, partially offset by a $0.2 million decrease in professional fees.</w:t>
      </w:r>
    </w:p>
    <w:p>
      <w:pPr>
        <w:spacing w:after="0" w:line="173"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for the year ended December 31, 2021 was primarily comprised of the gain on the extinguishment of debt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forgiveness of the PPP Loan and accrued interest.</w:t>
      </w:r>
    </w:p>
    <w:p>
      <w:pPr>
        <w:spacing w:after="0" w:line="158"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Other expense for the year ended December 31, 2020 primarily consisted of interest on long-term debt, the amortization of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the accretion of warrants and the final payment related to our loan agreement.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from public offerings of our common stock, sales of convertible preferred stock and the issuance of long-term debt. As of December 31, 2022, we had cash and cash equivalents of $48.3 million. We invest any cash in excess of our immediate requirements primarily with a view to liquidity and capital preservation. As of December 31, 2022, our funds were held in cash and money market funds.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sold 425,460 shares of our common stock for net proceeds of $0.6 million under the at-the-market, or ATM, agreement, Cowen and Company LLC, or Cowen. Under the ATM agreement, we may offer and sell, from time to time at our sole discretion, shares of our common stock through Cowen acting as our sales agent. As of December 31,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2022, there was $13.8 million available for future sales under the ATM agreement. Subsequent to December 31, 2022, we sold 214,128 shares of our common stock for net proceeds of $0.3 million under the ATM agreement.</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 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received a payment of $32.1 million, representing the $32.5 million to which we were entitled less certain expenses. There were additional issuance costs of $1.5 million related to the Purchase and Sale Agreement resulting in net proceeds of $30.6 million. An additional $12.5 million was deposited in an escrow account by HCR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p>
    <w:p>
      <w:pPr>
        <w:spacing w:after="0" w:line="1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January 6, 2021, we entered into a securities purchase agreement with certain institutional purchasers pursuant to which we issued and sold 4.2 million shares of our common stock in a registered direct offering at a price of $2.851 per share. We raised net cash proceeds of $11.1 million after deducting offering expenses.</w:t>
      </w:r>
    </w:p>
    <w:p>
      <w:pPr>
        <w:spacing w:after="0" w:line="17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w:t>
      </w:r>
    </w:p>
    <w:p>
      <w:pPr>
        <w:spacing w:after="0" w:line="1" w:lineRule="exact"/>
        <w:rPr>
          <w:sz w:val="20"/>
          <w:szCs w:val="20"/>
          <w:color w:val="auto"/>
        </w:rPr>
      </w:pPr>
    </w:p>
    <w:p>
      <w:pPr>
        <w:ind w:right="140" w:firstLine="8"/>
        <w:spacing w:after="0" w:line="260" w:lineRule="auto"/>
        <w:tabs>
          <w:tab w:leader="none" w:pos="3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mechanism for forgiveness of up to the full amount borrowed. On January 11, 2021, we received notification from Silicon Valley Bank that the PPP Loan was forgiven in full, including approximately $7,000 of accrued interest.</w:t>
      </w:r>
    </w:p>
    <w:p>
      <w:pPr>
        <w:spacing w:after="0" w:line="18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Pursuant to the Arctic Vision License Agreement, Arctic Vision paid us an upfront payment of $4.0 million in March 2020. In December 2021, we received a milestone payment of $4.0 million following receipt of FDA approval of XIPERE in the United States. In addition, Arctic Vision has agreed to pay us up to a total of $22.5 million in development and sales milestone payments. Further, during the applicable royalty term, we will also be entitled to receive tiered royalties of 10-12% of net sales in the Arctic Territory, subject to customary reductions. 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October 2019, we announced that Bausch acquired an exclusive license for the commercialization and development of XIPERE in the United States and Canada. On October 25, 2021, we announced that the FDA approved XIPERE for the treatment of macular edema associated with uveitis. We received a $5.0 million milestone payment from Bausch within 30 days of FDA approval. In December 2021, $10.0 million was recorded as revenue upon completion of pre-launch activities for XIPERE and the payment was received in January 2022. Bausch launched XIPERE in the United States in the first quarter of 2022.</w:t>
      </w:r>
    </w:p>
    <w:p>
      <w:pPr>
        <w:spacing w:after="0" w:line="183"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We previously entered into a loan and security agreement with Silicon Valley Bank and MidCap Financial Services, or collectively the Lenders, under which we borrowed $10.0 million in May 2018. In October 2019, we repaid $5.0 million of the outstanding principal balance. Under the loan agreement, we were required to pay accrued interest only on the $5.0 million remaining outstanding balance through October 31, 2020, followed by consecutive equal monthly payments of principal and interest in arrears continuing through the maturity date of October 1, 2022. We had the option to prepay the outstanding balance in full, subject to a prepayment fee. In May 2020, we prepaid in full the outstanding $5.0 million principal balance, plus $0.3 million reflecting a final payment fee and accrued interest. The prepayment fees were waived by the Lenders.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 we have certain contractual obligations for future payments. Refer to Footnote 12 to our financial statements included this Annual Report on Form 10-K.</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39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Based on our current plans and forecasted expenses, we expect that our cash and cash equivalents as of the filing date, March 14, 2023, will enable us to fund our planned operating expenses and capital expenditure requirements into the second quarter of 2024. We have based this estimate on assumptions that may prove to be wrong, and we could exhaust our capital resources sooner than we expect. We will require additional capital in order to complete clinical development of CLS-AX.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provided by (used in) our operating, investing and financing activities: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(13,365 )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(10,733 )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(13,120 )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(246 )</w:t>
            </w:r>
          </w:p>
        </w:tc>
        <w:tc>
          <w:tcPr>
            <w:tcW w:w="14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31,333</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(5,308 )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and 2020, our operating activities used net cash of $13.4 million, $10.7 million and $13.1 million, respectively. The increase in cash used in operating activities for the year ended December 31, 2022 as compared to the year ended December 31, 2021 was primarily due to research and development expenses related to the preclinical and clinical programs offset by the receipt of the $10.0 million milestone payment received from Bausch in connection with pre-launch activities for XIPERE.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decrease in cash used in operating activities for the year ended December 31, 2021 as compared to the year ended December 31, 2020 was primarily due to an increase in accounts receivable related to the achievement of pre-launch activities milestone pursuant to our agreement with Bausch. This was partially offset by the decrease in deferred revenue related to the upfront milestone payment from Bausch and an increase of $1.5 million in share-based compensation for the year ended December 31, 2021 compared to prior year.</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2022 and 2020, our investing activities used net cash of $0.2 million and $55,000, respectively, for the purchase of machinery and equipment.</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2022, 2021 and 2020, our net cash provided by financing activities was $31.3 million, $23.8 million and $7.9 million, respectively. The net cash provided by financing activities for the year ended December 31, 2022 was primarily comprised of $30.6 million from the Purchase and Sale Agreement, net of issuance costs and $0.6 million of net proceeds from the sale of shares of our common stock under the ATM agreement. The net cash provided by financing activities for the year ended December 31, 2021 was primarily comprised of $11.1 million of net proceeds from the sale of shares of our common stock in a registered direct offering and $12.2 million of net proceeds from the sale of shares of our common stock under the ATM agreement. The net cash provided by financing activities for the year ended December 31, 2020 was primarily comprised of $12.0 million of net proceeds from the sale of shares of common stock under the ATM agreement and $1.0 million of proceeds from the PPP Loan, partially offset by the full prepayment of the remaining $5.3 million owed under our loan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2, Significant Accounting Policies” for a discussion of recent accounting pronouncements and their effect on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52525"/>
        </w:rPr>
        <w:t>We are a smaller reporting company as defined by Rule 12b-2 of the Exchange Act and are not required to provide the information required under this item.</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080" w:type="dxa"/>
            <w:vAlign w:val="bottom"/>
          </w:tcPr>
          <w:p>
            <w:pPr>
              <w:spacing w:after="0"/>
              <w:rPr>
                <w:sz w:val="20"/>
                <w:szCs w:val="20"/>
                <w:color w:val="auto"/>
              </w:rPr>
            </w:pPr>
          </w:p>
        </w:tc>
      </w:tr>
      <w:tr>
        <w:trPr>
          <w:trHeight w:val="446"/>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2"/>
        </w:trPr>
        <w:tc>
          <w:tcPr>
            <w:tcW w:w="680" w:type="dxa"/>
            <w:vAlign w:val="bottom"/>
          </w:tcPr>
          <w:p>
            <w:pPr>
              <w:spacing w:after="0"/>
              <w:rPr>
                <w:sz w:val="17"/>
                <w:szCs w:val="17"/>
                <w:color w:val="auto"/>
              </w:rPr>
            </w:pPr>
          </w:p>
        </w:tc>
        <w:tc>
          <w:tcPr>
            <w:tcW w:w="84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2080" w:type="dxa"/>
            <w:vAlign w:val="bottom"/>
          </w:tcPr>
          <w:p>
            <w:pPr>
              <w:jc w:val="right"/>
              <w:ind w:right="590"/>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223"/>
        </w:trPr>
        <w:tc>
          <w:tcPr>
            <w:tcW w:w="680" w:type="dxa"/>
            <w:vAlign w:val="bottom"/>
          </w:tcPr>
          <w:p>
            <w:pPr>
              <w:spacing w:after="0"/>
              <w:rPr>
                <w:sz w:val="19"/>
                <w:szCs w:val="19"/>
                <w:color w:val="auto"/>
              </w:rPr>
            </w:pPr>
          </w:p>
        </w:tc>
        <w:tc>
          <w:tcPr>
            <w:tcW w:w="5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3220" w:type="dxa"/>
            <w:vAlign w:val="bottom"/>
            <w:gridSpan w:val="4"/>
          </w:tcPr>
          <w:p>
            <w:pPr>
              <w:spacing w:after="0"/>
              <w:rPr>
                <w:sz w:val="19"/>
                <w:szCs w:val="19"/>
                <w:color w:val="auto"/>
              </w:rPr>
            </w:pP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68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2022, 2021 and 2020</w:t>
            </w:r>
          </w:p>
        </w:tc>
        <w:tc>
          <w:tcPr>
            <w:tcW w:w="1620" w:type="dxa"/>
            <w:vAlign w:val="bottom"/>
            <w:gridSpan w:val="3"/>
          </w:tcPr>
          <w:p>
            <w:pPr>
              <w:spacing w:after="0"/>
              <w:rPr>
                <w:sz w:val="19"/>
                <w:szCs w:val="19"/>
                <w:color w:val="auto"/>
              </w:rPr>
            </w:pP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80" w:type="dxa"/>
            <w:vAlign w:val="bottom"/>
          </w:tcPr>
          <w:p>
            <w:pPr>
              <w:spacing w:after="0"/>
              <w:rPr>
                <w:sz w:val="19"/>
                <w:szCs w:val="19"/>
                <w:color w:val="auto"/>
              </w:rPr>
            </w:pPr>
          </w:p>
        </w:tc>
        <w:tc>
          <w:tcPr>
            <w:tcW w:w="8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2022, 2021</w:t>
            </w: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77</w:t>
            </w:r>
          </w:p>
        </w:tc>
      </w:tr>
      <w:tr>
        <w:trPr>
          <w:trHeight w:val="196"/>
        </w:trPr>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top w:val="single" w:sz="8" w:color="0000EE"/>
            </w:tcBorders>
            <w:gridSpan w:val="8"/>
          </w:tcPr>
          <w:p>
            <w:pPr>
              <w:ind w:left="160"/>
              <w:spacing w:after="0" w:line="196" w:lineRule="exact"/>
              <w:rPr>
                <w:sz w:val="20"/>
                <w:szCs w:val="20"/>
                <w:color w:val="auto"/>
              </w:rPr>
            </w:pPr>
            <w:r>
              <w:rPr>
                <w:rFonts w:ascii="Times New Roman" w:cs="Times New Roman" w:eastAsia="Times New Roman" w:hAnsi="Times New Roman"/>
                <w:sz w:val="18"/>
                <w:szCs w:val="18"/>
                <w:color w:val="0000FF"/>
              </w:rPr>
              <w:t>and 2020</w:t>
            </w: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8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680" w:type="dxa"/>
            <w:vAlign w:val="bottom"/>
          </w:tcPr>
          <w:p>
            <w:pPr>
              <w:spacing w:after="0"/>
              <w:rPr>
                <w:sz w:val="19"/>
                <w:szCs w:val="19"/>
                <w:color w:val="auto"/>
              </w:rPr>
            </w:pPr>
          </w:p>
        </w:tc>
        <w:tc>
          <w:tcPr>
            <w:tcW w:w="69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580" w:type="dxa"/>
            <w:vAlign w:val="bottom"/>
            <w:gridSpan w:val="2"/>
          </w:tcPr>
          <w:p>
            <w:pPr>
              <w:spacing w:after="0"/>
              <w:rPr>
                <w:sz w:val="19"/>
                <w:szCs w:val="19"/>
                <w:color w:val="auto"/>
              </w:rPr>
            </w:pP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79</w:t>
            </w:r>
          </w:p>
        </w:tc>
      </w:tr>
      <w:tr>
        <w:trPr>
          <w:trHeight w:val="898"/>
        </w:trPr>
        <w:tc>
          <w:tcPr>
            <w:tcW w:w="700" w:type="dxa"/>
            <w:vAlign w:val="bottom"/>
            <w:gridSpan w:val="2"/>
          </w:tcPr>
          <w:p>
            <w:pPr>
              <w:spacing w:after="0"/>
              <w:rPr>
                <w:sz w:val="24"/>
                <w:szCs w:val="24"/>
                <w:color w:val="auto"/>
              </w:rPr>
            </w:pPr>
          </w:p>
        </w:tc>
        <w:tc>
          <w:tcPr>
            <w:tcW w:w="3400" w:type="dxa"/>
            <w:vAlign w:val="bottom"/>
            <w:tcBorders>
              <w:top w:val="single" w:sz="8" w:color="0000EE"/>
            </w:tcBorders>
            <w:gridSpan w:val="3"/>
          </w:tcPr>
          <w:p>
            <w:pPr>
              <w:spacing w:after="0"/>
              <w:rPr>
                <w:sz w:val="24"/>
                <w:szCs w:val="24"/>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Clearside Biomedical,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Clearside Biomedical, Inc. (the Company) as of December 31, 2022 and 2021, the related consolidated statements of operations, stockholders' equity (deficit) and cash flows for each of the three years in the period ended December 31, 2022, and the related notes (collectively referred to as the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Liability Related to the Sales of Future Royalties, Net</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Description of the</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As discussed in Note 2 and 5 to the consolidated financial statements, on August 8, 2022, the Company entered into a Royalty Purchase and Sale Agreement with a third party, pursuant to which the Company sold certain of its rights to receive royalty and milestone payments. The Company received proceeds of $32.1 million, representing the $32.5 million to which the Company was entitled, net of certain transaction related expenses. The Company will repay the lender at a multiple of the initial proceeds received, which may vary based on timing and amount of cash flows received from its licensing partners.</w:t>
      </w:r>
    </w:p>
    <w:p>
      <w:pPr>
        <w:spacing w:after="0" w:line="185" w:lineRule="exact"/>
        <w:rPr>
          <w:sz w:val="20"/>
          <w:szCs w:val="20"/>
          <w:color w:val="auto"/>
        </w:rPr>
      </w:pPr>
    </w:p>
    <w:p>
      <w:pPr>
        <w:sectPr>
          <w:pgSz w:w="11900" w:h="16838" w:orient="portrait"/>
          <w:cols w:equalWidth="0" w:num="2">
            <w:col w:w="2680" w:space="720"/>
            <w:col w:w="7840"/>
          </w:cols>
          <w:pgMar w:left="320" w:top="121" w:right="339" w:bottom="1440" w:gutter="0" w:footer="0" w:header="0"/>
          <w:type w:val="continuous"/>
        </w:sectPr>
      </w:pPr>
    </w:p>
    <w:p>
      <w:pPr>
        <w:jc w:val="both"/>
        <w:ind w:left="3400" w:right="40"/>
        <w:spacing w:after="0" w:line="253" w:lineRule="auto"/>
        <w:rPr>
          <w:sz w:val="20"/>
          <w:szCs w:val="20"/>
          <w:color w:val="auto"/>
        </w:rPr>
      </w:pPr>
      <w:r>
        <w:rPr>
          <w:rFonts w:ascii="Times New Roman" w:cs="Times New Roman" w:eastAsia="Times New Roman" w:hAnsi="Times New Roman"/>
          <w:sz w:val="18"/>
          <w:szCs w:val="18"/>
          <w:color w:val="auto"/>
        </w:rPr>
        <w:t>The Company recorded the financing as Liability related to the sales of future royalties, net on the balance sheet at its carrying value of $34.0 million as of December 31, 2022. The Company imputes interest expense associated with this liability using the effective interest rate method. Such interest expense is recorded in the statement of operations for the year ended December 31, 2022 as Non-cash interest expense on liability related to the sales of future royalties. The effective interest rate is calculated based on the rate that would enable the estimated liability to be repaid in full over the anticipated life of the arrangement. The Company utilizes the prospective method to record interest expense by updating its estimate of the new effective interest rate each period, based on its current estimate of remaining cash flows under the arrangement. The Company estimates the amount and timing of expected royalty and milestone payments using a combination of internal projections and forecasts from external sources.</w:t>
      </w:r>
    </w:p>
    <w:p>
      <w:pPr>
        <w:spacing w:after="0" w:line="194" w:lineRule="exact"/>
        <w:rPr>
          <w:sz w:val="20"/>
          <w:szCs w:val="20"/>
          <w:color w:val="auto"/>
        </w:rPr>
      </w:pPr>
    </w:p>
    <w:p>
      <w:pPr>
        <w:jc w:val="both"/>
        <w:ind w:left="3400" w:right="40"/>
        <w:spacing w:after="0" w:line="262" w:lineRule="auto"/>
        <w:rPr>
          <w:sz w:val="20"/>
          <w:szCs w:val="20"/>
          <w:color w:val="auto"/>
        </w:rPr>
      </w:pPr>
      <w:r>
        <w:rPr>
          <w:rFonts w:ascii="Times New Roman" w:cs="Times New Roman" w:eastAsia="Times New Roman" w:hAnsi="Times New Roman"/>
          <w:sz w:val="18"/>
          <w:szCs w:val="18"/>
          <w:color w:val="auto"/>
        </w:rPr>
        <w:t>Auditing the liability related to the sales of future royalties, net was complex and highly judgmental due to the estimation uncertainty in determining the effective interest rate. The Company’s effective interest rate model includes cash flow projections for future royalty and milestone payments, which are sensitive to certain assumptions (including market size, market penetration, and sales price) that are forward looking and could be affected by future market conditions.</w:t>
      </w:r>
    </w:p>
    <w:p>
      <w:pPr>
        <w:sectPr>
          <w:pgSz w:w="11900" w:h="16838" w:orient="portrait"/>
          <w:cols w:equalWidth="0" w:num="1">
            <w:col w:w="11240"/>
          </w:cols>
          <w:pgMar w:left="320" w:top="121" w:right="33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How We Addressed</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Matter in Our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To test the liability related to the sales of future royalties, net as of December 31, 2022, our audit procedures included, among others, assessing the underlying data and significant assumptions used by the Company in determining the timing and amount of future cash flows used within its effective interest rate model. With the support of a specialist, we assessed the reasonableness of the significant assumptions used in the cash flow projections to current industry, market and economic trends. We recalculated the current year interest expense and performed sensitivity analyses to evaluate the changes in the effective interest rate, and associated interest expense, that would result from changes in the assumptions.</w:t>
      </w:r>
    </w:p>
    <w:p>
      <w:pPr>
        <w:spacing w:after="0" w:line="200" w:lineRule="exact"/>
        <w:rPr>
          <w:sz w:val="20"/>
          <w:szCs w:val="20"/>
          <w:color w:val="auto"/>
        </w:rPr>
      </w:pPr>
    </w:p>
    <w:p>
      <w:pPr>
        <w:sectPr>
          <w:pgSz w:w="11900" w:h="16838" w:orient="portrait"/>
          <w:cols w:equalWidth="0" w:num="2">
            <w:col w:w="2680" w:space="720"/>
            <w:col w:w="7840"/>
          </w:cols>
          <w:pgMar w:left="320" w:top="121" w:right="339" w:bottom="1440" w:gutter="0" w:footer="0" w:header="0"/>
          <w:type w:val="continuous"/>
        </w:sectPr>
      </w:pPr>
    </w:p>
    <w:p>
      <w:pPr>
        <w:spacing w:after="0" w:line="16"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7"/>
          <w:szCs w:val="17"/>
          <w:color w:val="auto"/>
        </w:rPr>
        <w:t>/s/ Ernst &amp; Young LLP</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30,436</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49,401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42,136</w:t>
            </w: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other assets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51,303</w:t>
            </w:r>
          </w:p>
        </w:tc>
        <w:tc>
          <w:tcPr>
            <w:tcW w:w="3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42,903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300" w:type="dxa"/>
            <w:vAlign w:val="bottom"/>
          </w:tcPr>
          <w:p>
            <w:pPr>
              <w:spacing w:after="0"/>
              <w:rPr>
                <w:sz w:val="19"/>
                <w:szCs w:val="19"/>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30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Borders>
              <w:top w:val="single" w:sz="8" w:color="CFF0FC"/>
            </w:tcBorders>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Liability related to the sales of future royalties, net</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33,977</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and no shares issued at</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December 31, 2022 and 2021</w:t>
            </w: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200,000,000 and 100,000,000 shares authorized</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at December 31, 2022 and 2021, respectively; 60,639,827 and 59,722,930 shares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issued and outstanding at December 31, 2022 and 2021, respectively</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298,984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293,406</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8"/>
              </w:rPr>
              <w:t>(288,438 )</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(255,491 )</w:t>
            </w:r>
          </w:p>
        </w:tc>
      </w:tr>
      <w:tr>
        <w:trPr>
          <w:trHeight w:val="223"/>
        </w:trPr>
        <w:tc>
          <w:tcPr>
            <w:tcW w:w="778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30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37,975</w:t>
            </w:r>
          </w:p>
        </w:tc>
        <w:tc>
          <w:tcPr>
            <w:tcW w:w="100" w:type="dxa"/>
            <w:vAlign w:val="bottom"/>
            <w:tcBorders>
              <w:top w:val="single" w:sz="8" w:color="CFF0FC"/>
            </w:tcBorders>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92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51,303</w:t>
            </w:r>
          </w:p>
        </w:tc>
        <w:tc>
          <w:tcPr>
            <w:tcW w:w="3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42,903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-3093720</wp:posOffset>
            </wp:positionV>
            <wp:extent cx="122555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2555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-2193925</wp:posOffset>
            </wp:positionV>
            <wp:extent cx="7747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7747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4"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00" w:type="dxa"/>
            <w:vAlign w:val="bottom"/>
          </w:tcPr>
          <w:p>
            <w:pPr>
              <w:spacing w:after="0"/>
              <w:rPr>
                <w:sz w:val="20"/>
                <w:szCs w:val="20"/>
                <w:color w:val="auto"/>
              </w:rPr>
            </w:pPr>
          </w:p>
        </w:tc>
      </w:tr>
      <w:tr>
        <w:trPr>
          <w:trHeight w:val="241"/>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(3,339 )</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20"/>
                <w:szCs w:val="20"/>
                <w:color w:val="auto"/>
              </w:rPr>
            </w:pPr>
          </w:p>
        </w:tc>
        <w:tc>
          <w:tcPr>
            <w:tcW w:w="1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5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 of common stock —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(0.55 )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(0.39 )</w:t>
            </w:r>
          </w:p>
        </w:tc>
      </w:tr>
      <w:tr>
        <w:trPr>
          <w:trHeight w:val="243"/>
        </w:trPr>
        <w:tc>
          <w:tcPr>
            <w:tcW w:w="5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60,204,862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58,491,986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46,506,540</w:t>
            </w:r>
          </w:p>
        </w:tc>
        <w:tc>
          <w:tcPr>
            <w:tcW w:w="100" w:type="dxa"/>
            <w:vAlign w:val="bottom"/>
            <w:shd w:val="clear" w:color="auto" w:fill="CFF0FC"/>
          </w:tcPr>
          <w:p>
            <w:pPr>
              <w:spacing w:after="0"/>
              <w:rPr>
                <w:sz w:val="21"/>
                <w:szCs w:val="2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60,204,862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59,906,602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46,506,540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-1879600</wp:posOffset>
            </wp:positionV>
            <wp:extent cx="7747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-1879600</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-1879600</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-791210</wp:posOffset>
            </wp:positionV>
            <wp:extent cx="24257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25700" cy="17970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224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24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44,413,372</w:t>
            </w:r>
          </w:p>
        </w:tc>
        <w:tc>
          <w:tcPr>
            <w:tcW w:w="28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248,770</w:t>
            </w:r>
          </w:p>
        </w:tc>
        <w:tc>
          <w:tcPr>
            <w:tcW w:w="2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(237,657</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at-the-market sales agreement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6,176,415</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shares under</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35,359</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254,466</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Vesting and settlement of restricted</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981,329</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(18,210 )</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(18,210 )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51,860,941</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(255,867 )</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shares under</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at-the-market sales agreement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2,891,419</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12,202</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 direct registered offering</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4,209,050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shares under</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65,481</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280,771</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Vesting and settlement of restricted</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415,268</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59,722,930</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(255,491 )</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shares under</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at-the-market sales agreement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425,460</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66,919</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49,187</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Vesting and settlement of restricted</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375,331</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(32,947 )</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(32,947 )</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60,639,827</w:t>
            </w:r>
          </w:p>
        </w:tc>
        <w:tc>
          <w:tcPr>
            <w:tcW w:w="2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298,984</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(288,438</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10,607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-3282315</wp:posOffset>
            </wp:positionV>
            <wp:extent cx="76835"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-3282315</wp:posOffset>
            </wp:positionV>
            <wp:extent cx="7683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-3282315</wp:posOffset>
            </wp:positionV>
            <wp:extent cx="6858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-3282315</wp:posOffset>
            </wp:positionV>
            <wp:extent cx="6858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-1593850</wp:posOffset>
            </wp:positionV>
            <wp:extent cx="76835"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-1593850</wp:posOffset>
            </wp:positionV>
            <wp:extent cx="7683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-1593850</wp:posOffset>
            </wp:positionV>
            <wp:extent cx="6858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-1593850</wp:posOffset>
            </wp:positionV>
            <wp:extent cx="6858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(32,947 )</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(18,210 )</w:t>
            </w: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 future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royalties, net of issuance costs accretion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termination of operating lease</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(10,869 )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(83 )</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0" w:type="dxa"/>
            <w:vAlign w:val="bottom"/>
          </w:tcPr>
          <w:p>
            <w:pPr>
              <w:spacing w:after="0"/>
              <w:rPr>
                <w:sz w:val="1"/>
                <w:szCs w:val="1"/>
                <w:color w:val="auto"/>
              </w:rPr>
            </w:pPr>
          </w:p>
        </w:tc>
      </w:tr>
      <w:tr>
        <w:trPr>
          <w:trHeight w:val="239"/>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340" w:type="dxa"/>
            <w:vAlign w:val="bottom"/>
            <w:tcBorders>
              <w:right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tcBorders>
              <w:right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(246 )</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(246 )</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royalty purchase and sale agreement, net of</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 million of issuance costs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at-the-market sales agreement, net of issuance costs</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registered direct offering, net of issuance costs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shares issued under employee stock purchase plan</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made on long-term debt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(5,340 )</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31,333</w:t>
            </w:r>
          </w:p>
        </w:tc>
        <w:tc>
          <w:tcPr>
            <w:tcW w:w="340" w:type="dxa"/>
            <w:vAlign w:val="bottom"/>
            <w:tcBorders>
              <w:bottom w:val="single" w:sz="8" w:color="CFF0FC"/>
              <w:right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(5,308 )</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34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 accounts payable</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accrued liabilities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Forgiveness of PPP Loan and accrued interest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1"/>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($160 and $100 as of December 31, 2022 and 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is recorded in other current assets)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-4268470</wp:posOffset>
            </wp:positionV>
            <wp:extent cx="7747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-4268470</wp:posOffset>
            </wp:positionV>
            <wp:extent cx="6858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-2571115</wp:posOffset>
            </wp:positionV>
            <wp:extent cx="77470"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-2571115</wp:posOffset>
            </wp:positionV>
            <wp:extent cx="68580"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-2253615</wp:posOffset>
            </wp:positionV>
            <wp:extent cx="7747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-2253615</wp:posOffset>
            </wp:positionV>
            <wp:extent cx="6858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Clearside Biomedical, Inc. (the “Company”) is a biopharmaceutical company focused on revolutionizing the delivery of therapies to the back of the eye through the suprachoroidal space (SCS). Incorporated in the State of Delaware on May 26, 2011, the Company has its corporate headquarters in Alpharetta, Georgia.</w:t>
      </w:r>
    </w:p>
    <w:p>
      <w:pPr>
        <w:spacing w:after="0" w:line="17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cash and cash equivalents of $48.3 million as of December 31, 2022.</w:t>
      </w:r>
    </w:p>
    <w:p>
      <w:pPr>
        <w:spacing w:after="0" w:line="22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Historically, the Company has funded its operations primarily through the sale of common stock and convertible preferred stock, the issuance of long-term debt, and license agreements. On October 25, 2021, the Company announced that the U.S. Food and Drug Administration (the "FDA") approved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the treatment of macular edema associated with uveitis, a form of eye inflammation. In January 2022, the Company received $10.0 million from Bausch + Lomb, a division of Bausch Health Companies, Inc. ("Bausch"), upon completion of pre-launch activities for XIPERE pursuant to the license agreement granting Bausch an exclusive license to develop and commercialize XIPERE in the United States and Canada. Bausch launched XIPERE in the United States in the first quarter of 2022.</w:t>
      </w:r>
    </w:p>
    <w:p>
      <w:pPr>
        <w:spacing w:after="0" w:line="19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August 8, 2022, the Company entered into a Purchase and Sale Agreement (the "Purchase and Sale Agreement") pursuant to which it sold its rights to receive royalty and milestone payments due to the Company from XIPERE and certain SCS Microinjector license agreements subject to a cap which may be increased under certain circumstances. The Company received a payment of $32.1 million in September 2022,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January 6, 2021, the Company entered into a securities purchase agreement with certain institutional purchasers that purchased 4.2 million shares of its common stock in a registered direct offering at a price of $2.851 per share. The Company raised net proceeds of $11.1 million after deducting offering expenses.</w:t>
      </w:r>
    </w:p>
    <w:p>
      <w:pPr>
        <w:spacing w:after="0" w:line="176"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sold 2.9 million shares of its common stock for net proceeds of $12.2 million under its at-the-market agreement with Cowen and Company, LLC. During the year ended December 31, 2022, the Company sold 425,460 shares of its common stock for net proceeds of $0.6 million under its at-the-market agreement with Cowen and Company, LLC. Subsequent to December 31, 2022, the Company sold an additional 214,128 shares of its common stock for net proceeds of $0.3 million.</w:t>
      </w:r>
    </w:p>
    <w:p>
      <w:pPr>
        <w:spacing w:after="0" w:line="18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Vision License Agreement (as defined in Note 10 - License and Other Agreements)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territories covered by the license to include Australia and New Zealand. The Company received an aggregate of $3.0 million in consideration for the expansion of the licensed territory.</w:t>
      </w:r>
    </w:p>
    <w:p>
      <w:pPr>
        <w:spacing w:after="0" w:line="18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w:t>
      </w:r>
    </w:p>
    <w:p>
      <w:pPr>
        <w:spacing w:after="0" w:line="1" w:lineRule="exact"/>
        <w:rPr>
          <w:sz w:val="20"/>
          <w:szCs w:val="20"/>
          <w:color w:val="auto"/>
        </w:rPr>
      </w:pPr>
    </w:p>
    <w:p>
      <w:pPr>
        <w:ind w:right="140" w:firstLine="8"/>
        <w:spacing w:after="0" w:line="260" w:lineRule="auto"/>
        <w:tabs>
          <w:tab w:leader="none" w:pos="3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mechanism for forgiveness of up to the full amount borrowed. On January 11, 2021, we received notification from Silicon Valley Bank that the PPP Loan was forgiven in full, including approximately $7,000 of accrued interest.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Based on its cash and cash equivalents as of the filing date, March 14, 2023, its current plans and forecasted expenses the Company expects that it will be able to fund its planned operating expenses and capital expenditure requirements into the second quarter of 2024.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 in Note 5. All intercompany balances and transactions have been eliminated.</w:t>
      </w:r>
    </w:p>
    <w:p>
      <w:pPr>
        <w:spacing w:after="0" w:line="176"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COVID-19</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COVID-19 pandemic continues to result in global economic uncertainty.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us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12529"/>
        </w:rPr>
        <w:t xml:space="preserve">The Company recognizes revenue from its contracts with customers under Financial Accounting Standards Board Accounting Standards Codification (“ASC”) Topic 606, </w:t>
      </w:r>
      <w:r>
        <w:rPr>
          <w:rFonts w:ascii="Times New Roman" w:cs="Times New Roman" w:eastAsia="Times New Roman" w:hAnsi="Times New Roman"/>
          <w:sz w:val="18"/>
          <w:szCs w:val="18"/>
          <w:i w:val="1"/>
          <w:iCs w:val="1"/>
          <w:color w:val="212529"/>
        </w:rPr>
        <w:t>Revenue from Contracts with Customers</w:t>
      </w:r>
      <w:r>
        <w:rPr>
          <w:rFonts w:ascii="Times New Roman" w:cs="Times New Roman" w:eastAsia="Times New Roman" w:hAnsi="Times New Roman"/>
          <w:sz w:val="18"/>
          <w:szCs w:val="18"/>
          <w:color w:val="212529"/>
        </w:rPr>
        <w:t>.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189"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year ended December 31, 2022, 2021, and 2020, the Company recognized $1.3 million, $29.6 million, and $7.7 million of revenue associated with its license agreements, respectively. License revenue for the year ended December 31, 2022 was primarily from providing training materials and clinical trial products to the Company's licensees. License revenue for the year ended December 31, 2021 was primarily a result of (i) the milestone payments from Bausch that consisted of $5.0 million received upon FDA approval of XIPERE, the recognition of $5.0 million of deferred revenue for the upfront milestone payment and the recognition of a $10.0 million milestone for pre-launch activities and (ii) an aggregate of $8.0 million received from Arctic Vision for FDA approval of XIPERE, territory expansion and certain development milestones. License revenue for the year end December 31, 2020 was primarily a result of milestone payments of $4.3 million received from Arctic Vision and $3.0 million milestone payment received from REGENXBIO.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is recorded at historical cost. Depreciation is calculated using the straight-line method over the estimated useful lives of the related assets, or for leasehold improvement the lesser of the useful life or remaining lease term. Repairs and maintenance are expensed when incurred. Upon retirement or sale, the cost of the assets disposed of and the related accumulated depreciation are removed from the accounts, and any resulting gain or loss is included in the determination of net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All debt discounts are recorded against the related debt obligation and are amortized using the effective interest rate method over the term of the underlying debt obligation and reflected in interest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 deferred tax assets, which primarily consist of cumulative net operating losses for the period from May 26, 2011 (inception) to December 31, 2022. Due to its history of operating losses since inception and losses expected to be incurred in the foreseeable future, a full valuation allowance was considered necessary.</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sustained on audit, including resolution of related appeals or litigation processes, if any. Once it is determined that the position meets the recognition threshold, the second step requires estimating and measuring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17" w:lineRule="exact"/>
        <w:rPr>
          <w:sz w:val="20"/>
          <w:szCs w:val="20"/>
          <w:color w:val="auto"/>
        </w:rPr>
      </w:pPr>
    </w:p>
    <w:p>
      <w:pPr>
        <w:ind w:left="1020" w:right="6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The fair value of restricted stock units granted is measured based on the market value of the Company’s common stock on the date of grant. Share-based compensation costs are expensed on a straight-line basis over the relevant vesting period.</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is required to maintain a stand-by letter of credit as a security deposit for its facility lease in Alpharetta, Georgia. The Company’s bank requires the Company to maintain a restricted cash balance to serve as collateral for the letter of credit issued to the landlord by the bank. As of December 31, 2022, the restricted cash balance was invested in a commercial money market account. The current portion of the restricted cash is recorded in other current assets and the long-term portion is recorded in restricted cash.</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Sales of Future Royalties and Non-Cash Interest Expense</w:t>
      </w:r>
    </w:p>
    <w:p>
      <w:pPr>
        <w:spacing w:after="0" w:line="22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Company recognizes a liability related to the sales of future royalties under ASC 470-10 Debt and ASC 835-30 Interest - Imputation of Interest. The initial funds received by the Company pursuant to the terms of the Purchase and Sale Agreement were recorded as a liability and will be accreted under the effective interest method up to the estimated amount of future royalties and milestone payments to be made under the Purchase and Sale Agreement.</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issuance costs were recorded as a direct deduction to the carrying amount of the liability and will be amortized under the effective interest method over the estimated period the liability will be repaid. The Company estimated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7"/>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40" w:type="dxa"/>
            <w:vAlign w:val="bottom"/>
            <w:shd w:val="clear" w:color="auto" w:fill="CFF0FC"/>
          </w:tcPr>
          <w:p>
            <w:pPr>
              <w:jc w:val="center"/>
              <w:ind w:left="395"/>
              <w:spacing w:after="0"/>
              <w:rPr>
                <w:sz w:val="20"/>
                <w:szCs w:val="20"/>
                <w:color w:val="auto"/>
              </w:rPr>
            </w:pPr>
            <w:r>
              <w:rPr>
                <w:rFonts w:ascii="Times New Roman" w:cs="Times New Roman" w:eastAsia="Times New Roman" w:hAnsi="Times New Roman"/>
                <w:sz w:val="18"/>
                <w:szCs w:val="18"/>
                <w:color w:val="auto"/>
                <w:w w:val="88"/>
              </w:rPr>
              <w:t>5</w:t>
            </w:r>
          </w:p>
        </w:tc>
        <w:tc>
          <w:tcPr>
            <w:tcW w:w="4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spacing w:after="0"/>
              <w:rPr>
                <w:sz w:val="20"/>
                <w:szCs w:val="20"/>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88"/>
              </w:rPr>
              <w:t>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40" w:type="dxa"/>
            <w:vAlign w:val="bottom"/>
            <w:shd w:val="clear" w:color="auto" w:fill="CFF0FC"/>
          </w:tcPr>
          <w:p>
            <w:pPr>
              <w:jc w:val="center"/>
              <w:ind w:left="395"/>
              <w:spacing w:after="0"/>
              <w:rPr>
                <w:sz w:val="20"/>
                <w:szCs w:val="20"/>
                <w:color w:val="auto"/>
              </w:rPr>
            </w:pPr>
            <w:r>
              <w:rPr>
                <w:rFonts w:ascii="Times New Roman" w:cs="Times New Roman" w:eastAsia="Times New Roman" w:hAnsi="Times New Roman"/>
                <w:sz w:val="18"/>
                <w:szCs w:val="18"/>
                <w:color w:val="auto"/>
                <w:w w:val="88"/>
              </w:rPr>
              <w:t>3</w:t>
            </w: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useful life or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lease term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52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64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2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(853 )</w:t>
            </w:r>
          </w:p>
        </w:tc>
        <w:tc>
          <w:tcPr>
            <w:tcW w:w="8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(955 )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14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4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64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1,083</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1,854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w:t>
            </w:r>
          </w:p>
        </w:tc>
        <w:tc>
          <w:tcPr>
            <w:tcW w:w="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3,312</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-2442210</wp:posOffset>
            </wp:positionV>
            <wp:extent cx="51435"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-2442210</wp:posOffset>
            </wp:positionV>
            <wp:extent cx="51435"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-2125345</wp:posOffset>
            </wp:positionV>
            <wp:extent cx="51435"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-2125345</wp:posOffset>
            </wp:positionV>
            <wp:extent cx="51435"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Royalty Purchase and Sale Agreement</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On August 8, 2022 (the “Closing Date”), the Company, through its wholly-owned subsidiary Clearside Royalty LLC, a Delaware limited liability company (“Royalty Sub”), entered into a Purchase and Sale Agreement (the “Purchase and Sale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spacing w:after="0" w:line="190"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was deposited by HCR in an escrow account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 (the "Second Milestone Event").</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Purchase and Sale Agreement (in thousands):</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08"/>
        </w:trPr>
        <w:tc>
          <w:tcPr>
            <w:tcW w:w="9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purchase and sale agreement effective August 8, 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(1,862 )</w:t>
            </w:r>
          </w:p>
        </w:tc>
        <w:tc>
          <w:tcPr>
            <w:tcW w:w="6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3"/>
        </w:trPr>
        <w:tc>
          <w:tcPr>
            <w:tcW w:w="9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7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Agreements</w:t>
      </w:r>
    </w:p>
    <w:p>
      <w:pPr>
        <w:spacing w:after="0" w:line="236" w:lineRule="exact"/>
        <w:rPr>
          <w:sz w:val="20"/>
          <w:szCs w:val="20"/>
          <w:color w:val="auto"/>
        </w:rPr>
      </w:pPr>
    </w:p>
    <w:p>
      <w:pPr>
        <w:ind w:right="140" w:firstLine="509"/>
        <w:spacing w:after="0" w:line="233" w:lineRule="auto"/>
        <w:rPr>
          <w:sz w:val="20"/>
          <w:szCs w:val="20"/>
          <w:color w:val="auto"/>
        </w:rPr>
      </w:pPr>
      <w:r>
        <w:rPr>
          <w:rFonts w:ascii="Times New Roman" w:cs="Times New Roman" w:eastAsia="Times New Roman" w:hAnsi="Times New Roman"/>
          <w:sz w:val="18"/>
          <w:szCs w:val="18"/>
          <w:color w:val="auto"/>
        </w:rPr>
        <w:t>On May 14, 2018, the Company entered into a second amended and restated loan and security agreement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A&amp;R Loan Agreement”) with Silicon Valley Bank (“SVB”), MidCap Funding III Trust and MidCap Financial Trust (together, “MidCap” and collectively with SVB, the “Lenders”).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A&amp;R Loan Agreement provided for new term loans of up to $20.0 million, with a floating interest rate equal to 6.50% plus the greater of (i) the 30-day U.S. LIBOR, as reported in the Wall Street Journal on the last business day of the month the immediately precedes the month in which the interest will accrue, or (ii) 1.89%.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A&amp;R Loan</w:t>
      </w:r>
    </w:p>
    <w:p>
      <w:pPr>
        <w:spacing w:after="0" w:line="1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Agreement included, among other things, the ability of the Lenders to accelerate the payment of the term loan in the event of a material adverse change and restrictions on the Company’s ability to sell, assign, license, transfer or otherwise dispose of its assets, including intellectual property assets, without the prior written consent of the Lenders.</w:t>
      </w:r>
    </w:p>
    <w:p>
      <w:pPr>
        <w:spacing w:after="0" w:line="17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8"/>
          <w:szCs w:val="18"/>
          <w:color w:val="auto"/>
        </w:rPr>
        <w:t>The Company borrowed an initial tranche of $10.0 million on May 14, 2018, of which $7.0 million was used to repay all amounts outstanding under a prior loan agreement, including fees associated with the final payment. The prepayment fees were waived. Of the remaining $10.0 million available under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A&amp;R loan agreement, the Company elected not to draw $5.0 million and the other $5.0 million was not available for draw.</w:t>
      </w:r>
    </w:p>
    <w:p>
      <w:pPr>
        <w:spacing w:after="0" w:line="102"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On October 18, 2019, the Company entered into an amendment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A&amp;R Loan Agreement with the Lenders. Pursuant to the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provided for interest only payments through October 31, 2020, followed by consecutive equal monthly payments of principal and interest in arrears continuing through the maturity date of October 1, 2022. The Company had the option to prepay the outstanding balance in full, subject to a prepayment fee. A final payment of 5.50% of the aggregate borrowed amount was due at maturity of the loan on October 1, 2022, or upon the prepayment of the facility or the acceleration of amounts due under the facility as a result of an event of default. The term loans under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A&amp;R loan agreement were secured by substantially all of the Company’s assets.</w:t>
      </w:r>
    </w:p>
    <w:p>
      <w:pPr>
        <w:spacing w:after="0" w:line="125" w:lineRule="exact"/>
        <w:rPr>
          <w:sz w:val="20"/>
          <w:szCs w:val="20"/>
          <w:color w:val="auto"/>
        </w:rPr>
      </w:pPr>
    </w:p>
    <w:p>
      <w:pPr>
        <w:ind w:right="20" w:firstLine="509"/>
        <w:spacing w:after="0" w:line="234" w:lineRule="auto"/>
        <w:rPr>
          <w:sz w:val="20"/>
          <w:szCs w:val="20"/>
          <w:color w:val="auto"/>
        </w:rPr>
      </w:pPr>
      <w:r>
        <w:rPr>
          <w:rFonts w:ascii="Times New Roman" w:cs="Times New Roman" w:eastAsia="Times New Roman" w:hAnsi="Times New Roman"/>
          <w:sz w:val="18"/>
          <w:szCs w:val="18"/>
          <w:color w:val="auto"/>
        </w:rPr>
        <w:t>On May 7, 2020, due to various restrictions and other limiting covenants of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A&amp;R Loan Agreement, the Company prepaid in full the outstanding $5.0 million principal balance, plus $0.3 million reflecting the final payment fee and accrued interest. The prepayment fees were waived by the Lenders.</w:t>
      </w:r>
    </w:p>
    <w:p>
      <w:pPr>
        <w:spacing w:after="0" w:line="19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Interest expense on the borrowings under the loan agreements described above was $147,000 for the year ended December 31, 2020. Accretion of the scheduled final payment was $59,000 for the year ended December 31, 2020. Accretion of the deferred closing costs was $129,000 for the year ended December 31, 2020.</w:t>
      </w:r>
    </w:p>
    <w:p>
      <w:pPr>
        <w:spacing w:after="0" w:line="280"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CARES Act Paycheck Protection Program Loan</w:t>
      </w:r>
    </w:p>
    <w:p>
      <w:pPr>
        <w:spacing w:after="0" w:line="229" w:lineRule="exact"/>
        <w:rPr>
          <w:sz w:val="20"/>
          <w:szCs w:val="20"/>
          <w:color w:val="auto"/>
        </w:rPr>
      </w:pPr>
    </w:p>
    <w:p>
      <w:pPr>
        <w:jc w:val="both"/>
        <w:ind w:right="60" w:firstLine="958"/>
        <w:spacing w:after="0" w:line="261" w:lineRule="auto"/>
        <w:rPr>
          <w:sz w:val="20"/>
          <w:szCs w:val="20"/>
          <w:color w:val="auto"/>
        </w:rPr>
      </w:pPr>
      <w:r>
        <w:rPr>
          <w:rFonts w:ascii="Times New Roman" w:cs="Times New Roman" w:eastAsia="Times New Roman" w:hAnsi="Times New Roman"/>
          <w:sz w:val="18"/>
          <w:szCs w:val="18"/>
          <w:color w:val="auto"/>
        </w:rPr>
        <w:t>On April 20, 2020, the Company entered into a loan agreement with SVB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was evidenced by a promissory note (the “Note”) containing the terms and conditions for repayment of the PPP Loan.</w:t>
      </w:r>
    </w:p>
    <w:p>
      <w:pPr>
        <w:spacing w:after="0" w:line="180" w:lineRule="exact"/>
        <w:rPr>
          <w:sz w:val="20"/>
          <w:szCs w:val="20"/>
          <w:color w:val="auto"/>
        </w:rPr>
      </w:pPr>
    </w:p>
    <w:p>
      <w:pPr>
        <w:jc w:val="both"/>
        <w:ind w:right="40" w:firstLine="958"/>
        <w:spacing w:after="0" w:line="266" w:lineRule="auto"/>
        <w:rPr>
          <w:sz w:val="20"/>
          <w:szCs w:val="20"/>
          <w:color w:val="auto"/>
        </w:rPr>
      </w:pPr>
      <w:r>
        <w:rPr>
          <w:rFonts w:ascii="Times New Roman" w:cs="Times New Roman" w:eastAsia="Times New Roman" w:hAnsi="Times New Roman"/>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176" w:lineRule="exact"/>
        <w:rPr>
          <w:sz w:val="20"/>
          <w:szCs w:val="20"/>
          <w:color w:val="auto"/>
        </w:rPr>
      </w:pPr>
    </w:p>
    <w:p>
      <w:pPr>
        <w:ind w:right="60" w:firstLine="958"/>
        <w:spacing w:after="0" w:line="261" w:lineRule="auto"/>
        <w:rPr>
          <w:sz w:val="20"/>
          <w:szCs w:val="20"/>
          <w:color w:val="auto"/>
        </w:rPr>
      </w:pPr>
      <w:r>
        <w:rPr>
          <w:rFonts w:ascii="Times New Roman" w:cs="Times New Roman" w:eastAsia="Times New Roman" w:hAnsi="Times New Roman"/>
          <w:sz w:val="18"/>
          <w:szCs w:val="18"/>
          <w:color w:val="auto"/>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Times New Roman" w:cs="Times New Roman" w:eastAsia="Times New Roman" w:hAnsi="Times New Roman"/>
          <w:sz w:val="18"/>
          <w:szCs w:val="18"/>
          <w:i w:val="1"/>
          <w:iCs w:val="1"/>
          <w:color w:val="auto"/>
        </w:rPr>
        <w:t>Extinguishment of Liabilities</w:t>
      </w:r>
      <w:r>
        <w:rPr>
          <w:rFonts w:ascii="Times New Roman" w:cs="Times New Roman" w:eastAsia="Times New Roman" w:hAnsi="Times New Roman"/>
          <w:sz w:val="18"/>
          <w:szCs w:val="18"/>
          <w:color w:val="auto"/>
        </w:rPr>
        <w:t>, the income from the forgiveness of the amount borrowed and the accrued interest was recognized in the statement of operations in other income as a gain on extinguishment of debt.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Preferred and Common Stock</w:t>
      </w:r>
    </w:p>
    <w:p>
      <w:pPr>
        <w:spacing w:after="0" w:line="229"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10,000,000 shares of $0.001 par value of preferred stock. As of December 31, 2022 and 2021, there were 10,000,000 shares of preferred stock authorized, none of which were issued and outstanding.</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Company's Annual Meeting of Stockholders held on June 22, 2022, the Company's stockholders approved an amendment to the amended and restated certificate of incorporation to increase the Company's authorized number of shares of common stock from 100,000,000 shares to 200,000,000 shares. As of December 31, 2022 the Company was authorized to issue 200,000,000 shares of $0.001 par value common stock. As of December 31, 2022 and 2021, there were 60,639,827 and 59,722,930 shares of common stock outstanding,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 Warrants</w:t>
      </w:r>
    </w:p>
    <w:p>
      <w:pPr>
        <w:spacing w:after="0" w:line="229"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In September 2016, in connection with a loan agreement, the Company issued warrants to the lenders to purchase up to 29,796 shares of common stock at a price per share of $10.74. The warrants are fully exercisable and expire in September 2026, or earlier upon the occurrence of specified mergers or acquisitions of the Company. The warrants were recorded in equity at the time of issuance and had a remaining life of 3.75 years as of December 31, 2022.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2016 Plan provides for the grant of incentive stock options to employees, and for the grant of nonqualified stock options, restricted stock awards, restricted stock unit awards, stock appreciation rights, performance stock awards and other forms of stock compensation to the Company’s employees, directors, and non-employee third parties. The number of shares of common stock reserved for issuance under the 2016 Plan will automatically increase on January 1 each year, through January 1, 2026, by 4% of the total number of shares of the Company’s common stock outstanding on December 31 of the preceding calendar year, or a lesser number of shares as may be determined by the Company’s board of directors. At December 31, 2022, under the 2016 Plan, options to purchase 6,590,838 shares of the Company’s common stock were outstanding at a weighted average price of $3.59 per share and 1,035,374 shares remained available for future grant. As of January 1, 2023, the number of shares of common stock that may be issued under the 2016 Plan was automatically increased by 2,425,593 shares, representing 4% of the total number of shares of common stock outstanding on December 31, 2022, increasing the number of shares of common stock available for issuance under the 2016 Plan as of that date to 3,460,967 shares.</w:t>
      </w:r>
    </w:p>
    <w:p>
      <w:pPr>
        <w:spacing w:after="0" w:line="19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adoption of the 2016 Plan, no further grants may be made under the Company’s 2011 Stock Incentive Plan (the “2011 Plan”). The 2011 Plan provided for the grant of share-based awards to employees, directors and consultants of the Company. At December 31, 2022, options to purchase 307,256 shares of the Company’s common stock were outstanding under the 2011 Plan at a weighted average exercise price of $3.26 per share.</w:t>
      </w:r>
    </w:p>
    <w:p>
      <w:pPr>
        <w:spacing w:after="0" w:line="176"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The total share-based compensation expense recognized is reflected in the statements of operations as follows (in thousands):</w:t>
      </w:r>
    </w:p>
    <w:p>
      <w:pPr>
        <w:spacing w:after="0" w:line="137"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r>
      <w:tr>
        <w:trPr>
          <w:trHeight w:val="230"/>
        </w:trPr>
        <w:tc>
          <w:tcPr>
            <w:tcW w:w="6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60" w:type="dxa"/>
            <w:vAlign w:val="bottom"/>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2FA"/>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560" w:type="dxa"/>
            <w:vAlign w:val="bottom"/>
            <w:gridSpan w:val="2"/>
            <w:shd w:val="clear" w:color="auto" w:fill="CFF2FA"/>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560" w:type="dxa"/>
            <w:vAlign w:val="bottom"/>
            <w:gridSpan w:val="2"/>
            <w:shd w:val="clear" w:color="auto" w:fill="CFF2FA"/>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2FA"/>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0"/>
                <w:szCs w:val="20"/>
                <w:color w:val="auto"/>
              </w:rPr>
            </w:pPr>
          </w:p>
        </w:tc>
      </w:tr>
      <w:tr>
        <w:trPr>
          <w:trHeight w:val="277"/>
        </w:trPr>
        <w:tc>
          <w:tcPr>
            <w:tcW w:w="6660" w:type="dxa"/>
            <w:vAlign w:val="bottom"/>
            <w:tcBorders>
              <w:bottom w:val="single" w:sz="8" w:color="CFF2FA"/>
            </w:tcBorders>
            <w:shd w:val="clear" w:color="auto" w:fill="CFF2FA"/>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2FA"/>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80" w:type="dxa"/>
            <w:vAlign w:val="bottom"/>
            <w:tcBorders>
              <w:bottom w:val="single" w:sz="8" w:color="CFF2FA"/>
            </w:tcBorders>
            <w:shd w:val="clear" w:color="auto" w:fill="CFF2FA"/>
          </w:tcPr>
          <w:p>
            <w:pPr>
              <w:spacing w:after="0"/>
              <w:rPr>
                <w:sz w:val="24"/>
                <w:szCs w:val="24"/>
                <w:color w:val="auto"/>
              </w:rPr>
            </w:pPr>
          </w:p>
        </w:tc>
        <w:tc>
          <w:tcPr>
            <w:tcW w:w="280" w:type="dxa"/>
            <w:vAlign w:val="bottom"/>
            <w:tcBorders>
              <w:bottom w:val="single" w:sz="8" w:color="auto"/>
            </w:tcBorders>
            <w:shd w:val="clear" w:color="auto" w:fill="CFF2FA"/>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60" w:type="dxa"/>
            <w:vAlign w:val="bottom"/>
            <w:tcBorders>
              <w:bottom w:val="single" w:sz="8" w:color="CFF2FA"/>
            </w:tcBorders>
            <w:shd w:val="clear" w:color="auto" w:fill="CFF2FA"/>
          </w:tcPr>
          <w:p>
            <w:pPr>
              <w:spacing w:after="0"/>
              <w:rPr>
                <w:sz w:val="24"/>
                <w:szCs w:val="24"/>
                <w:color w:val="auto"/>
              </w:rPr>
            </w:pPr>
          </w:p>
        </w:tc>
        <w:tc>
          <w:tcPr>
            <w:tcW w:w="300" w:type="dxa"/>
            <w:vAlign w:val="bottom"/>
            <w:tcBorders>
              <w:bottom w:val="single" w:sz="8" w:color="auto"/>
            </w:tcBorders>
            <w:shd w:val="clear" w:color="auto" w:fill="CFF2FA"/>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bottom w:val="single" w:sz="8" w:color="CFF2FA"/>
            </w:tcBorders>
            <w:shd w:val="clear" w:color="auto" w:fill="CFF2FA"/>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right="2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 average assumptions utilized in the Black-Scholes option pricing model to calculate the fair value of the underlying common stock for the years ended December 31, 2022, 2021 and 2020.</w:t>
      </w:r>
    </w:p>
    <w:p>
      <w:pPr>
        <w:spacing w:after="0" w:line="151"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74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98.24 %</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101.43 %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108.13 %</w:t>
            </w: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2.09 %</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0.75 %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9"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(in years): In the year ended December 31, 2022, the Company began using historical data to calculate the expected term. In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and 2020, the Company utilized the simplified method as prescribed by ASC</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718, as the Company did not have sufficient historical exercise and post-vesting termination data to provide a reasonable basis upon which to estimate the expected term of stock options granted to employees.</w:t>
      </w:r>
    </w:p>
    <w:p>
      <w:pPr>
        <w:spacing w:after="0" w:line="160"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yields of U.S. Treasury securities with maturities similar to the expected time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liquidity event.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has not paid and does not anticipate paying any dividends in the foreseeable future.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Expected stock price volatility</w:t>
      </w:r>
      <w:r>
        <w:rPr>
          <w:rFonts w:ascii="Times New Roman" w:cs="Times New Roman" w:eastAsia="Times New Roman" w:hAnsi="Times New Roman"/>
          <w:sz w:val="18"/>
          <w:szCs w:val="18"/>
          <w:color w:val="auto"/>
        </w:rPr>
        <w:t>: The Company calculates expected volatility based on the historical volatility of its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records forfeitures as they occur.</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during the year ended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0"/>
                <w:szCs w:val="20"/>
                <w:color w:val="auto"/>
              </w:rPr>
            </w:pPr>
          </w:p>
        </w:tc>
      </w:tr>
      <w:tr>
        <w:trPr>
          <w:trHeight w:val="243"/>
        </w:trPr>
        <w:tc>
          <w:tcPr>
            <w:tcW w:w="7680" w:type="dxa"/>
            <w:vAlign w:val="bottom"/>
          </w:tcPr>
          <w:p>
            <w:pPr>
              <w:spacing w:after="0"/>
              <w:rPr>
                <w:sz w:val="21"/>
                <w:szCs w:val="21"/>
                <w:color w:val="auto"/>
              </w:rPr>
            </w:pP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1"/>
                <w:szCs w:val="21"/>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21"/>
                <w:szCs w:val="21"/>
                <w:color w:val="auto"/>
              </w:rPr>
            </w:pPr>
          </w:p>
        </w:tc>
      </w:tr>
      <w:tr>
        <w:trPr>
          <w:trHeight w:val="250"/>
        </w:trPr>
        <w:tc>
          <w:tcPr>
            <w:tcW w:w="7680" w:type="dxa"/>
            <w:vAlign w:val="bottom"/>
          </w:tcPr>
          <w:p>
            <w:pPr>
              <w:spacing w:after="0"/>
              <w:rPr>
                <w:sz w:val="21"/>
                <w:szCs w:val="21"/>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1"/>
                <w:szCs w:val="21"/>
                <w:color w:val="auto"/>
              </w:rPr>
            </w:pPr>
          </w:p>
        </w:tc>
      </w:tr>
      <w:tr>
        <w:trPr>
          <w:trHeight w:val="243"/>
        </w:trPr>
        <w:tc>
          <w:tcPr>
            <w:tcW w:w="768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5,762,328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1,782,440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(49,187 )</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expired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(580,251 )</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6,915,330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2021</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3,148,502</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4,223,931</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-693420</wp:posOffset>
            </wp:positionV>
            <wp:extent cx="6858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-359410</wp:posOffset>
            </wp:positionV>
            <wp:extent cx="68580" cy="180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Company’s stock options that were outstanding and exercisable at December 31, 2022 (aggregate intrinsic values in thousands):</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20" w:type="dxa"/>
            <w:vAlign w:val="bottom"/>
          </w:tcPr>
          <w:p>
            <w:pPr>
              <w:spacing w:after="0"/>
              <w:rPr>
                <w:sz w:val="17"/>
                <w:szCs w:val="17"/>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Aggre</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22"/>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4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gate</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Remaining</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Intrin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w:t>
            </w:r>
          </w:p>
        </w:tc>
        <w:tc>
          <w:tcPr>
            <w:tcW w:w="140" w:type="dxa"/>
            <w:vAlign w:val="bottom"/>
          </w:tcPr>
          <w:p>
            <w:pPr>
              <w:spacing w:after="0"/>
              <w:rPr>
                <w:sz w:val="16"/>
                <w:szCs w:val="16"/>
                <w:color w:val="auto"/>
              </w:rPr>
            </w:pPr>
          </w:p>
        </w:tc>
        <w:tc>
          <w:tcPr>
            <w:tcW w:w="1440" w:type="dxa"/>
            <w:vAlign w:val="bottom"/>
          </w:tcPr>
          <w:p>
            <w:pPr>
              <w:jc w:val="right"/>
              <w:ind w:right="402"/>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22"/>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14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Intrinsic</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Contractual</w:t>
            </w:r>
          </w:p>
        </w:tc>
        <w:tc>
          <w:tcPr>
            <w:tcW w:w="120" w:type="dxa"/>
            <w:vAlign w:val="bottom"/>
          </w:tcPr>
          <w:p>
            <w:pPr>
              <w:spacing w:after="0"/>
              <w:rPr>
                <w:sz w:val="16"/>
                <w:szCs w:val="16"/>
                <w:color w:val="auto"/>
              </w:rPr>
            </w:pPr>
          </w:p>
        </w:tc>
        <w:tc>
          <w:tcPr>
            <w:tcW w:w="1420" w:type="dxa"/>
            <w:vAlign w:val="bottom"/>
          </w:tcPr>
          <w:p>
            <w:pPr>
              <w:jc w:val="right"/>
              <w:ind w:right="382"/>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sic</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Contractual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Life (Years)</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5"/>
                <w:szCs w:val="15"/>
                <w:b w:val="1"/>
                <w:bCs w:val="1"/>
                <w:color w:val="auto"/>
              </w:rPr>
              <w:t>Exercisable</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Life (Years)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5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$0.00 - $2.99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3,777,873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1,865,987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$3.00 - $6.99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2,506,371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1,726,858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$7.00 - $8.99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429,308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429,308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$9.00 - $20.84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3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6,915,330</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4,223,931</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580" w:type="dxa"/>
            <w:vAlign w:val="bottom"/>
            <w:tcBorders>
              <w:bottom w:val="single" w:sz="8" w:color="CFF0FC"/>
            </w:tcBorders>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   64</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-24765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$4.4 million of unrecognized compensation expense related to unvested stock options, which is expected to be recognized over a weighted average period of 2.3 years. The weighted average fair values of all stock options granted for the years ended December 31, 2022, 2021 and 2020 was $1.55 per share, $3.24 per share and $1.97 per share, respectively. The intrinsic value is calculated as the difference between the fair market value and the exercise price per share of the stock options. The fair market value per share of common stock as of December 30, 2022 was $1.12, which was the closing sale price of the Company’s common stock on the Nasdaq Global Market on that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23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on the date of grant and is recognized ratably over the requisite service period, which is generally the vesting period of the awards.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share-based compensation expense related to RSUs is reflected in the statements of operations as follows (in thousands):</w:t>
      </w:r>
    </w:p>
    <w:p>
      <w:pPr>
        <w:spacing w:after="0" w:line="20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r>
      <w:tr>
        <w:trPr>
          <w:trHeight w:val="243"/>
        </w:trPr>
        <w:tc>
          <w:tcPr>
            <w:tcW w:w="6660" w:type="dxa"/>
            <w:vAlign w:val="bottom"/>
            <w:tcBorders>
              <w:bottom w:val="single" w:sz="8" w:color="CFF2FA"/>
            </w:tcBorders>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2FA"/>
          </w:tcPr>
          <w:p>
            <w:pPr>
              <w:spacing w:after="0"/>
              <w:rPr>
                <w:sz w:val="21"/>
                <w:szCs w:val="21"/>
                <w:color w:val="auto"/>
              </w:rPr>
            </w:pPr>
          </w:p>
        </w:tc>
        <w:tc>
          <w:tcPr>
            <w:tcW w:w="1020" w:type="dxa"/>
            <w:vAlign w:val="bottom"/>
            <w:tcBorders>
              <w:bottom w:val="single" w:sz="8" w:color="auto"/>
            </w:tcBorders>
            <w:gridSpan w:val="2"/>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0" w:type="dxa"/>
            <w:vAlign w:val="bottom"/>
            <w:tcBorders>
              <w:bottom w:val="single" w:sz="8" w:color="CFF2FA"/>
            </w:tcBorders>
            <w:shd w:val="clear" w:color="auto" w:fill="CFF2FA"/>
          </w:tcPr>
          <w:p>
            <w:pPr>
              <w:spacing w:after="0"/>
              <w:rPr>
                <w:sz w:val="21"/>
                <w:szCs w:val="21"/>
                <w:color w:val="auto"/>
              </w:rPr>
            </w:pPr>
          </w:p>
        </w:tc>
        <w:tc>
          <w:tcPr>
            <w:tcW w:w="220" w:type="dxa"/>
            <w:vAlign w:val="bottom"/>
            <w:tcBorders>
              <w:bottom w:val="single" w:sz="8" w:color="CFF2FA"/>
            </w:tcBorders>
            <w:shd w:val="clear" w:color="auto" w:fill="CFF2FA"/>
          </w:tcPr>
          <w:p>
            <w:pPr>
              <w:spacing w:after="0"/>
              <w:rPr>
                <w:sz w:val="21"/>
                <w:szCs w:val="21"/>
                <w:color w:val="auto"/>
              </w:rPr>
            </w:pPr>
          </w:p>
        </w:tc>
        <w:tc>
          <w:tcPr>
            <w:tcW w:w="200" w:type="dxa"/>
            <w:vAlign w:val="bottom"/>
            <w:tcBorders>
              <w:bottom w:val="single" w:sz="8" w:color="auto"/>
            </w:tcBorders>
            <w:shd w:val="clear" w:color="auto" w:fill="CFF2FA"/>
          </w:tcPr>
          <w:p>
            <w:pPr>
              <w:spacing w:after="0"/>
              <w:rPr>
                <w:sz w:val="21"/>
                <w:szCs w:val="21"/>
                <w:color w:val="auto"/>
              </w:rPr>
            </w:pPr>
          </w:p>
        </w:tc>
        <w:tc>
          <w:tcPr>
            <w:tcW w:w="1100" w:type="dxa"/>
            <w:vAlign w:val="bottom"/>
            <w:tcBorders>
              <w:bottom w:val="single" w:sz="8" w:color="auto"/>
            </w:tcBorders>
            <w:gridSpan w:val="2"/>
            <w:shd w:val="clear" w:color="auto" w:fill="CFF2FA"/>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Borders>
              <w:bottom w:val="single" w:sz="8" w:color="CFF2FA"/>
            </w:tcBorders>
            <w:shd w:val="clear" w:color="auto" w:fill="CFF2FA"/>
          </w:tcPr>
          <w:p>
            <w:pPr>
              <w:spacing w:after="0"/>
              <w:rPr>
                <w:sz w:val="21"/>
                <w:szCs w:val="21"/>
                <w:color w:val="auto"/>
              </w:rPr>
            </w:pPr>
          </w:p>
        </w:tc>
        <w:tc>
          <w:tcPr>
            <w:tcW w:w="240" w:type="dxa"/>
            <w:vAlign w:val="bottom"/>
            <w:tcBorders>
              <w:bottom w:val="single" w:sz="8" w:color="CFF2FA"/>
            </w:tcBorders>
            <w:shd w:val="clear" w:color="auto" w:fill="CFF2FA"/>
          </w:tcPr>
          <w:p>
            <w:pPr>
              <w:spacing w:after="0"/>
              <w:rPr>
                <w:sz w:val="21"/>
                <w:szCs w:val="21"/>
                <w:color w:val="auto"/>
              </w:rPr>
            </w:pPr>
          </w:p>
        </w:tc>
        <w:tc>
          <w:tcPr>
            <w:tcW w:w="100" w:type="dxa"/>
            <w:vAlign w:val="bottom"/>
            <w:tcBorders>
              <w:bottom w:val="single" w:sz="8" w:color="auto"/>
            </w:tcBorders>
            <w:shd w:val="clear" w:color="auto" w:fill="CFF2FA"/>
          </w:tcPr>
          <w:p>
            <w:pPr>
              <w:spacing w:after="0"/>
              <w:rPr>
                <w:sz w:val="21"/>
                <w:szCs w:val="21"/>
                <w:color w:val="auto"/>
              </w:rPr>
            </w:pPr>
          </w:p>
        </w:tc>
        <w:tc>
          <w:tcPr>
            <w:tcW w:w="12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FF2FA"/>
            </w:tcBorders>
            <w:shd w:val="clear" w:color="auto" w:fill="CFF2FA"/>
          </w:tcPr>
          <w:p>
            <w:pPr>
              <w:spacing w:after="0"/>
              <w:rPr>
                <w:sz w:val="21"/>
                <w:szCs w:val="21"/>
                <w:color w:val="auto"/>
              </w:rPr>
            </w:pP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1,438</w:t>
            </w:r>
          </w:p>
        </w:tc>
        <w:tc>
          <w:tcPr>
            <w:tcW w:w="26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80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year ended December 31, 2022: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24"/>
                <w:szCs w:val="24"/>
                <w:color w:val="auto"/>
              </w:rPr>
            </w:pPr>
          </w:p>
        </w:tc>
      </w:tr>
      <w:tr>
        <w:trPr>
          <w:trHeight w:val="243"/>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21"/>
                <w:szCs w:val="21"/>
                <w:color w:val="auto"/>
              </w:rPr>
            </w:pPr>
          </w:p>
        </w:tc>
      </w:tr>
      <w:tr>
        <w:trPr>
          <w:trHeight w:val="250"/>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2021</w:t>
            </w: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1,317,347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648,460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(375,331 )</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(127,544 )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2022</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1,462,932</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-1859280</wp:posOffset>
            </wp:positionV>
            <wp:extent cx="6858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-1859280</wp:posOffset>
            </wp:positionV>
            <wp:extent cx="6858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$3.1 million of unrecognized compensation expense related to the RSUs, which amount is expected to be recognized over a weighted average period of 2.3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January 2016, the Company’s board of directors adopted and approved the Clearside Biomedical, Inc. 2016 Employee Stock Purchase Plan (the “2016 ESPP”) which became effective on June 1, 2016. The 2016 ESPP permits employees to purchase shares of the Company’s common stock through payroll deductions up to 15% of their earnings. The number of shares reserved for issuance under the 2016 ESPP will automatically increase on January 1 of each year,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The Company’s board of directors elected not to increase the shares reserved for issuance on January 1, 2023. The number of shares of common stock available for issuance under the 2016 ESPP as of December 31, 2022 was 438,572 shares.</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2016 ESPP is considered a compensatory plan and the fair value of the discount and the look-back period are estimated using the Black-Scholes option pricing model and expense is recognized over the six-month withholding period prior to the purchase date. During the years ended December 31, 2022, 2021 and 2020, the Company issued 66,919, 65,481 and 35,359 shares, respectively, of common stock purchased under the 2016 ESPP.</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recognized for the 2016 ESPP is reflected in the statements of operations and comprehensive loss as follows (in thousands):</w:t>
      </w:r>
    </w:p>
    <w:p>
      <w:pPr>
        <w:spacing w:after="0" w:line="13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tcPr>
          <w:p>
            <w:pPr>
              <w:spacing w:after="0"/>
              <w:rPr>
                <w:sz w:val="20"/>
                <w:szCs w:val="20"/>
                <w:color w:val="auto"/>
              </w:rPr>
            </w:pP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FF2FA"/>
            </w:tcBorders>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80" w:type="dxa"/>
            <w:vAlign w:val="bottom"/>
            <w:tcBorders>
              <w:bottom w:val="single" w:sz="8" w:color="CFF2FA"/>
            </w:tcBorders>
            <w:shd w:val="clear" w:color="auto" w:fill="CFF2FA"/>
          </w:tcPr>
          <w:p>
            <w:pPr>
              <w:spacing w:after="0"/>
              <w:rPr>
                <w:sz w:val="21"/>
                <w:szCs w:val="21"/>
                <w:color w:val="auto"/>
              </w:rPr>
            </w:pPr>
          </w:p>
        </w:tc>
        <w:tc>
          <w:tcPr>
            <w:tcW w:w="980" w:type="dxa"/>
            <w:vAlign w:val="bottom"/>
            <w:tcBorders>
              <w:bottom w:val="single" w:sz="8" w:color="auto"/>
            </w:tcBorders>
            <w:shd w:val="clear" w:color="auto" w:fill="CFF2FA"/>
          </w:tcPr>
          <w:p>
            <w:pPr>
              <w:spacing w:after="0"/>
              <w:rPr>
                <w:sz w:val="21"/>
                <w:szCs w:val="21"/>
                <w:color w:val="auto"/>
              </w:rPr>
            </w:pPr>
          </w:p>
        </w:tc>
        <w:tc>
          <w:tcPr>
            <w:tcW w:w="36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2FA"/>
            </w:tcBorders>
            <w:shd w:val="clear" w:color="auto" w:fill="CFF2FA"/>
          </w:tcPr>
          <w:p>
            <w:pPr>
              <w:spacing w:after="0"/>
              <w:rPr>
                <w:sz w:val="21"/>
                <w:szCs w:val="21"/>
                <w:color w:val="auto"/>
              </w:rPr>
            </w:pPr>
          </w:p>
        </w:tc>
        <w:tc>
          <w:tcPr>
            <w:tcW w:w="300" w:type="dxa"/>
            <w:vAlign w:val="bottom"/>
            <w:tcBorders>
              <w:bottom w:val="single" w:sz="8" w:color="auto"/>
            </w:tcBorders>
            <w:shd w:val="clear" w:color="auto" w:fill="CFF2FA"/>
          </w:tcPr>
          <w:p>
            <w:pPr>
              <w:spacing w:after="0"/>
              <w:rPr>
                <w:sz w:val="21"/>
                <w:szCs w:val="21"/>
                <w:color w:val="auto"/>
              </w:rPr>
            </w:pPr>
          </w:p>
        </w:tc>
        <w:tc>
          <w:tcPr>
            <w:tcW w:w="100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FF2FA"/>
            </w:tcBorders>
            <w:shd w:val="clear" w:color="auto" w:fill="CFF2FA"/>
          </w:tcPr>
          <w:p>
            <w:pPr>
              <w:spacing w:after="0"/>
              <w:rPr>
                <w:sz w:val="21"/>
                <w:szCs w:val="21"/>
                <w:color w:val="auto"/>
              </w:rPr>
            </w:pPr>
          </w:p>
        </w:tc>
        <w:tc>
          <w:tcPr>
            <w:tcW w:w="320" w:type="dxa"/>
            <w:vAlign w:val="bottom"/>
            <w:tcBorders>
              <w:bottom w:val="single" w:sz="8" w:color="auto"/>
            </w:tcBorders>
            <w:shd w:val="clear" w:color="auto" w:fill="CFF2FA"/>
          </w:tcPr>
          <w:p>
            <w:pPr>
              <w:spacing w:after="0"/>
              <w:rPr>
                <w:sz w:val="21"/>
                <w:szCs w:val="21"/>
                <w:color w:val="auto"/>
              </w:rPr>
            </w:pPr>
          </w:p>
        </w:tc>
        <w:tc>
          <w:tcPr>
            <w:tcW w:w="10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8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37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-813435</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-813435</wp:posOffset>
            </wp:positionV>
            <wp:extent cx="6858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income tax assets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4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50,267</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Non-deductible accrued expenses</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108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(238 )</w:t>
            </w:r>
          </w:p>
        </w:tc>
        <w:tc>
          <w:tcPr>
            <w:tcW w:w="220" w:type="dxa"/>
            <w:vAlign w:val="bottom"/>
          </w:tcPr>
          <w:p>
            <w:pPr>
              <w:spacing w:after="0"/>
              <w:rPr>
                <w:sz w:val="20"/>
                <w:szCs w:val="20"/>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(96 )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Pr>
          <w:p>
            <w:pPr>
              <w:spacing w:after="0"/>
              <w:rPr>
                <w:sz w:val="20"/>
                <w:szCs w:val="20"/>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differences</w:t>
            </w:r>
          </w:p>
        </w:tc>
        <w:tc>
          <w:tcPr>
            <w:tcW w:w="108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20"/>
                <w:szCs w:val="20"/>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tax credits</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tax credits</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10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760" w:type="dxa"/>
            <w:vAlign w:val="bottom"/>
            <w:tcBorders>
              <w:right w:val="single" w:sz="8" w:color="CFF0FC"/>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Charitable contributions</w:t>
            </w:r>
          </w:p>
        </w:tc>
        <w:tc>
          <w:tcPr>
            <w:tcW w:w="1080" w:type="dxa"/>
            <w:vAlign w:val="bottom"/>
          </w:tcPr>
          <w:p>
            <w:pPr>
              <w:spacing w:after="0"/>
              <w:rPr>
                <w:sz w:val="20"/>
                <w:szCs w:val="20"/>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5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Royalty purchase and sale agreement</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tcBorders>
              <w:right w:val="single" w:sz="8" w:color="CFF0FC"/>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(73,699 )</w:t>
            </w:r>
          </w:p>
        </w:tc>
        <w:tc>
          <w:tcPr>
            <w:tcW w:w="220" w:type="dxa"/>
            <w:vAlign w:val="bottom"/>
            <w:shd w:val="clear" w:color="auto" w:fill="CFF0FC"/>
          </w:tcPr>
          <w:p>
            <w:pPr>
              <w:spacing w:after="0"/>
              <w:rPr>
                <w:sz w:val="21"/>
                <w:szCs w:val="21"/>
                <w:color w:val="auto"/>
              </w:rPr>
            </w:pPr>
          </w:p>
        </w:tc>
        <w:tc>
          <w:tcPr>
            <w:tcW w:w="1760" w:type="dxa"/>
            <w:vAlign w:val="bottom"/>
            <w:tcBorders>
              <w:right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(66,599 )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(63,404 )</w:t>
            </w:r>
          </w:p>
        </w:tc>
        <w:tc>
          <w:tcPr>
            <w:tcW w:w="60" w:type="dxa"/>
            <w:vAlign w:val="bottom"/>
          </w:tcPr>
          <w:p>
            <w:pPr>
              <w:spacing w:after="0"/>
              <w:rPr>
                <w:sz w:val="21"/>
                <w:szCs w:val="21"/>
                <w:color w:val="auto"/>
              </w:rPr>
            </w:pPr>
          </w:p>
        </w:tc>
      </w:tr>
      <w:tr>
        <w:trPr>
          <w:trHeight w:val="237"/>
        </w:trPr>
        <w:tc>
          <w:tcPr>
            <w:tcW w:w="54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Net deferred tax asset</w:t>
            </w:r>
          </w:p>
        </w:tc>
        <w:tc>
          <w:tcPr>
            <w:tcW w:w="1080" w:type="dxa"/>
            <w:vAlign w:val="bottom"/>
            <w:tcBorders>
              <w:top w:val="single" w:sz="8" w:color="auto"/>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65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 reconciliation of the statutory tax rates and the effective tax rates is as follows: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5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jc w:val="center"/>
              <w:ind w:right="49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4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54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tax rate</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7"/>
        </w:trPr>
        <w:tc>
          <w:tcPr>
            <w:tcW w:w="54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 rate</w:t>
            </w:r>
          </w:p>
        </w:tc>
        <w:tc>
          <w:tcPr>
            <w:tcW w:w="10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(0.85 )</w:t>
            </w:r>
          </w:p>
        </w:tc>
        <w:tc>
          <w:tcPr>
            <w:tcW w:w="220" w:type="dxa"/>
            <w:vAlign w:val="bottom"/>
            <w:shd w:val="clear" w:color="auto" w:fill="CFF0FC"/>
          </w:tcPr>
          <w:p>
            <w:pPr>
              <w:spacing w:after="0"/>
              <w:rPr>
                <w:sz w:val="21"/>
                <w:szCs w:val="21"/>
                <w:color w:val="auto"/>
              </w:rPr>
            </w:pPr>
          </w:p>
        </w:tc>
        <w:tc>
          <w:tcPr>
            <w:tcW w:w="17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(599.32 )</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w:t>
            </w:r>
          </w:p>
        </w:tc>
        <w:tc>
          <w:tcPr>
            <w:tcW w:w="108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Pr>
          <w:p>
            <w:pPr>
              <w:spacing w:after="0"/>
              <w:rPr>
                <w:sz w:val="20"/>
                <w:szCs w:val="20"/>
                <w:color w:val="auto"/>
              </w:rPr>
            </w:pPr>
          </w:p>
        </w:tc>
        <w:tc>
          <w:tcPr>
            <w:tcW w:w="1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(3.15 )</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(253.97 )</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(21.57 )</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(39.66 )</w:t>
            </w:r>
          </w:p>
        </w:tc>
        <w:tc>
          <w:tcPr>
            <w:tcW w:w="60" w:type="dxa"/>
            <w:vAlign w:val="bottom"/>
          </w:tcPr>
          <w:p>
            <w:pPr>
              <w:spacing w:after="0"/>
              <w:rPr>
                <w:sz w:val="20"/>
                <w:szCs w:val="20"/>
                <w:color w:val="auto"/>
              </w:rPr>
            </w:pPr>
          </w:p>
        </w:tc>
      </w:tr>
      <w:tr>
        <w:trPr>
          <w:trHeight w:val="247"/>
        </w:trPr>
        <w:tc>
          <w:tcPr>
            <w:tcW w:w="54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 740-10</w:t>
            </w:r>
          </w:p>
        </w:tc>
        <w:tc>
          <w:tcPr>
            <w:tcW w:w="10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7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(3.19 )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60" w:type="dxa"/>
            <w:vAlign w:val="bottom"/>
          </w:tcPr>
          <w:p>
            <w:pPr>
              <w:spacing w:after="0"/>
              <w:rPr>
                <w:sz w:val="21"/>
                <w:szCs w:val="21"/>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prior year tax provision</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(13.16 )</w:t>
            </w:r>
          </w:p>
        </w:tc>
        <w:tc>
          <w:tcPr>
            <w:tcW w:w="380" w:type="dxa"/>
            <w:vAlign w:val="bottom"/>
          </w:tcPr>
          <w:p>
            <w:pPr>
              <w:spacing w:after="0"/>
              <w:rPr>
                <w:sz w:val="20"/>
                <w:szCs w:val="20"/>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54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(0.09 )</w:t>
            </w:r>
          </w:p>
        </w:tc>
        <w:tc>
          <w:tcPr>
            <w:tcW w:w="220" w:type="dxa"/>
            <w:vAlign w:val="bottom"/>
            <w:shd w:val="clear" w:color="auto" w:fill="CFF0FC"/>
          </w:tcPr>
          <w:p>
            <w:pPr>
              <w:spacing w:after="0"/>
              <w:rPr>
                <w:sz w:val="21"/>
                <w:szCs w:val="21"/>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
        </w:trPr>
        <w:tc>
          <w:tcPr>
            <w:tcW w:w="5440" w:type="dxa"/>
            <w:vAlign w:val="bottom"/>
            <w:tcBorders>
              <w:right w:val="single" w:sz="8" w:color="auto"/>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5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0.00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20"/>
                <w:szCs w:val="20"/>
                <w:color w:val="auto"/>
              </w:rPr>
            </w:pP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0.00 </w:t>
            </w:r>
            <w:r>
              <w:rPr>
                <w:rFonts w:ascii="Times New Roman" w:cs="Times New Roman" w:eastAsia="Times New Roman" w:hAnsi="Times New Roman"/>
                <w:sz w:val="18"/>
                <w:szCs w:val="18"/>
                <w:color w:val="auto"/>
                <w:highlight w:val="white"/>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-2468245</wp:posOffset>
            </wp:positionV>
            <wp:extent cx="7747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-2468245</wp:posOffset>
            </wp:positionV>
            <wp:extent cx="685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had a valuation allowance of $73.7 million recorded against the benefit of certain deferred tax assets. The valuation allowance was primarily related to federal and state net operating loss ("NOL") carryforwards that, in the judgment of management, are not more likely than not to be realized. In assessing the recoverability of the Company’s deferred tax assets, management considered, among other things, its deferred tax liabilities, its historical earnings and losses, projections of future income, and tax-planning strategies available to the Company in the relevant jurisdiction. The Company will release this valuation allowance when management determines that it is more likely than not that its deferred tax asset will be realized.</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income tax NOL carryforwards for federal and state purposes of $216.1 million and $78.4 million, respectively. The Company has recorded a deferred tax asset for both federal and state NOL carryforwards of $45.4 million and $4.9 million, respectively. If not utilized, the federal NOL carryforwards will begin to expire beginning in 2031, and the state NOL carryforwards will begin to expire at various dates beginning in 2027. Additionally, under the 2017 Tax Cuts and Jobs Act, federal net operating losses incurred in 2018 and beyond may be carried forward indefinitely. However, the deductibility of such</w:t>
      </w:r>
    </w:p>
    <w:p>
      <w:pPr>
        <w:sectPr>
          <w:pgSz w:w="11900" w:h="16838" w:orient="portrait"/>
          <w:cols w:equalWidth="0" w:num="1">
            <w:col w:w="11300"/>
          </w:cols>
          <w:pgMar w:left="320" w:top="121" w:right="279" w:bottom="1440" w:gutter="0" w:footer="0" w:header="0"/>
        </w:sectPr>
      </w:pP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federal net operating losses is limited beginning in 2021. Certain states have also adopted the indefinite carryforward period beginning with the 2018 tax year, but state conformity varies state by state.</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the Company to estimate and measure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roll forward of the Company’s uncertain tax positions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7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uncertain tax positions at the beginning of the year</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settlements with taxing authorities</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r>
        <w:trPr>
          <w:trHeight w:val="277"/>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Balance of uncertain tax positions at the end of the year</w:t>
            </w:r>
          </w:p>
        </w:tc>
        <w:tc>
          <w:tcPr>
            <w:tcW w:w="1020" w:type="dxa"/>
            <w:vAlign w:val="bottom"/>
            <w:tcBorders>
              <w:top w:val="single" w:sz="8" w:color="auto"/>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there was $7.5 million in each period of unrecognized tax benefit that if recognized would be in the form of a net operating loss carryforward, which is expected to require a full valuation allowance based on present circumstances. The Company reversed $48,000 of previously recorded unrecognized tax expenses for the year 2021. The Company recognizes accrued interest related to unrecognized tax expenses and penalties as income tax expense. No significant amounts of interest or penalties have been recorded as of December 31, 2022.</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Ownership changes, as defined by Section 382 of the Internal Revenue Code of 1986, as amended (the “Code”), may limit the amount of net operating losses that a company may utilize to offset future taxable income and taxes payable. In general, if the Company experiences a greater than 50% aggregate change in ownership over a 3-year period (a Section 382 ownership change), utilization of the Company’s pre-change NOL carryforwards may be subject to limitation under the Code. The annual limitation generally is determined by multiplying the value of the Company’s stock at the time of such ownership change (subject to certain adjustments) by the applicable long-term tax-exempt rate for the month in which the ownership change occurred. Such limitation may result in expiration of a portion of the NOL carryforwards before utilization. The Company has completed an owner shift analysis to determine the dates in which the Company may have experienced a Section 382 ownership change, and determined that the Company experienced ownership changes for Section 382 purposes in January 2012, December 2013, and July 2016. Further, the Company has determined that $38,000 and $2,000 of its deferred tax asset related to Federal NOL and Federal R&amp;D Credit, respectively, will expire due to Section 382.</w:t>
      </w:r>
    </w:p>
    <w:p>
      <w:pPr>
        <w:spacing w:after="0" w:line="18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NOL DTA has a full valuation allowance as it is deemed that it is more likely than not to be utilized. The Company will continue to monitor equity movement and its impact on the utilization of the NOLs and credits. The Company’s ability to use the remaining NOL carryforwards may be further limited if the Company experiences an additional Section 382 ownership change as a result of future changes in its stock ownership.</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certain state jurisdictions. As of December 31, 2022, the Company’s tax returns for 2019, 2020 and 2021 are subject to full examination by the tax authorities. As of December 31, 2022, the Company is generally no longer subject to state or local examinations by tax authorities for years before 2019, except to the extent of NOLs generated in prior years claimed on a tax return.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 Summary</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its facilities and some of its equipment under noncancelable operating lease arrangements that expire at various dates through 2023. In November 2016, the Company signed an office lease agreement to lease approximately 20,000 square feet of office space in Alpharetta, Georgia for its corporate headquarters. The lease agreement was for a six and one-half year term with a renewal option for one additional five-year term. Rental payments were $35,145 per month subject to an increase of 3% per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November 2022, the Company amended the office lease agreement and decreased the square footage to approximately 14,000 square feet. The amended office lease agreement is for a four year term with a renewal option for an additional thirty-eight months. Rental payments are $30,437 per month subject to an increase of 3% per year. Operating lease cost under this lease and the amendment is recognized on a straight-line basis over the term of the lease. In addition, the office lease agreement requires payment of the pro-rata share of the annual operating expenses associated with the premises.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Company’s operating leases included on the balance sheet are as follows (in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3"/>
        </w:trPr>
        <w:tc>
          <w:tcPr>
            <w:tcW w:w="9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r>
      <w:tr>
        <w:trPr>
          <w:trHeight w:val="245"/>
        </w:trPr>
        <w:tc>
          <w:tcPr>
            <w:tcW w:w="95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79"/>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9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r>
      <w:tr>
        <w:trPr>
          <w:trHeight w:val="243"/>
        </w:trPr>
        <w:tc>
          <w:tcPr>
            <w:tcW w:w="9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20"/>
                <w:szCs w:val="20"/>
                <w:color w:val="auto"/>
              </w:rPr>
            </w:pPr>
          </w:p>
        </w:tc>
      </w:tr>
      <w:tr>
        <w:trPr>
          <w:trHeight w:val="20"/>
        </w:trPr>
        <w:tc>
          <w:tcPr>
            <w:tcW w:w="9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is not reasonably certain if the Alpharetta, Georgia lease will be renewed. The present value of the lease payments is calculated using an incremental borrowing rate as the Company’s leases do not provide an implicit interest rate. At December 31, 2022, the Company’s incremental borrowing rate was 8.0% and the remaining lease term was 4.0 years. Cash payments included in operating activities on the consolidated statement of cash flows for operating lease liabilities were $339,000, $392,000 and $378,000 for the years ended December 31, 2022, 2021 and 2020, respectively.</w:t>
      </w:r>
    </w:p>
    <w:p>
      <w:pPr>
        <w:spacing w:after="0" w:line="18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lease payments were as follows at December 31, 2022 (in thousands):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17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1740" w:type="dxa"/>
            <w:vAlign w:val="bottom"/>
          </w:tcPr>
          <w:p>
            <w:pPr>
              <w:spacing w:after="0"/>
              <w:rPr>
                <w:sz w:val="21"/>
                <w:szCs w:val="21"/>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4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17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20"/>
                <w:szCs w:val="20"/>
                <w:color w:val="auto"/>
              </w:rPr>
            </w:pPr>
          </w:p>
        </w:tc>
      </w:tr>
      <w:tr>
        <w:trPr>
          <w:trHeight w:val="252"/>
        </w:trPr>
        <w:tc>
          <w:tcPr>
            <w:tcW w:w="1740" w:type="dxa"/>
            <w:vAlign w:val="bottom"/>
          </w:tcPr>
          <w:p>
            <w:pPr>
              <w:spacing w:after="0"/>
              <w:rPr>
                <w:sz w:val="21"/>
                <w:szCs w:val="21"/>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21"/>
                <w:szCs w:val="21"/>
                <w:color w:val="auto"/>
              </w:rPr>
            </w:pPr>
          </w:p>
        </w:tc>
      </w:tr>
      <w:tr>
        <w:trPr>
          <w:trHeight w:val="234"/>
        </w:trPr>
        <w:tc>
          <w:tcPr>
            <w:tcW w:w="17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20"/>
                <w:szCs w:val="20"/>
                <w:color w:val="auto"/>
              </w:rPr>
            </w:pPr>
          </w:p>
        </w:tc>
      </w:tr>
      <w:tr>
        <w:trPr>
          <w:trHeight w:val="247"/>
        </w:trPr>
        <w:tc>
          <w:tcPr>
            <w:tcW w:w="1740" w:type="dxa"/>
            <w:vAlign w:val="bottom"/>
          </w:tcPr>
          <w:p>
            <w:pPr>
              <w:spacing w:after="0"/>
              <w:rPr>
                <w:sz w:val="21"/>
                <w:szCs w:val="21"/>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21"/>
                <w:szCs w:val="21"/>
                <w:color w:val="auto"/>
              </w:rPr>
            </w:pPr>
          </w:p>
        </w:tc>
      </w:tr>
      <w:tr>
        <w:trPr>
          <w:trHeight w:val="232"/>
        </w:trPr>
        <w:tc>
          <w:tcPr>
            <w:tcW w:w="1740" w:type="dxa"/>
            <w:vAlign w:val="bottom"/>
          </w:tcPr>
          <w:p>
            <w:pPr>
              <w:spacing w:after="0"/>
              <w:rPr>
                <w:sz w:val="20"/>
                <w:szCs w:val="20"/>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20"/>
                <w:szCs w:val="20"/>
                <w:color w:val="auto"/>
              </w:rPr>
            </w:pPr>
          </w:p>
        </w:tc>
      </w:tr>
      <w:tr>
        <w:trPr>
          <w:trHeight w:val="247"/>
        </w:trPr>
        <w:tc>
          <w:tcPr>
            <w:tcW w:w="1740" w:type="dxa"/>
            <w:vAlign w:val="bottom"/>
          </w:tcPr>
          <w:p>
            <w:pPr>
              <w:spacing w:after="0"/>
              <w:rPr>
                <w:sz w:val="21"/>
                <w:szCs w:val="21"/>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20" w:type="dxa"/>
            <w:vAlign w:val="bottom"/>
          </w:tcPr>
          <w:p>
            <w:pPr>
              <w:spacing w:after="0"/>
              <w:rPr>
                <w:sz w:val="21"/>
                <w:szCs w:val="21"/>
                <w:color w:val="auto"/>
              </w:rPr>
            </w:pPr>
          </w:p>
        </w:tc>
      </w:tr>
      <w:tr>
        <w:trPr>
          <w:trHeight w:val="236"/>
        </w:trPr>
        <w:tc>
          <w:tcPr>
            <w:tcW w:w="1740" w:type="dxa"/>
            <w:vAlign w:val="bottom"/>
          </w:tcPr>
          <w:p>
            <w:pPr>
              <w:spacing w:after="0"/>
              <w:rPr>
                <w:sz w:val="20"/>
                <w:szCs w:val="20"/>
                <w:color w:val="auto"/>
              </w:rPr>
            </w:pPr>
          </w:p>
        </w:tc>
        <w:tc>
          <w:tcPr>
            <w:tcW w:w="54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Pr>
          <w:p>
            <w:pPr>
              <w:spacing w:after="0"/>
              <w:rPr>
                <w:sz w:val="20"/>
                <w:szCs w:val="20"/>
                <w:color w:val="auto"/>
              </w:rPr>
            </w:pPr>
          </w:p>
        </w:tc>
      </w:tr>
      <w:tr>
        <w:trPr>
          <w:trHeight w:val="20"/>
        </w:trPr>
        <w:tc>
          <w:tcPr>
            <w:tcW w:w="17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-504825</wp:posOffset>
            </wp:positionV>
            <wp:extent cx="34290"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16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Operating lease cost was $262,000 for the year ended December 31, 2022 and $247,000 for each of the years ended December 31, 2021 and 2020. Variable lease cost was $87,000 for the year ended December 31, 2022 and $95,000 for the years ended December 31, 2021 and 2020. Short-term lease cost was $86,000, $12,000 and $20,000 for the years ended December 31, 2022, 2021 and 2020,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22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May 2018, the Company entered into a manufacturing supply agreement (the “Supply Agreement”), with Gerresheimer Regensburg GmbH, a company incorporated under the laws of Germany (“Gerresheimer”). Gerresheimer will manufacture and supply the Company’s proprietary SCS Microinjector. The Company will provide Gerresheimer with a rolling forecast schedule of its projected purchase orders for at least the next four calendar quarters. The Supply Agreement contains an initial five-year term that will automatically renew for successive periods of three years, unless terminated by either party at least 12 months prior to the end of the applicable term.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License and Other Agreements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Bausch + Lomb</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(as amended, the "Bausch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(“Other Products,” and together with XIPERE, the “Products”), subject to specified exceptions, in the United States and Canada (the “Territory”) for the treatment of ophthalmology indications, including non-infectious uveitis.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Bausch License Agreement, Bausch paid the Company an upfront payment of $5.0 million (the “Upfront Payment”) in October 2019. In October 2021, the FDA approved XIPERE. The Company received $5.0 million from Bausch as a result of the approval. In December 2021, $10.0 million was recorded upon completion of pre-launch activities for XIPERE and payment was received in January 2022.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 to the consolidated financial statements.</w:t>
      </w:r>
    </w:p>
    <w:p>
      <w:pPr>
        <w:spacing w:after="0" w:line="194"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Company was responsible for all development expenses for XIPERE in the Territory until the Company's New Drug Application ("NDA") was approved by the FDA, subject to specified exceptions, as well as manufacturing costs in connection with the NDA. The Company was also responsible for all clinical and development expenses conducted to satisfy the FDA’s requests in the complete response letter issued on October 18, 2019 related to the NDA and any subsequent complete response letter related to the NDA. Following FDA approval of XIPERE, Bausch is responsible for all such expenses.</w:t>
      </w:r>
    </w:p>
    <w:p>
      <w:pPr>
        <w:spacing w:after="0" w:line="164"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Due to the refund provisions in the License Agreement, the Upfront Payment was included on the balance sheet as deferred revenue as of December 31, 2020. The refund provisions lapsed upon FDA approval of XIPERE and the $5.0 million was recognized as revenue in the fourth quarter of 2021.</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REGENXBIO, Inc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29, 2019, the Company entered into an option and license agreement with REGENXBIO, Inc. (“REGENXBIO”) pursuant to which the Company granted REGENXBIO an exclusive option to enter into a commercial license agreement (the “Option”), which grants REGENXBIO an exclusive, worldwide and sublicensable license to the Company’s SCS Microinjector for the delivery of adeno-associated virus-based gene therapies for the treatment of wet age-related macular degeneration, diabetic retinopathy and other conditions for which anti-vascular endothelial growth factor treatment is currently the standard of care. REGENXBIO exercised the Option in October 2019 and paid the Company an option fee equal to $2.0 million, less a credit of $0.5 million previously received under a technology access agreement. In addition, REGENXBIO has agreed to pay the Company up to an aggregate of $31.0 million in milestone payments upon the achievement of specified development milestones and up to an aggregate of $102.0 million in sales-based milestone payments, as well as mid-single digit royalties on net sales of products using the SCS Microinjector during the royalty term. In September 2020, the Company received $3.0 million in milestone payments under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Option. The Company's rights to these royalties and milestone payments have been sold pursuant to the terms and conditions of the Purchase and Sale Agreement described in Note 5 to the consolidated financial statements.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Arctic Vision (Hong Kong) Limited</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10, 2020, the Company entered into a License Agreement (the “License Agreement”) with Arctic Vision (Hong Kong) Limited (“Arctic Vision”). Pursuant to the License Agreement, the Company has granted an exclusive license to Arctic Vision to develop, distribute, promote, market and commercialize XIPERE, subject to specified exceptions in China, Hong Kong, Macau, Taiwan and South Korea (the “Arctic Territory”). Under the terms of the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License Agreement, Arctic Vision paid the Company an upfront payment of $4.0 million in March 2020. In December 2021, the Company received a milestone payment of $4.0 million following the receipt of FDA approval of XIPERE in the United States.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 to the consolidated financial statements.</w:t>
      </w:r>
    </w:p>
    <w:p>
      <w:pPr>
        <w:spacing w:after="0" w:line="188"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The Company recorded $13,000, $200,000 and $105,000 of revenue from these agreements during the years ended December 31, 2021, 2020 and 2019,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Company’s material financial instruments at December 31, 2022 and 2021, consisted primarily of cash and cash equivalents. The fair value of cash and cash equivalents, other current assets and accounts payable approximate their respective carrying values due to the short-term nature of these instruments and are classified as Level 1 in the fair value hierarchy. The fair value of liability related to the sales of future royalties approximates the carrying value due to the short period of time that has elapsed from the origination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and 3 during the years ended December 31, 2022 and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(Loss) Per Share</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 average number of shares of common stock outstanding for the period, without consideration of the dilutive effect of potential common stock equivalents. Diluted net income (loss) per share gives effect to all dilutive potential shares of common stock outstanding during this period.</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periods in which the Company incurred net losses, common stock equivalents were excluded which included stock options, unvested restricted stock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00" w:type="dxa"/>
            <w:vAlign w:val="bottom"/>
          </w:tcPr>
          <w:p>
            <w:pPr>
              <w:spacing w:after="0"/>
              <w:rPr>
                <w:sz w:val="17"/>
                <w:szCs w:val="17"/>
                <w:color w:val="auto"/>
              </w:rPr>
            </w:pPr>
          </w:p>
        </w:tc>
        <w:tc>
          <w:tcPr>
            <w:tcW w:w="3160" w:type="dxa"/>
            <w:vAlign w:val="bottom"/>
            <w:gridSpan w:val="6"/>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80" w:type="dxa"/>
            <w:vAlign w:val="bottom"/>
            <w:tcBorders>
              <w:top w:val="single" w:sz="8" w:color="0000EE"/>
            </w:tcBorders>
          </w:tcPr>
          <w:p>
            <w:pPr>
              <w:spacing w:after="0"/>
              <w:rPr>
                <w:sz w:val="22"/>
                <w:szCs w:val="22"/>
                <w:color w:val="auto"/>
              </w:rPr>
            </w:pPr>
          </w:p>
        </w:tc>
        <w:tc>
          <w:tcPr>
            <w:tcW w:w="5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6"/>
            <w:vMerge w:val="continue"/>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(32,947</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60,204,862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58,491,986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46,506,540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1,058,134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Pr>
          <w:p>
            <w:pPr>
              <w:spacing w:after="0"/>
              <w:rPr>
                <w:sz w:val="20"/>
                <w:szCs w:val="20"/>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ESPP</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66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60,204,862</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59,906,602</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46,506,540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80" w:type="dxa"/>
            <w:vAlign w:val="bottom"/>
            <w:shd w:val="clear" w:color="auto" w:fill="CFF0FC"/>
          </w:tcPr>
          <w:p>
            <w:pPr>
              <w:spacing w:after="0"/>
              <w:rPr>
                <w:sz w:val="21"/>
                <w:szCs w:val="21"/>
                <w:color w:val="auto"/>
              </w:rPr>
            </w:pPr>
          </w:p>
        </w:tc>
        <w:tc>
          <w:tcPr>
            <w:tcW w:w="5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spacing w:after="0"/>
              <w:rPr>
                <w:sz w:val="21"/>
                <w:szCs w:val="21"/>
                <w:color w:val="auto"/>
              </w:rPr>
            </w:pPr>
          </w:p>
        </w:tc>
        <w:tc>
          <w:tcPr>
            <w:tcW w:w="1140" w:type="dxa"/>
            <w:vAlign w:val="bottom"/>
            <w:gridSpan w:val="2"/>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(0.55 )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0" w:type="dxa"/>
            <w:vAlign w:val="bottom"/>
          </w:tcPr>
          <w:p>
            <w:pPr>
              <w:spacing w:after="0"/>
              <w:rPr>
                <w:sz w:val="1"/>
                <w:szCs w:val="1"/>
                <w:color w:val="auto"/>
              </w:rPr>
            </w:pPr>
          </w:p>
        </w:tc>
      </w:tr>
      <w:tr>
        <w:trPr>
          <w:trHeight w:val="24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(0.55 )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-624840</wp:posOffset>
            </wp:positionV>
            <wp:extent cx="76835" cy="163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-624840</wp:posOffset>
            </wp:positionV>
            <wp:extent cx="6858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Company’s potential common stock equivalents that have been excluded from the computation of diluted net income (loss) per share for all periods presented because of their antidilutive effect consisted of the following:</w:t>
      </w:r>
    </w:p>
    <w:p>
      <w:pPr>
        <w:spacing w:after="0" w:line="34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1905</wp:posOffset>
            </wp:positionV>
            <wp:extent cx="1851025" cy="1968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851025" cy="1968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8"/>
        </w:trPr>
        <w:tc>
          <w:tcPr>
            <w:tcW w:w="5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28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24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6,915,330</w:t>
            </w:r>
          </w:p>
        </w:tc>
        <w:tc>
          <w:tcPr>
            <w:tcW w:w="240" w:type="dxa"/>
            <w:vAlign w:val="bottom"/>
            <w:gridSpan w:val="2"/>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4,704,194</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4,248,193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1,462,932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974,404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767,271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purchase warrants</w:t>
            </w:r>
          </w:p>
        </w:tc>
        <w:tc>
          <w:tcPr>
            <w:tcW w:w="24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8,408,058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5,708,394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5,045,260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94</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-685165</wp:posOffset>
            </wp:positionV>
            <wp:extent cx="6858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-685165</wp:posOffset>
            </wp:positionV>
            <wp:extent cx="60325"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December 31, 2022. Based on that evaluation, our Chief Executive Officer and Chief Financial Officer concluded that our disclosure controls and procedures were effective as of the end of the period covered by this report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2022 that has materially affected, or is reasonably likely to materially affect, our internal control over financial reporting.</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 and Attestation Report of the Registered Public Accounting Firm</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2022, our internal control over financial reporting was effective.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 non-accelerated filer and a smaller reporting company under SEC rules, management's report was not subject to attestation by our independent registered public accounting firm.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333333"/>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333333"/>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will file a definitive Proxy Statement for our 2023 Annual Meeting of Stockholders (the “2023 Proxy Statement”) with the SEC, pursuant to Regulation 14A, not later than 120 days after the end of our fiscal year. Accordingly, certain information required by Part III has been omitted under General Instruction G(3) to Form 10-K. Only those sections of the 2023 Proxy Statement that specifically address the items set forth herein are incorporated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The information required by Item 10 is hereby incorporated by reference to the sections of the 2023 Proxy Statement under the captions</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"Information Regarding the Board of Directors and Corporate Governance," "Election of Directors," and "Information About Our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applicable to all of our employees, executive officers and directors. The Code of Conduct is available on our website at www.clearsidebio.com. The Audit Committee is responsible for overseeing the Code of Conduct and must approve any waivers of the Code of Conduct for executive officers and directors. If we make any substantive amendments to the Code of Conduct or grant any waiver from a provision of the Code of Conduct to any executive officer or director, we will promptly disclose the amendment or waiver on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to the sections of the 2023 Proxy Statement under the captions "Executive Compensation" and "Non-Employee Director Compensation."</w:t>
      </w:r>
    </w:p>
    <w:p>
      <w:pPr>
        <w:spacing w:after="0" w:line="26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hereby incorporated by reference to the sections of the 2023 Proxy Statement under the captions "Security Ownership of Certain Beneficial Owners and Management" and "Securities Authorized for Issuance under Equity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to the sections of the 2023 Proxy Statement under the captions "Transactions with Related Persons" and "Independence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to the sections of the 2023 Proxy Statement under the caption "Ratification of Selection of Independent Auditors."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80" w:type="dxa"/>
            <w:vAlign w:val="bottom"/>
          </w:tcPr>
          <w:p>
            <w:pPr>
              <w:spacing w:after="0"/>
              <w:rPr>
                <w:sz w:val="18"/>
                <w:szCs w:val="18"/>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317"/>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FF"/>
              </w:rPr>
            </w:pPr>
            <w:hyperlink r:id="rId334">
              <w:r>
                <w:rPr>
                  <w:rFonts w:ascii="Times New Roman" w:cs="Times New Roman" w:eastAsia="Times New Roman" w:hAnsi="Times New Roman"/>
                  <w:sz w:val="16"/>
                  <w:szCs w:val="16"/>
                  <w:color w:val="0000FF"/>
                </w:rPr>
                <w:t>Amended and Restated Certificate of Incorporation (incorporated herein by reference to Exhibit 3.1 to the Registrant’s Current Report</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34">
              <w:r>
                <w:rPr>
                  <w:rFonts w:ascii="Times New Roman" w:cs="Times New Roman" w:eastAsia="Times New Roman" w:hAnsi="Times New Roman"/>
                  <w:sz w:val="16"/>
                  <w:szCs w:val="16"/>
                  <w:color w:val="0000FF"/>
                </w:rPr>
                <w:t>on Form 8-K (File No. 001-37783) filed with the SEC on June 7,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0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7"/>
                <w:szCs w:val="17"/>
                <w:color w:val="0000FF"/>
              </w:rPr>
            </w:pPr>
            <w:hyperlink r:id="rId335">
              <w:r>
                <w:rPr>
                  <w:rFonts w:ascii="Times New Roman" w:cs="Times New Roman" w:eastAsia="Times New Roman" w:hAnsi="Times New Roman"/>
                  <w:sz w:val="17"/>
                  <w:szCs w:val="17"/>
                  <w:color w:val="0000FF"/>
                </w:rPr>
                <w:t>Certificate of Amendment to Amended and Restated Certificate of Incorporation (incorporated herein by reference to Exhibit 3.1</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7"/>
                <w:szCs w:val="17"/>
                <w:color w:val="0000FF"/>
              </w:rPr>
            </w:pPr>
            <w:hyperlink r:id="rId335">
              <w:r>
                <w:rPr>
                  <w:rFonts w:ascii="Times New Roman" w:cs="Times New Roman" w:eastAsia="Times New Roman" w:hAnsi="Times New Roman"/>
                  <w:sz w:val="17"/>
                  <w:szCs w:val="17"/>
                  <w:color w:val="0000FF"/>
                </w:rPr>
                <w:t>to the Registrant's Current Report on Form 8-K (File No. 001-37783) filed with the SEC on June 23, 2022).</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0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FF"/>
              </w:rPr>
            </w:pPr>
            <w:hyperlink r:id="rId336">
              <w:r>
                <w:rPr>
                  <w:rFonts w:ascii="Times New Roman" w:cs="Times New Roman" w:eastAsia="Times New Roman" w:hAnsi="Times New Roman"/>
                  <w:sz w:val="16"/>
                  <w:szCs w:val="16"/>
                  <w:color w:val="0000FF"/>
                </w:rPr>
                <w:t>Amended and Restated Bylaws (incorporated herein by reference to Exhibit 3.2 to the Registrant’s Current Report on Form 8-K (File</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36">
              <w:r>
                <w:rPr>
                  <w:rFonts w:ascii="Times New Roman" w:cs="Times New Roman" w:eastAsia="Times New Roman" w:hAnsi="Times New Roman"/>
                  <w:sz w:val="16"/>
                  <w:szCs w:val="16"/>
                  <w:color w:val="0000FF"/>
                </w:rPr>
                <w:t>No. 001-37783) filed with the SEC on June 7,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FF"/>
              </w:rPr>
            </w:pPr>
            <w:hyperlink r:id="rId337">
              <w:r>
                <w:rPr>
                  <w:rFonts w:ascii="Times New Roman" w:cs="Times New Roman" w:eastAsia="Times New Roman" w:hAnsi="Times New Roman"/>
                  <w:sz w:val="16"/>
                  <w:szCs w:val="16"/>
                  <w:color w:val="0000FF"/>
                </w:rPr>
                <w:t>Specimen stock certificate evidencing shares of Common Stock (incorporated herein by reference to Exhibit 4.1 to Amendment No. 1 to</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37">
              <w:r>
                <w:rPr>
                  <w:rFonts w:ascii="Times New Roman" w:cs="Times New Roman" w:eastAsia="Times New Roman" w:hAnsi="Times New Roman"/>
                  <w:sz w:val="16"/>
                  <w:szCs w:val="16"/>
                  <w:color w:val="0000FF"/>
                </w:rPr>
                <w:t>the Registrant’s Registration Statement on Form S-1 (File No. 333-208916) filed with the SEC on March 18,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FF"/>
              </w:rPr>
            </w:pPr>
            <w:hyperlink r:id="rId338">
              <w:r>
                <w:rPr>
                  <w:rFonts w:ascii="Times New Roman" w:cs="Times New Roman" w:eastAsia="Times New Roman" w:hAnsi="Times New Roman"/>
                  <w:sz w:val="16"/>
                  <w:szCs w:val="16"/>
                  <w:color w:val="0000FF"/>
                </w:rPr>
                <w:t>Third Amended and Restated Investor Rights Agreement, dated as of November 23, 2015, by and among the Registrant and certain of</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38">
              <w:r>
                <w:rPr>
                  <w:rFonts w:ascii="Times New Roman" w:cs="Times New Roman" w:eastAsia="Times New Roman" w:hAnsi="Times New Roman"/>
                  <w:sz w:val="16"/>
                  <w:szCs w:val="16"/>
                  <w:color w:val="0000FF"/>
                </w:rPr>
                <w:t>its stockholders (incorporated herein by reference to Exhibit 4.2 to the Registrant’s Registration Statement on Form S-1 (File No. 333-</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38">
              <w:r>
                <w:rPr>
                  <w:rFonts w:ascii="Times New Roman" w:cs="Times New Roman" w:eastAsia="Times New Roman" w:hAnsi="Times New Roman"/>
                  <w:sz w:val="16"/>
                  <w:szCs w:val="16"/>
                  <w:color w:val="0000FF"/>
                </w:rPr>
                <w:t>208916)</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January 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FF"/>
              </w:rPr>
            </w:pPr>
            <w:hyperlink r:id="rId339">
              <w:r>
                <w:rPr>
                  <w:rFonts w:ascii="Times New Roman" w:cs="Times New Roman" w:eastAsia="Times New Roman" w:hAnsi="Times New Roman"/>
                  <w:sz w:val="16"/>
                  <w:szCs w:val="16"/>
                  <w:color w:val="0000FF"/>
                </w:rPr>
                <w:t>Form of Warrant to Purchase Common Stock issued to lenders in September 2016 in connection with Amended and Restated Loan and</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39">
              <w:r>
                <w:rPr>
                  <w:rFonts w:ascii="Times New Roman" w:cs="Times New Roman" w:eastAsia="Times New Roman" w:hAnsi="Times New Roman"/>
                  <w:sz w:val="16"/>
                  <w:szCs w:val="16"/>
                  <w:color w:val="0000FF"/>
                </w:rPr>
                <w:t>Security Agreement (incorporated herein by reference to Exhibit 4.1 to the Registrant’s Current Report on Form 8-K (File No. 001-</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39">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October 4,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tcPr>
          <w:p>
            <w:pPr>
              <w:spacing w:after="0"/>
              <w:rPr>
                <w:sz w:val="24"/>
                <w:szCs w:val="24"/>
                <w:color w:val="auto"/>
              </w:rPr>
            </w:pPr>
          </w:p>
        </w:tc>
        <w:tc>
          <w:tcPr>
            <w:tcW w:w="8840" w:type="dxa"/>
            <w:vAlign w:val="bottom"/>
            <w:gridSpan w:val="20"/>
          </w:tcPr>
          <w:p>
            <w:pPr>
              <w:spacing w:after="0"/>
              <w:rPr>
                <w:rFonts w:ascii="Times New Roman" w:cs="Times New Roman" w:eastAsia="Times New Roman" w:hAnsi="Times New Roman"/>
                <w:sz w:val="16"/>
                <w:szCs w:val="16"/>
                <w:color w:val="0000FF"/>
              </w:rPr>
            </w:pPr>
            <w:hyperlink r:id="rId340">
              <w:r>
                <w:rPr>
                  <w:rFonts w:ascii="Times New Roman" w:cs="Times New Roman" w:eastAsia="Times New Roman" w:hAnsi="Times New Roman"/>
                  <w:sz w:val="16"/>
                  <w:szCs w:val="16"/>
                  <w:color w:val="0000FF"/>
                </w:rPr>
                <w:t>Description of Common Stock of Clearside Biomedical, Inc. (incorporated herein by reference to Exhibit 4.4 to the Registrant’s Annual</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0">
              <w:r>
                <w:rPr>
                  <w:rFonts w:ascii="Times New Roman" w:cs="Times New Roman" w:eastAsia="Times New Roman" w:hAnsi="Times New Roman"/>
                  <w:sz w:val="16"/>
                  <w:szCs w:val="16"/>
                  <w:color w:val="0000FF"/>
                </w:rPr>
                <w:t>Report on Form 10-K (File No. 001-37783), filed with the Commission on March 13, 2020).</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20"/>
          </w:tcPr>
          <w:p>
            <w:pPr>
              <w:spacing w:after="0"/>
              <w:rPr>
                <w:rFonts w:ascii="Times New Roman" w:cs="Times New Roman" w:eastAsia="Times New Roman" w:hAnsi="Times New Roman"/>
                <w:sz w:val="16"/>
                <w:szCs w:val="16"/>
                <w:color w:val="0000FF"/>
              </w:rPr>
            </w:pPr>
            <w:hyperlink r:id="rId341">
              <w:r>
                <w:rPr>
                  <w:rFonts w:ascii="Times New Roman" w:cs="Times New Roman" w:eastAsia="Times New Roman" w:hAnsi="Times New Roman"/>
                  <w:sz w:val="16"/>
                  <w:szCs w:val="16"/>
                  <w:color w:val="0000FF"/>
                </w:rPr>
                <w:t>License Agreement, by and among the Registrant, Emory University and The Georgia Tech Research Corporation, dated as of July 4,</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1">
              <w:r>
                <w:rPr>
                  <w:rFonts w:ascii="Times New Roman" w:cs="Times New Roman" w:eastAsia="Times New Roman" w:hAnsi="Times New Roman"/>
                  <w:sz w:val="16"/>
                  <w:szCs w:val="16"/>
                  <w:color w:val="0000FF"/>
                </w:rPr>
                <w:t>2012, as amended by the First Amendment to License Agreement, dated April 2, 2014 (incorporated herein by reference to Exhibit 10.1</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82"/>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1">
              <w:r>
                <w:rPr>
                  <w:rFonts w:ascii="Times New Roman" w:cs="Times New Roman" w:eastAsia="Times New Roman" w:hAnsi="Times New Roman"/>
                  <w:sz w:val="16"/>
                  <w:szCs w:val="16"/>
                  <w:color w:val="0000FF"/>
                </w:rPr>
                <w:t>to the Registrant’s Registration Statement on Form S-1 (File No. 333-208916), filed with the Commission on January 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20"/>
          </w:tcPr>
          <w:p>
            <w:pPr>
              <w:spacing w:after="0"/>
              <w:rPr>
                <w:rFonts w:ascii="Times New Roman" w:cs="Times New Roman" w:eastAsia="Times New Roman" w:hAnsi="Times New Roman"/>
                <w:sz w:val="16"/>
                <w:szCs w:val="16"/>
                <w:color w:val="0000FF"/>
              </w:rPr>
            </w:pPr>
            <w:hyperlink r:id="rId342">
              <w:r>
                <w:rPr>
                  <w:rFonts w:ascii="Times New Roman" w:cs="Times New Roman" w:eastAsia="Times New Roman" w:hAnsi="Times New Roman"/>
                  <w:sz w:val="16"/>
                  <w:szCs w:val="16"/>
                  <w:color w:val="0000FF"/>
                </w:rPr>
                <w:t>2011 Stock Incentive Plan, as amended to date (incorporated herein by reference to Exhibit 10.3 to the Registrant’s Registration</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2">
              <w:r>
                <w:rPr>
                  <w:rFonts w:ascii="Times New Roman" w:cs="Times New Roman" w:eastAsia="Times New Roman" w:hAnsi="Times New Roman"/>
                  <w:sz w:val="16"/>
                  <w:szCs w:val="16"/>
                  <w:color w:val="0000FF"/>
                </w:rPr>
                <w:t>Statement on Form S-1 (File No. 333-208916), filed with the Commission on January 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21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20"/>
          </w:tcPr>
          <w:p>
            <w:pPr>
              <w:spacing w:after="0"/>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Form of Incentive Stock Option Grant Notice and Incentive Stock Option Agreement under 2011 Stock Incentive Plan (incorporated</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herein by reference to Exhibit 10.4 to the Registrant’s Registration Statement on Form S-1 (File No. 333-208916), filed with the</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Commission on January 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20"/>
          </w:tcPr>
          <w:p>
            <w:pPr>
              <w:spacing w:after="0"/>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Form of Nonqualified Stock Option Grant Notice and Nonqualified Stock Option Agreement under 2011 Stock Incentive Plan</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(incorporated herein by reference to Exhibit 10.5 to the Registrant’s Registration Statement on Form S-1 (File No. 333-208916), filed</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with the Commission on January 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2"/>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20"/>
          </w:tcPr>
          <w:p>
            <w:pPr>
              <w:spacing w:after="0"/>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2016 Equity Incentive Plan (incorporated herein by reference to Exhibit 4.7 to the Registrant’s Registration Statement on Form S-8 (File</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No. 333-212014), file with the Commission on June 14,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4000" w:type="dxa"/>
            <w:vAlign w:val="bottom"/>
            <w:tcBorders>
              <w:left w:val="single" w:sz="8" w:color="0000EE"/>
            </w:tcBorders>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20"/>
          </w:tcPr>
          <w:p>
            <w:pPr>
              <w:spacing w:after="0"/>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Form of Stock Option Grant Notice and Stock Option Agreement under 2016 Equity Incentive Plan (incorporated herein by reference to</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Exhibit 10.7 to Amendment No. 1 to the Registrant’s Registration Statement on Form S-1 (File No. 333-208916), filed with the</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Commission on March 18,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20"/>
          </w:tcPr>
          <w:p>
            <w:pPr>
              <w:spacing w:after="0"/>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Form of Restricted Stock Unit Grant Notice and Restricted Stock Unit Award Agreement under 2016 Equity Incentive Plan</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4000" w:type="dxa"/>
            <w:vAlign w:val="bottom"/>
            <w:tcBorders>
              <w:left w:val="single" w:sz="8" w:color="0000FF"/>
            </w:tcBorders>
            <w:gridSpan w:val="6"/>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(incorporated herein by reference to Exhibit 10.8 to Amendment No. 1 to the Registrant’s Registration Statement on Form S-1 (File No.</w:t>
              </w:r>
            </w:hyperlink>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4820" w:type="dxa"/>
            <w:vAlign w:val="bottom"/>
            <w:tcBorders>
              <w:left w:val="single" w:sz="8" w:color="0000FF"/>
            </w:tcBorders>
            <w:gridSpan w:val="14"/>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40" w:type="dxa"/>
            <w:vAlign w:val="bottom"/>
            <w:gridSpan w:val="20"/>
          </w:tcPr>
          <w:p>
            <w:pPr>
              <w:spacing w:after="0" w:line="183" w:lineRule="exact"/>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333-208916), filed with the Commission on March 18, 2016).</w:t>
              </w:r>
            </w:hyperlink>
          </w:p>
        </w:tc>
      </w:tr>
      <w:tr>
        <w:trPr>
          <w:trHeight w:val="20"/>
        </w:trPr>
        <w:tc>
          <w:tcPr>
            <w:tcW w:w="120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10.8</w:t>
            </w:r>
          </w:p>
        </w:tc>
        <w:tc>
          <w:tcPr>
            <w:tcW w:w="13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50">
              <w:r>
                <w:rPr>
                  <w:rFonts w:ascii="Times New Roman" w:cs="Times New Roman" w:eastAsia="Times New Roman" w:hAnsi="Times New Roman"/>
                  <w:sz w:val="16"/>
                  <w:szCs w:val="16"/>
                  <w:color w:val="0000FF"/>
                </w:rPr>
                <w:t>Form of Indemnification Agreement with non-employee directors (incorporated herein by reference to Exhibit 10.9 to the Registrant’s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0">
              <w:r>
                <w:rPr>
                  <w:rFonts w:ascii="Times New Roman" w:cs="Times New Roman" w:eastAsia="Times New Roman" w:hAnsi="Times New Roman"/>
                  <w:sz w:val="16"/>
                  <w:szCs w:val="16"/>
                  <w:color w:val="0000FF"/>
                </w:rPr>
                <w:t>Registration Statement on Form S-1 (File No. 333-208916), filed with the Commission on January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10.9</w:t>
            </w:r>
          </w:p>
        </w:tc>
        <w:tc>
          <w:tcPr>
            <w:tcW w:w="13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51">
              <w:r>
                <w:rPr>
                  <w:rFonts w:ascii="Times New Roman" w:cs="Times New Roman" w:eastAsia="Times New Roman" w:hAnsi="Times New Roman"/>
                  <w:sz w:val="16"/>
                  <w:szCs w:val="16"/>
                  <w:color w:val="0000FF"/>
                </w:rPr>
                <w:t>Form of 2016 Employee Stock Purchase Plan (incorporated herein by reference to Exhibit 10.12 to Amendment No. 1 to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1">
              <w:r>
                <w:rPr>
                  <w:rFonts w:ascii="Times New Roman" w:cs="Times New Roman" w:eastAsia="Times New Roman" w:hAnsi="Times New Roman"/>
                  <w:sz w:val="16"/>
                  <w:szCs w:val="16"/>
                  <w:color w:val="0000FF"/>
                </w:rPr>
                <w:t>Registrant’s Registration Statement on Form S-1 (File No. 333-208916), filed with the Commission on March 18,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10.10</w:t>
            </w:r>
          </w:p>
        </w:tc>
        <w:tc>
          <w:tcPr>
            <w:tcW w:w="1300" w:type="dxa"/>
            <w:vAlign w:val="bottom"/>
          </w:tcPr>
          <w:p>
            <w:pPr>
              <w:spacing w:after="0"/>
              <w:rPr>
                <w:sz w:val="24"/>
                <w:szCs w:val="24"/>
                <w:color w:val="auto"/>
              </w:rPr>
            </w:pPr>
          </w:p>
        </w:tc>
        <w:tc>
          <w:tcPr>
            <w:tcW w:w="8920" w:type="dxa"/>
            <w:vAlign w:val="bottom"/>
            <w:gridSpan w:val="29"/>
          </w:tcPr>
          <w:p>
            <w:pPr>
              <w:spacing w:after="0"/>
              <w:rPr>
                <w:rFonts w:ascii="Times New Roman" w:cs="Times New Roman" w:eastAsia="Times New Roman" w:hAnsi="Times New Roman"/>
                <w:sz w:val="16"/>
                <w:szCs w:val="16"/>
                <w:color w:val="0000FF"/>
              </w:rPr>
            </w:pPr>
            <w:hyperlink r:id="rId352">
              <w:r>
                <w:rPr>
                  <w:rFonts w:ascii="Times New Roman" w:cs="Times New Roman" w:eastAsia="Times New Roman" w:hAnsi="Times New Roman"/>
                  <w:sz w:val="16"/>
                  <w:szCs w:val="16"/>
                  <w:color w:val="0000FF"/>
                </w:rPr>
                <w:t>Office Lease Agreement, dated November 21, 2016, by and between the Registrant and BRE/COH GA LLC (incorporated herein by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2">
              <w:r>
                <w:rPr>
                  <w:rFonts w:ascii="Times New Roman" w:cs="Times New Roman" w:eastAsia="Times New Roman" w:hAnsi="Times New Roman"/>
                  <w:sz w:val="16"/>
                  <w:szCs w:val="16"/>
                  <w:color w:val="0000FF"/>
                </w:rPr>
                <w:t>reference to Exhibit 10.1 to the Registrant’s Current Report on Form 8-K (File No. 001-37783), filed with the Commission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2">
              <w:r>
                <w:rPr>
                  <w:rFonts w:ascii="Times New Roman" w:cs="Times New Roman" w:eastAsia="Times New Roman" w:hAnsi="Times New Roman"/>
                  <w:sz w:val="16"/>
                  <w:szCs w:val="16"/>
                  <w:color w:val="0000FF"/>
                </w:rPr>
                <w:t>November 23,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10.11</w:t>
            </w:r>
          </w:p>
        </w:tc>
        <w:tc>
          <w:tcPr>
            <w:tcW w:w="1300" w:type="dxa"/>
            <w:vAlign w:val="bottom"/>
          </w:tcPr>
          <w:p>
            <w:pPr>
              <w:spacing w:after="0"/>
              <w:rPr>
                <w:sz w:val="24"/>
                <w:szCs w:val="24"/>
                <w:color w:val="auto"/>
              </w:rPr>
            </w:pPr>
          </w:p>
        </w:tc>
        <w:tc>
          <w:tcPr>
            <w:tcW w:w="8920" w:type="dxa"/>
            <w:vAlign w:val="bottom"/>
            <w:gridSpan w:val="29"/>
          </w:tcPr>
          <w:p>
            <w:pPr>
              <w:spacing w:after="0"/>
              <w:rPr>
                <w:rFonts w:ascii="Times New Roman" w:cs="Times New Roman" w:eastAsia="Times New Roman" w:hAnsi="Times New Roman"/>
                <w:sz w:val="16"/>
                <w:szCs w:val="16"/>
                <w:color w:val="0000FF"/>
              </w:rPr>
            </w:pPr>
            <w:hyperlink r:id="rId353">
              <w:r>
                <w:rPr>
                  <w:rFonts w:ascii="Times New Roman" w:cs="Times New Roman" w:eastAsia="Times New Roman" w:hAnsi="Times New Roman"/>
                  <w:sz w:val="16"/>
                  <w:szCs w:val="16"/>
                  <w:color w:val="0000FF"/>
                </w:rPr>
                <w:t>Second Amendment to License Agreement, by and among the Registrant, Emory University and The Georgia Tech Research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3">
              <w:r>
                <w:rPr>
                  <w:rFonts w:ascii="Times New Roman" w:cs="Times New Roman" w:eastAsia="Times New Roman" w:hAnsi="Times New Roman"/>
                  <w:sz w:val="16"/>
                  <w:szCs w:val="16"/>
                  <w:color w:val="0000FF"/>
                </w:rPr>
                <w:t>Corporation, dated December 12, 2016 (incorporated herein by reference to Exhibit 10.21 to the Registrant’s Annual Report on Form</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3">
              <w:r>
                <w:rPr>
                  <w:rFonts w:ascii="Times New Roman" w:cs="Times New Roman" w:eastAsia="Times New Roman" w:hAnsi="Times New Roman"/>
                  <w:sz w:val="16"/>
                  <w:szCs w:val="16"/>
                  <w:color w:val="0000FF"/>
                </w:rPr>
                <w:t>10-K (File No. 001-37783), filed with the Commission on March 16,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10.12</w:t>
            </w:r>
          </w:p>
        </w:tc>
        <w:tc>
          <w:tcPr>
            <w:tcW w:w="1300" w:type="dxa"/>
            <w:vAlign w:val="bottom"/>
          </w:tcPr>
          <w:p>
            <w:pPr>
              <w:spacing w:after="0"/>
              <w:rPr>
                <w:sz w:val="24"/>
                <w:szCs w:val="24"/>
                <w:color w:val="auto"/>
              </w:rPr>
            </w:pPr>
          </w:p>
        </w:tc>
        <w:tc>
          <w:tcPr>
            <w:tcW w:w="8920" w:type="dxa"/>
            <w:vAlign w:val="bottom"/>
            <w:gridSpan w:val="29"/>
          </w:tcPr>
          <w:p>
            <w:pPr>
              <w:spacing w:after="0"/>
              <w:rPr>
                <w:rFonts w:ascii="Times New Roman" w:cs="Times New Roman" w:eastAsia="Times New Roman" w:hAnsi="Times New Roman"/>
                <w:sz w:val="16"/>
                <w:szCs w:val="16"/>
                <w:color w:val="0000FF"/>
              </w:rPr>
            </w:pPr>
            <w:hyperlink r:id="rId354">
              <w:r>
                <w:rPr>
                  <w:rFonts w:ascii="Times New Roman" w:cs="Times New Roman" w:eastAsia="Times New Roman" w:hAnsi="Times New Roman"/>
                  <w:sz w:val="16"/>
                  <w:szCs w:val="16"/>
                  <w:color w:val="0000FF"/>
                </w:rPr>
                <w:t>Sales Agreement, dated June 30, 2017, by and between the Registrant and Cowen and Company, LLC (incorporated by reference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4">
              <w:r>
                <w:rPr>
                  <w:rFonts w:ascii="Times New Roman" w:cs="Times New Roman" w:eastAsia="Times New Roman" w:hAnsi="Times New Roman"/>
                  <w:sz w:val="16"/>
                  <w:szCs w:val="16"/>
                  <w:color w:val="0000FF"/>
                </w:rPr>
                <w:t>Exhibit 10.1 to the Registrant’s Current Report on Form 8-K (File No. 001-37783), filed with the SEC on July 3,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10.13</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55">
              <w:r>
                <w:rPr>
                  <w:rFonts w:ascii="Times New Roman" w:cs="Times New Roman" w:eastAsia="Times New Roman" w:hAnsi="Times New Roman"/>
                  <w:sz w:val="16"/>
                  <w:szCs w:val="16"/>
                  <w:color w:val="0000FF"/>
                </w:rPr>
                <w:t>Amended and Restated Executive Employment Agreement, by and between Clearside Biomedical, Inc. and Charles A. Deignan, dated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5">
              <w:r>
                <w:rPr>
                  <w:rFonts w:ascii="Times New Roman" w:cs="Times New Roman" w:eastAsia="Times New Roman" w:hAnsi="Times New Roman"/>
                  <w:sz w:val="16"/>
                  <w:szCs w:val="16"/>
                  <w:color w:val="0000FF"/>
                </w:rPr>
                <w:t>as of August 3, 2017 (incorporated herein by reference to Exhibit 10.2 to the Registrant’s Quarterly Report on Form 10-Q (File No. 001-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5">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November 9,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10.14</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56">
              <w:r>
                <w:rPr>
                  <w:rFonts w:ascii="Times New Roman" w:cs="Times New Roman" w:eastAsia="Times New Roman" w:hAnsi="Times New Roman"/>
                  <w:sz w:val="16"/>
                  <w:szCs w:val="16"/>
                  <w:color w:val="0000FF"/>
                </w:rPr>
                <w:t>Fourth Amended and Restated Non-Employee Director Compensation Policy (incorporated by reference to Exhibit 10.1 to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0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6">
              <w:r>
                <w:rPr>
                  <w:rFonts w:ascii="Times New Roman" w:cs="Times New Roman" w:eastAsia="Times New Roman" w:hAnsi="Times New Roman"/>
                  <w:sz w:val="16"/>
                  <w:szCs w:val="16"/>
                  <w:color w:val="0000FF"/>
                </w:rPr>
                <w:t>Registrant's Quarterly Report on Form 10-Q (File No. 001-37783) filed with the Commission on August 12,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00" w:type="dxa"/>
            <w:vAlign w:val="bottom"/>
            <w:tcBorders>
              <w:right w:val="single" w:sz="8" w:color="0000EE"/>
            </w:tcBorders>
            <w:gridSpan w:val="4"/>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10.15</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57">
              <w:r>
                <w:rPr>
                  <w:rFonts w:ascii="Times New Roman" w:cs="Times New Roman" w:eastAsia="Times New Roman" w:hAnsi="Times New Roman"/>
                  <w:sz w:val="16"/>
                  <w:szCs w:val="16"/>
                  <w:color w:val="0000FF"/>
                </w:rPr>
                <w:t>Supply Agreement, by and among the Registrant and Gerresheimer Regensburg GmbH, dated as of May 8, 2018 (incorporated herein by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20" w:type="dxa"/>
            <w:vAlign w:val="bottom"/>
            <w:gridSpan w:val="10"/>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7">
              <w:r>
                <w:rPr>
                  <w:rFonts w:ascii="Times New Roman" w:cs="Times New Roman" w:eastAsia="Times New Roman" w:hAnsi="Times New Roman"/>
                  <w:sz w:val="16"/>
                  <w:szCs w:val="16"/>
                  <w:color w:val="0000FF"/>
                </w:rPr>
                <w:t>reference to Exhibit 10.1 to the Registrant’s Quarterly Report on Form 10-Q (File No. 001-37783), filed with the Commission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2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7">
              <w:r>
                <w:rPr>
                  <w:rFonts w:ascii="Times New Roman" w:cs="Times New Roman" w:eastAsia="Times New Roman" w:hAnsi="Times New Roman"/>
                  <w:sz w:val="16"/>
                  <w:szCs w:val="16"/>
                  <w:color w:val="0000FF"/>
                </w:rPr>
                <w:t>August 8, 2018).</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10.16</w:t>
            </w:r>
          </w:p>
        </w:tc>
        <w:tc>
          <w:tcPr>
            <w:tcW w:w="1300" w:type="dxa"/>
            <w:vAlign w:val="bottom"/>
            <w:vMerge w:val="restart"/>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0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8920" w:type="dxa"/>
            <w:vAlign w:val="bottom"/>
            <w:gridSpan w:val="29"/>
            <w:vMerge w:val="restart"/>
          </w:tcPr>
          <w:p>
            <w:pPr>
              <w:spacing w:after="0"/>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Change in Control Equity Acceleration Plan, amending the Registrant’s 2016 Equity Incentive Plan (incorporated herein by reference to</w:t>
              </w:r>
            </w:hyperlink>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92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6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Exhibit 10.2 to the Registrant’s Quarterly Report on Form 10-Q (File No. 001-37783), filed with the Commission on August 8, 2018).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6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10.17</w:t>
            </w:r>
          </w:p>
        </w:tc>
        <w:tc>
          <w:tcPr>
            <w:tcW w:w="1300" w:type="dxa"/>
            <w:vAlign w:val="bottom"/>
          </w:tcPr>
          <w:p>
            <w:pPr>
              <w:spacing w:after="0"/>
              <w:rPr>
                <w:sz w:val="24"/>
                <w:szCs w:val="24"/>
                <w:color w:val="auto"/>
              </w:rPr>
            </w:pPr>
          </w:p>
        </w:tc>
        <w:tc>
          <w:tcPr>
            <w:tcW w:w="8920" w:type="dxa"/>
            <w:vAlign w:val="bottom"/>
            <w:gridSpan w:val="29"/>
          </w:tcPr>
          <w:p>
            <w:pPr>
              <w:spacing w:after="0"/>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Third Amendment to License Agreement, by and among the Registrant, Emory University and The Georgia Tech Research Corporation,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6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dated April 1, 2018 (incorporated herein by reference to Exhibit 10.1 to the Registrant’s Quarterly Report on Form 10-Q (File No. 001-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6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August 8,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10.18</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60">
              <w:r>
                <w:rPr>
                  <w:rFonts w:ascii="Times New Roman" w:cs="Times New Roman" w:eastAsia="Times New Roman" w:hAnsi="Times New Roman"/>
                  <w:sz w:val="16"/>
                  <w:szCs w:val="16"/>
                  <w:color w:val="0000FF"/>
                </w:rPr>
                <w:t>License Agreement, by and between the Registrant and Bausch Health Ireland Limited, dated as of October 22, 2019 (incorporated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0">
              <w:r>
                <w:rPr>
                  <w:rFonts w:ascii="Times New Roman" w:cs="Times New Roman" w:eastAsia="Times New Roman" w:hAnsi="Times New Roman"/>
                  <w:sz w:val="16"/>
                  <w:szCs w:val="16"/>
                  <w:color w:val="0000FF"/>
                </w:rPr>
                <w:t>herein by reference to Exhibit 10.26 to the Registrant’s Annual Report on Form 10-K (File No. 001-37783), filed with the Commission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1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0">
              <w:r>
                <w:rPr>
                  <w:rFonts w:ascii="Times New Roman" w:cs="Times New Roman" w:eastAsia="Times New Roman" w:hAnsi="Times New Roman"/>
                  <w:sz w:val="16"/>
                  <w:szCs w:val="16"/>
                  <w:color w:val="0000FF"/>
                </w:rPr>
                <w:t>on March 13, 2020).</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10.19</w:t>
            </w:r>
          </w:p>
        </w:tc>
        <w:tc>
          <w:tcPr>
            <w:tcW w:w="1300" w:type="dxa"/>
            <w:vAlign w:val="bottom"/>
            <w:vMerge w:val="restart"/>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8920" w:type="dxa"/>
            <w:vAlign w:val="bottom"/>
            <w:gridSpan w:val="29"/>
          </w:tcPr>
          <w:p>
            <w:pPr>
              <w:spacing w:after="0"/>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First Amendment to License Agreement, by and between the Registrant and Bausch Health Ireland Limited, dated as of April 27,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1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(incorporated herein by reference to Exhibit 10.1 to the Registrant’s Quarterly Report on Form 10-Q (File No. 001-37783), filed with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1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the Commission on August 10,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10.20</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62">
              <w:r>
                <w:rPr>
                  <w:rFonts w:ascii="Times New Roman" w:cs="Times New Roman" w:eastAsia="Times New Roman" w:hAnsi="Times New Roman"/>
                  <w:sz w:val="16"/>
                  <w:szCs w:val="16"/>
                  <w:color w:val="0000FF"/>
                </w:rPr>
                <w:t>Letter Agreement, by and between the Registrant and George Lasezkay, dated April 16, 2019 (incorporated herein by reference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3"/>
            <w:shd w:val="clear" w:color="auto" w:fill="0000FF"/>
          </w:tcPr>
          <w:p>
            <w:pPr>
              <w:spacing w:after="0" w:line="20" w:lineRule="exact"/>
              <w:rPr>
                <w:sz w:val="1"/>
                <w:szCs w:val="1"/>
                <w:color w:val="auto"/>
              </w:rPr>
            </w:pPr>
          </w:p>
        </w:tc>
        <w:tc>
          <w:tcPr>
            <w:tcW w:w="5500" w:type="dxa"/>
            <w:vAlign w:val="bottom"/>
            <w:tcBorders>
              <w:right w:val="single" w:sz="8" w:color="0000FF"/>
            </w:tcBorders>
            <w:gridSpan w:val="1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2">
              <w:r>
                <w:rPr>
                  <w:rFonts w:ascii="Times New Roman" w:cs="Times New Roman" w:eastAsia="Times New Roman" w:hAnsi="Times New Roman"/>
                  <w:sz w:val="16"/>
                  <w:szCs w:val="16"/>
                  <w:color w:val="0000FF"/>
                </w:rPr>
                <w:t>Exhibit 10.1 to the Registrant’s Current Report on Form 8-K (File No. 001-37783), filed with the Commission on April 17,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3"/>
            <w:shd w:val="clear" w:color="auto" w:fill="0000FF"/>
          </w:tcPr>
          <w:p>
            <w:pPr>
              <w:spacing w:after="0" w:line="20" w:lineRule="exact"/>
              <w:rPr>
                <w:sz w:val="1"/>
                <w:szCs w:val="1"/>
                <w:color w:val="auto"/>
              </w:rPr>
            </w:pPr>
          </w:p>
        </w:tc>
        <w:tc>
          <w:tcPr>
            <w:tcW w:w="5500" w:type="dxa"/>
            <w:vAlign w:val="bottom"/>
            <w:tcBorders>
              <w:right w:val="single" w:sz="8" w:color="0000EE"/>
            </w:tcBorders>
            <w:gridSpan w:val="1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10.21</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Amendment to Offer Letter Agreement, by and between the Registrant and George Lasezkay, dated as of August 6, 2019 (incorporated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3"/>
            <w:shd w:val="clear" w:color="auto" w:fill="0000FF"/>
          </w:tcPr>
          <w:p>
            <w:pPr>
              <w:spacing w:after="0" w:line="20" w:lineRule="exact"/>
              <w:rPr>
                <w:sz w:val="1"/>
                <w:szCs w:val="1"/>
                <w:color w:val="auto"/>
              </w:rPr>
            </w:pPr>
          </w:p>
        </w:tc>
        <w:tc>
          <w:tcPr>
            <w:tcW w:w="5600" w:type="dxa"/>
            <w:vAlign w:val="bottom"/>
            <w:gridSpan w:val="1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herein by reference to Exhibit 10.3 to the Registrant’s Quarterly Report on Form 10-Q (File No. 001-37783), filed with the Commission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3"/>
            <w:shd w:val="clear" w:color="auto" w:fill="0000FF"/>
          </w:tcPr>
          <w:p>
            <w:pPr>
              <w:spacing w:after="0" w:line="20" w:lineRule="exact"/>
              <w:rPr>
                <w:sz w:val="1"/>
                <w:szCs w:val="1"/>
                <w:color w:val="auto"/>
              </w:rPr>
            </w:pPr>
          </w:p>
        </w:tc>
        <w:tc>
          <w:tcPr>
            <w:tcW w:w="5600" w:type="dxa"/>
            <w:vAlign w:val="bottom"/>
            <w:gridSpan w:val="1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on August 8,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60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10.22</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r>
              <w:rPr>
                <w:rFonts w:ascii="Wingdings" w:cs="Wingdings" w:eastAsia="Wingdings" w:hAnsi="Wingdings"/>
                <w:sz w:val="16"/>
                <w:szCs w:val="16"/>
                <w:b w:val="1"/>
                <w:bCs w:val="1"/>
                <w:color w:val="auto"/>
              </w:rPr>
              <w:t>w</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64">
              <w:r>
                <w:rPr>
                  <w:rFonts w:ascii="Times New Roman" w:cs="Times New Roman" w:eastAsia="Times New Roman" w:hAnsi="Times New Roman"/>
                  <w:sz w:val="16"/>
                  <w:szCs w:val="16"/>
                  <w:color w:val="0000FF"/>
                </w:rPr>
                <w:t>Option and License Agreement by and between the Registrant and REGENXBIO Inc., dated as of August 29, 2019 (incorporated 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00" w:type="dxa"/>
            <w:vAlign w:val="bottom"/>
            <w:gridSpan w:val="1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4">
              <w:r>
                <w:rPr>
                  <w:rFonts w:ascii="Times New Roman" w:cs="Times New Roman" w:eastAsia="Times New Roman" w:hAnsi="Times New Roman"/>
                  <w:sz w:val="16"/>
                  <w:szCs w:val="16"/>
                  <w:color w:val="0000FF"/>
                </w:rPr>
                <w:t>by reference to Exhibit 10.30 to the Registrant’s Annual Report on Form 10-K (File No. 001-37783), filed with the Commission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00" w:type="dxa"/>
            <w:vAlign w:val="bottom"/>
            <w:gridSpan w:val="1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4">
              <w:r>
                <w:rPr>
                  <w:rFonts w:ascii="Times New Roman" w:cs="Times New Roman" w:eastAsia="Times New Roman" w:hAnsi="Times New Roman"/>
                  <w:sz w:val="16"/>
                  <w:szCs w:val="16"/>
                  <w:color w:val="0000FF"/>
                </w:rPr>
                <w:t>March 13,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vMerge w:val="restart"/>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10.23</w:t>
            </w:r>
          </w:p>
        </w:tc>
        <w:tc>
          <w:tcPr>
            <w:tcW w:w="1300" w:type="dxa"/>
            <w:vAlign w:val="bottom"/>
            <w:vMerge w:val="continue"/>
          </w:tcPr>
          <w:p>
            <w:pPr>
              <w:spacing w:after="0"/>
              <w:rPr>
                <w:sz w:val="24"/>
                <w:szCs w:val="24"/>
                <w:color w:val="auto"/>
              </w:rPr>
            </w:pPr>
          </w:p>
        </w:tc>
        <w:tc>
          <w:tcPr>
            <w:tcW w:w="8920" w:type="dxa"/>
            <w:vAlign w:val="bottom"/>
            <w:gridSpan w:val="29"/>
          </w:tcPr>
          <w:p>
            <w:pPr>
              <w:spacing w:after="0"/>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License Agreement by and between the Registrant and Arctic Vision (Hong Kong) Limited, dated as of March 20, 2020 (incorporated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60" w:type="dxa"/>
            <w:vAlign w:val="bottom"/>
            <w:gridSpan w:val="1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herein by reference to Exhibit 10.2 to the Registrant’s Quarterly Report on Form 10-Q (File No. 001-37783), filed with the Commission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60" w:type="dxa"/>
            <w:vAlign w:val="bottom"/>
            <w:gridSpan w:val="15"/>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on May 8,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10.24</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9"/>
          </w:tcPr>
          <w:p>
            <w:pPr>
              <w:spacing w:after="0"/>
              <w:rPr>
                <w:rFonts w:ascii="Times New Roman" w:cs="Times New Roman" w:eastAsia="Times New Roman" w:hAnsi="Times New Roman"/>
                <w:sz w:val="16"/>
                <w:szCs w:val="16"/>
                <w:color w:val="0000FF"/>
              </w:rPr>
            </w:pPr>
            <w:hyperlink r:id="rId366">
              <w:r>
                <w:rPr>
                  <w:rFonts w:ascii="Times New Roman" w:cs="Times New Roman" w:eastAsia="Times New Roman" w:hAnsi="Times New Roman"/>
                  <w:sz w:val="16"/>
                  <w:szCs w:val="16"/>
                  <w:color w:val="0000FF"/>
                </w:rPr>
                <w:t>Executive Employment Agreement, by and between the Registrant and Thomas Ciulla, dated as of June 24, 2019 (incorporated 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60" w:type="dxa"/>
            <w:vAlign w:val="bottom"/>
            <w:gridSpan w:val="15"/>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6">
              <w:r>
                <w:rPr>
                  <w:rFonts w:ascii="Times New Roman" w:cs="Times New Roman" w:eastAsia="Times New Roman" w:hAnsi="Times New Roman"/>
                  <w:sz w:val="16"/>
                  <w:szCs w:val="16"/>
                  <w:color w:val="0000FF"/>
                </w:rPr>
                <w:t>by reference to Exhibit 10.2 to the Registrant’s Quarterly Report on Form 10-Q (File No. 001-37783), filed with the Commission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60" w:type="dxa"/>
            <w:vAlign w:val="bottom"/>
            <w:gridSpan w:val="15"/>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6">
              <w:r>
                <w:rPr>
                  <w:rFonts w:ascii="Times New Roman" w:cs="Times New Roman" w:eastAsia="Times New Roman" w:hAnsi="Times New Roman"/>
                  <w:sz w:val="16"/>
                  <w:szCs w:val="16"/>
                  <w:color w:val="0000FF"/>
                </w:rPr>
                <w:t>August 10,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vMerge w:val="restart"/>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10.25</w:t>
            </w:r>
          </w:p>
        </w:tc>
        <w:tc>
          <w:tcPr>
            <w:tcW w:w="1300" w:type="dxa"/>
            <w:vAlign w:val="bottom"/>
            <w:vMerge w:val="continue"/>
          </w:tcPr>
          <w:p>
            <w:pPr>
              <w:spacing w:after="0"/>
              <w:rPr>
                <w:sz w:val="24"/>
                <w:szCs w:val="24"/>
                <w:color w:val="auto"/>
              </w:rPr>
            </w:pPr>
          </w:p>
        </w:tc>
        <w:tc>
          <w:tcPr>
            <w:tcW w:w="8920" w:type="dxa"/>
            <w:vAlign w:val="bottom"/>
            <w:gridSpan w:val="29"/>
          </w:tcPr>
          <w:p>
            <w:pPr>
              <w:spacing w:after="0"/>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First Amendment to the License Agreement, by and between the Registrant and Arctic Vision (Hong Kong) Limited, dated as of August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7"/>
            <w:shd w:val="clear" w:color="auto" w:fill="0000FF"/>
          </w:tcPr>
          <w:p>
            <w:pPr>
              <w:spacing w:after="0" w:line="20" w:lineRule="exact"/>
              <w:rPr>
                <w:sz w:val="1"/>
                <w:szCs w:val="1"/>
                <w:color w:val="auto"/>
              </w:rPr>
            </w:pPr>
          </w:p>
        </w:tc>
        <w:tc>
          <w:tcPr>
            <w:tcW w:w="5780" w:type="dxa"/>
            <w:vAlign w:val="bottom"/>
            <w:gridSpan w:val="18"/>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15, 2021 (incorporated herein by reference to Exhibit 10.1 to the Registrant's Quarterly Report on Form-10 (File No. 001-37783),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7"/>
            <w:shd w:val="clear" w:color="auto" w:fill="0000FF"/>
          </w:tcPr>
          <w:p>
            <w:pPr>
              <w:spacing w:after="0" w:line="20" w:lineRule="exact"/>
              <w:rPr>
                <w:sz w:val="1"/>
                <w:szCs w:val="1"/>
                <w:color w:val="auto"/>
              </w:rPr>
            </w:pPr>
          </w:p>
        </w:tc>
        <w:tc>
          <w:tcPr>
            <w:tcW w:w="5780" w:type="dxa"/>
            <w:vAlign w:val="bottom"/>
            <w:gridSpan w:val="18"/>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9"/>
          </w:tcPr>
          <w:p>
            <w:pPr>
              <w:spacing w:after="0" w:line="183" w:lineRule="exact"/>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with the Commission on November 10, 2021.</w:t>
              </w:r>
            </w:hyperlink>
          </w:p>
        </w:tc>
        <w:tc>
          <w:tcPr>
            <w:tcW w:w="0" w:type="dxa"/>
            <w:vAlign w:val="bottom"/>
          </w:tcPr>
          <w:p>
            <w:pPr>
              <w:spacing w:after="0"/>
              <w:rPr>
                <w:sz w:val="1"/>
                <w:szCs w:val="1"/>
                <w:color w:val="auto"/>
              </w:rPr>
            </w:pPr>
          </w:p>
        </w:tc>
      </w:tr>
      <w:tr>
        <w:trPr>
          <w:trHeight w:val="588"/>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top w:val="single" w:sz="8" w:color="0000FF"/>
            </w:tcBorders>
            <w:gridSpan w:val="7"/>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03"/>
        </w:trPr>
        <w:tc>
          <w:tcPr>
            <w:tcW w:w="10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10.26</w:t>
            </w:r>
          </w:p>
        </w:tc>
        <w:tc>
          <w:tcPr>
            <w:tcW w:w="1180" w:type="dxa"/>
            <w:vAlign w:val="bottom"/>
          </w:tcPr>
          <w:p>
            <w:pPr>
              <w:jc w:val="right"/>
              <w:ind w:right="355"/>
              <w:spacing w:after="0" w:line="183" w:lineRule="exact"/>
              <w:rPr>
                <w:sz w:val="20"/>
                <w:szCs w:val="20"/>
                <w:color w:val="auto"/>
              </w:rPr>
            </w:pPr>
            <w:r>
              <w:rPr>
                <w:rFonts w:ascii="Times New Roman" w:cs="Times New Roman" w:eastAsia="Times New Roman" w:hAnsi="Times New Roman"/>
                <w:sz w:val="18"/>
                <w:szCs w:val="18"/>
                <w:color w:val="auto"/>
              </w:rPr>
              <w:t>##</w:t>
            </w: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Second Amendment to the License Agreement, by and between the Registrant and Arctic Vision (Hong Kong) Limited, dated as of</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September 9, 2021 (incorporated herein by reference to Exhibit 10.2 to the Registrant's Quarterly Report on Form 10-Q (File No. 001-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November 10,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1180" w:type="dxa"/>
            <w:vAlign w:val="bottom"/>
          </w:tcPr>
          <w:p>
            <w:pPr>
              <w:spacing w:after="0"/>
              <w:rPr>
                <w:sz w:val="24"/>
                <w:szCs w:val="24"/>
                <w:color w:val="auto"/>
              </w:rPr>
            </w:pPr>
          </w:p>
        </w:tc>
        <w:tc>
          <w:tcPr>
            <w:tcW w:w="8860" w:type="dxa"/>
            <w:vAlign w:val="bottom"/>
            <w:gridSpan w:val="20"/>
          </w:tcPr>
          <w:p>
            <w:pPr>
              <w:spacing w:after="0"/>
              <w:rPr>
                <w:rFonts w:ascii="Times New Roman" w:cs="Times New Roman" w:eastAsia="Times New Roman" w:hAnsi="Times New Roman"/>
                <w:sz w:val="16"/>
                <w:szCs w:val="16"/>
                <w:color w:val="0000FF"/>
              </w:rPr>
            </w:pPr>
            <w:hyperlink r:id="rId372">
              <w:r>
                <w:rPr>
                  <w:rFonts w:ascii="Times New Roman" w:cs="Times New Roman" w:eastAsia="Times New Roman" w:hAnsi="Times New Roman"/>
                  <w:sz w:val="16"/>
                  <w:szCs w:val="16"/>
                  <w:color w:val="0000FF"/>
                </w:rPr>
                <w:t>Second Amendment to the License Agreement, by and between the Registrant and Bausch + Lomb Ireland Limited (as assignee of</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2">
              <w:r>
                <w:rPr>
                  <w:rFonts w:ascii="Times New Roman" w:cs="Times New Roman" w:eastAsia="Times New Roman" w:hAnsi="Times New Roman"/>
                  <w:sz w:val="16"/>
                  <w:szCs w:val="16"/>
                  <w:color w:val="0000FF"/>
                </w:rPr>
                <w:t>Bausch Health Ireland Limited), dated as of September 27, 2021 (incorporated herein by reference to Exhibit 10.3 to the Registrant's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2">
              <w:r>
                <w:rPr>
                  <w:rFonts w:ascii="Times New Roman" w:cs="Times New Roman" w:eastAsia="Times New Roman" w:hAnsi="Times New Roman"/>
                  <w:sz w:val="16"/>
                  <w:szCs w:val="16"/>
                  <w:color w:val="0000FF"/>
                </w:rPr>
                <w:t>Quarterly Report on Form 10-Q (File No. 001-37783), filed with the Commission on November 10,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vMerge w:val="restart"/>
          </w:tcPr>
          <w:p>
            <w:pPr>
              <w:jc w:val="right"/>
              <w:ind w:right="355"/>
              <w:spacing w:after="0"/>
              <w:rPr>
                <w:sz w:val="20"/>
                <w:szCs w:val="20"/>
                <w:color w:val="auto"/>
              </w:rPr>
            </w:pPr>
            <w:r>
              <w:rPr>
                <w:rFonts w:ascii="Times New Roman" w:cs="Times New Roman" w:eastAsia="Times New Roman" w:hAnsi="Times New Roman"/>
                <w:sz w:val="18"/>
                <w:szCs w:val="18"/>
                <w:color w:val="auto"/>
              </w:rPr>
              <w:t>##</w:t>
            </w:r>
            <w:r>
              <w:rPr>
                <w:rFonts w:ascii="Wingdings" w:cs="Wingdings" w:eastAsia="Wingdings" w:hAnsi="Wingdings"/>
                <w:sz w:val="16"/>
                <w:szCs w:val="16"/>
                <w:b w:val="1"/>
                <w:bCs w:val="1"/>
                <w:color w:val="auto"/>
              </w:rPr>
              <w:t>w</w:t>
            </w: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1180" w:type="dxa"/>
            <w:vAlign w:val="bottom"/>
            <w:vMerge w:val="continue"/>
          </w:tcPr>
          <w:p>
            <w:pPr>
              <w:spacing w:after="0"/>
              <w:rPr>
                <w:sz w:val="24"/>
                <w:szCs w:val="24"/>
                <w:color w:val="auto"/>
              </w:rPr>
            </w:pPr>
          </w:p>
        </w:tc>
        <w:tc>
          <w:tcPr>
            <w:tcW w:w="8860" w:type="dxa"/>
            <w:vAlign w:val="bottom"/>
            <w:gridSpan w:val="20"/>
          </w:tcPr>
          <w:p>
            <w:pPr>
              <w:spacing w:after="0"/>
              <w:rPr>
                <w:rFonts w:ascii="Times New Roman" w:cs="Times New Roman" w:eastAsia="Times New Roman" w:hAnsi="Times New Roman"/>
                <w:sz w:val="16"/>
                <w:szCs w:val="16"/>
                <w:color w:val="0000FF"/>
              </w:rPr>
            </w:pPr>
            <w:hyperlink r:id="rId373">
              <w:r>
                <w:rPr>
                  <w:rFonts w:ascii="Times New Roman" w:cs="Times New Roman" w:eastAsia="Times New Roman" w:hAnsi="Times New Roman"/>
                  <w:sz w:val="16"/>
                  <w:szCs w:val="16"/>
                  <w:color w:val="0000FF"/>
                </w:rPr>
                <w:t>Purchase and Sale Agreement, by and among Clearside Royalty LLC, Healthcare Royalty Partners IV, L.P. and HCR Collateral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3">
              <w:r>
                <w:rPr>
                  <w:rFonts w:ascii="Times New Roman" w:cs="Times New Roman" w:eastAsia="Times New Roman" w:hAnsi="Times New Roman"/>
                  <w:sz w:val="16"/>
                  <w:szCs w:val="16"/>
                  <w:color w:val="0000FF"/>
                </w:rPr>
                <w:t>Management, LLC (in its capacity as agent for Purchaser), dated as of August 8, 2022 (incorporated herein by reference to Exhibit 10.1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3">
              <w:r>
                <w:rPr>
                  <w:rFonts w:ascii="Times New Roman" w:cs="Times New Roman" w:eastAsia="Times New Roman" w:hAnsi="Times New Roman"/>
                  <w:sz w:val="16"/>
                  <w:szCs w:val="16"/>
                  <w:color w:val="0000FF"/>
                </w:rPr>
                <w:t>to the Registrant's Quarterly Report on Form 10-Q (File No. 001-37783), filed with the Commission on November 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w:t>
            </w:r>
            <w:r>
              <w:rPr>
                <w:rFonts w:ascii="Times New Roman" w:cs="Times New Roman" w:eastAsia="Times New Roman" w:hAnsi="Times New Roman"/>
                <w:sz w:val="16"/>
                <w:szCs w:val="16"/>
                <w:color w:val="0000FF"/>
              </w:rPr>
              <w:t>irst Amendment to Office Lease Agreement, by and between the Registrant and Radiant-North Point Properties, LLLP, dated as of</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November 1, 2022.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vMerge w:val="restart"/>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1180" w:type="dxa"/>
            <w:vAlign w:val="bottom"/>
            <w:vMerge w:val="continue"/>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First Amendment to Option and License Agreement, by and between the Registrant and REGENXBIO, Inc., dated as of January 14,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FF"/>
                <w:w w:val="99"/>
              </w:rPr>
              <w:t>2023.</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gridSpan w:val="20"/>
          </w:tcPr>
          <w:p>
            <w:pPr>
              <w:spacing w:after="0"/>
              <w:rPr>
                <w:rFonts w:ascii="Times New Roman" w:cs="Times New Roman" w:eastAsia="Times New Roman" w:hAnsi="Times New Roman"/>
                <w:sz w:val="16"/>
                <w:szCs w:val="16"/>
                <w:color w:val="0000FF"/>
              </w:rPr>
            </w:pPr>
            <w:hyperlink r:id="rId374">
              <w:r>
                <w:rPr>
                  <w:rFonts w:ascii="Times New Roman" w:cs="Times New Roman" w:eastAsia="Times New Roman" w:hAnsi="Times New Roman"/>
                  <w:sz w:val="16"/>
                  <w:szCs w:val="16"/>
                  <w:color w:val="0000FF"/>
                </w:rPr>
                <w:t>Consulting Agreement, by and between the Registrant and Thomas Ciulla, dated as of February 17, 2023 (incorporated herein by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4">
              <w:r>
                <w:rPr>
                  <w:rFonts w:ascii="Times New Roman" w:cs="Times New Roman" w:eastAsia="Times New Roman" w:hAnsi="Times New Roman"/>
                  <w:sz w:val="16"/>
                  <w:szCs w:val="16"/>
                  <w:color w:val="0000FF"/>
                </w:rPr>
                <w:t>reference to Exhibit 10.1 to the (incorporated herein by reference to Exhibit 10.1 to the Registrant’s Current Report on Form 8-K (File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rFonts w:ascii="Times New Roman" w:cs="Times New Roman" w:eastAsia="Times New Roman" w:hAnsi="Times New Roman"/>
                <w:sz w:val="16"/>
                <w:szCs w:val="16"/>
                <w:color w:val="0000FF"/>
              </w:rPr>
            </w:pPr>
            <w:hyperlink r:id="rId374">
              <w:r>
                <w:rPr>
                  <w:rFonts w:ascii="Times New Roman" w:cs="Times New Roman" w:eastAsia="Times New Roman" w:hAnsi="Times New Roman"/>
                  <w:sz w:val="16"/>
                  <w:szCs w:val="16"/>
                  <w:color w:val="0000FF"/>
                </w:rPr>
                <w:t>No. 001-37783), filed with the Commission on February 21, 2023).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Power of Attorney (included on signature page).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0" w:type="dxa"/>
            <w:vAlign w:val="bottom"/>
            <w:tcBorders>
              <w:right w:val="single" w:sz="8" w:color="0000EE"/>
            </w:tcBorders>
            <w:gridSpan w:val="2"/>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promulgated under the Securities Exchange Act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4660" w:type="dxa"/>
            <w:vAlign w:val="bottom"/>
            <w:tcBorders>
              <w:right w:val="single" w:sz="8" w:color="0000FF"/>
            </w:tcBorders>
            <w:gridSpan w:val="6"/>
            <w:shd w:val="clear" w:color="auto" w:fill="0000FF"/>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4660" w:type="dxa"/>
            <w:vAlign w:val="bottom"/>
            <w:tcBorders>
              <w:right w:val="single" w:sz="8" w:color="0000EE"/>
            </w:tcBorders>
            <w:gridSpan w:val="6"/>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promulgated under the Securities Exchange Act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4660" w:type="dxa"/>
            <w:vAlign w:val="bottom"/>
            <w:tcBorders>
              <w:right w:val="single" w:sz="8" w:color="0000EE"/>
            </w:tcBorders>
            <w:gridSpan w:val="6"/>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Rules 13a-14(b) and 15d-14(b) promulgated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under the Securities Exchange Act of 1934 and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280" w:type="dxa"/>
            <w:vAlign w:val="bottom"/>
            <w:gridSpan w:val="1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6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of 2002.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83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18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337"/>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18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18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18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18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18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180" w:type="dxa"/>
            <w:vAlign w:val="bottom"/>
          </w:tcPr>
          <w:p>
            <w:pPr>
              <w:spacing w:after="0"/>
              <w:rPr>
                <w:sz w:val="24"/>
                <w:szCs w:val="24"/>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35"/>
        </w:trPr>
        <w:tc>
          <w:tcPr>
            <w:tcW w:w="10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20" w:hanging="658"/>
        <w:spacing w:after="0"/>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46" w:lineRule="exact"/>
        <w:rPr>
          <w:sz w:val="20"/>
          <w:szCs w:val="20"/>
          <w:color w:val="auto"/>
        </w:rPr>
      </w:pPr>
    </w:p>
    <w:p>
      <w:pPr>
        <w:ind w:left="720" w:hanging="658"/>
        <w:spacing w:after="0"/>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46" w:lineRule="exact"/>
        <w:rPr>
          <w:sz w:val="20"/>
          <w:szCs w:val="20"/>
          <w:color w:val="auto"/>
        </w:rPr>
      </w:pPr>
    </w:p>
    <w:p>
      <w:pPr>
        <w:ind w:left="720" w:right="300" w:hanging="658"/>
        <w:spacing w:after="0" w:line="281" w:lineRule="auto"/>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granted with respect to portions of this exhibit (indicated by asterisks) and those portions have been separately filed with the Securities and Exchange Commission.</w:t>
      </w:r>
    </w:p>
    <w:p>
      <w:pPr>
        <w:spacing w:after="0" w:line="1" w:lineRule="exact"/>
        <w:rPr>
          <w:sz w:val="20"/>
          <w:szCs w:val="20"/>
          <w:color w:val="auto"/>
        </w:rPr>
      </w:pPr>
    </w:p>
    <w:p>
      <w:pPr>
        <w:jc w:val="both"/>
        <w:ind w:left="720" w:right="360" w:hanging="658"/>
        <w:spacing w:after="0" w:line="275"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 w:lineRule="exact"/>
        <w:rPr>
          <w:sz w:val="20"/>
          <w:szCs w:val="20"/>
          <w:color w:val="auto"/>
        </w:rPr>
      </w:pPr>
    </w:p>
    <w:p>
      <w:pPr>
        <w:ind w:left="720" w:right="200" w:hanging="658"/>
        <w:spacing w:after="0" w:line="275"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601(b)(10)(iv) of Regulation S-K promulgated by the Securities and Exchange Commission, certain portions of this exhibit (indicated by asterisks) have been omitted because they are not material and are the type that the Registrant treats as private or confidential. The Registrant hereby agrees to furnish supplementally to the Securities and Exchange Commission, upon its request, an unredacted copy of this exhibit.</w:t>
      </w:r>
    </w:p>
    <w:p>
      <w:pPr>
        <w:spacing w:after="0" w:line="2" w:lineRule="exact"/>
        <w:rPr>
          <w:sz w:val="20"/>
          <w:szCs w:val="20"/>
          <w:color w:val="auto"/>
        </w:rPr>
      </w:pPr>
    </w:p>
    <w:p>
      <w:pPr>
        <w:ind w:left="720" w:right="160" w:hanging="658"/>
        <w:spacing w:after="0" w:line="298" w:lineRule="auto"/>
        <w:tabs>
          <w:tab w:leader="none" w:pos="720" w:val="left"/>
        </w:tabs>
        <w:numPr>
          <w:ilvl w:val="0"/>
          <w:numId w:val="47"/>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Certain of the exhibits and schedules to this exhibit have been omitted in accordance with Regulation S-K Item 601. The Registrant agrees to furnish a copy of all omitted exhibits and schedules to the SEC upon request.</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color w:val="auto"/>
        </w:rPr>
        <w:t>CLEARSIDE BIOMEDICAL, INC.</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420" w:type="dxa"/>
            <w:vAlign w:val="bottom"/>
          </w:tcPr>
          <w:p>
            <w:pPr>
              <w:ind w:left="6880"/>
              <w:spacing w:after="0"/>
              <w:rPr>
                <w:sz w:val="20"/>
                <w:szCs w:val="20"/>
                <w:color w:val="auto"/>
              </w:rPr>
            </w:pPr>
            <w:r>
              <w:rPr>
                <w:rFonts w:ascii="Times New Roman" w:cs="Times New Roman" w:eastAsia="Times New Roman" w:hAnsi="Times New Roman"/>
                <w:sz w:val="16"/>
                <w:szCs w:val="16"/>
                <w:color w:val="auto"/>
              </w:rPr>
              <w:t>By:</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George Lasezkay, Pharm.D., J.D.</w:t>
            </w:r>
          </w:p>
        </w:tc>
      </w:tr>
      <w:tr>
        <w:trPr>
          <w:trHeight w:val="264"/>
        </w:trPr>
        <w:tc>
          <w:tcPr>
            <w:tcW w:w="74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George Lasezkay, Pharm.D., J.D.</w:t>
            </w: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March 14, 2023</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bl>
    <w:p>
      <w:pPr>
        <w:spacing w:after="0" w:line="2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George Lasezkay and Charles A. Deignan,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60" w:type="dxa"/>
            <w:vAlign w:val="bottom"/>
            <w:tcBorders>
              <w:top w:val="single" w:sz="8" w:color="auto"/>
              <w:bottom w:val="single" w:sz="8" w:color="auto"/>
            </w:tcBorders>
          </w:tcPr>
          <w:p>
            <w:pPr>
              <w:spacing w:after="0"/>
              <w:rPr>
                <w:sz w:val="22"/>
                <w:szCs w:val="22"/>
                <w:color w:val="auto"/>
              </w:rPr>
            </w:pPr>
          </w:p>
        </w:tc>
        <w:tc>
          <w:tcPr>
            <w:tcW w:w="4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364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78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George Lasezkay, Pharm.D., J.D.</w:t>
            </w:r>
          </w:p>
        </w:tc>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George Lasezkay, Pharm.D., J.D.</w:t>
            </w:r>
          </w:p>
        </w:tc>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7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Charles A. Deignan</w:t>
            </w:r>
          </w:p>
        </w:tc>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Chief Financial Officer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454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rPr>
              <w:t>Charles A. Deignan</w:t>
            </w:r>
          </w:p>
        </w:tc>
        <w:tc>
          <w:tcPr>
            <w:tcW w:w="3640" w:type="dxa"/>
            <w:vAlign w:val="bottom"/>
          </w:tcPr>
          <w:p>
            <w:pPr>
              <w:ind w:left="340"/>
              <w:spacing w:after="0" w:line="173" w:lineRule="exact"/>
              <w:rPr>
                <w:sz w:val="20"/>
                <w:szCs w:val="20"/>
                <w:color w:val="auto"/>
              </w:rPr>
            </w:pPr>
            <w:r>
              <w:rPr>
                <w:rFonts w:ascii="Times New Roman" w:cs="Times New Roman" w:eastAsia="Times New Roman" w:hAnsi="Times New Roman"/>
                <w:sz w:val="16"/>
                <w:szCs w:val="16"/>
                <w:i w:val="1"/>
                <w:iCs w:val="1"/>
                <w:color w:val="auto"/>
              </w:rPr>
              <w:t>(Principal Financial Officer and Principal</w:t>
            </w: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Accounting Officer)</w:t>
            </w: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William D. Humphries</w:t>
            </w:r>
          </w:p>
        </w:tc>
        <w:tc>
          <w:tcPr>
            <w:tcW w:w="36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Director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William D. Humphries</w:t>
            </w:r>
          </w:p>
        </w:tc>
        <w:tc>
          <w:tcPr>
            <w:tcW w:w="3640" w:type="dxa"/>
            <w:vAlign w:val="bottom"/>
            <w:vMerge w:val="continue"/>
          </w:tcPr>
          <w:p>
            <w:pPr>
              <w:spacing w:after="0"/>
              <w:rPr>
                <w:sz w:val="18"/>
                <w:szCs w:val="18"/>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Richard Croarkin</w:t>
            </w:r>
          </w:p>
        </w:tc>
        <w:tc>
          <w:tcPr>
            <w:tcW w:w="36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Director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Richard Croarkin</w:t>
            </w:r>
          </w:p>
        </w:tc>
        <w:tc>
          <w:tcPr>
            <w:tcW w:w="3640" w:type="dxa"/>
            <w:vAlign w:val="bottom"/>
            <w:vMerge w:val="continue"/>
          </w:tcPr>
          <w:p>
            <w:pPr>
              <w:spacing w:after="0"/>
              <w:rPr>
                <w:sz w:val="18"/>
                <w:szCs w:val="18"/>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Jeffrey L. Edwards</w:t>
            </w:r>
          </w:p>
        </w:tc>
        <w:tc>
          <w:tcPr>
            <w:tcW w:w="36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Director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Jeffrey L. Edwards</w:t>
            </w:r>
          </w:p>
        </w:tc>
        <w:tc>
          <w:tcPr>
            <w:tcW w:w="3640" w:type="dxa"/>
            <w:vAlign w:val="bottom"/>
            <w:vMerge w:val="continue"/>
          </w:tcPr>
          <w:p>
            <w:pPr>
              <w:spacing w:after="0"/>
              <w:rPr>
                <w:sz w:val="18"/>
                <w:szCs w:val="18"/>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448"/>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Nancy J. Hutson</w:t>
            </w:r>
          </w:p>
        </w:tc>
        <w:tc>
          <w:tcPr>
            <w:tcW w:w="36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Director</w:t>
            </w:r>
          </w:p>
        </w:tc>
        <w:tc>
          <w:tcPr>
            <w:tcW w:w="27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Nancy J. Hutson</w:t>
            </w:r>
          </w:p>
        </w:tc>
        <w:tc>
          <w:tcPr>
            <w:tcW w:w="364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 Christy L. Shaffer, Ph.D.</w:t>
            </w:r>
          </w:p>
        </w:tc>
        <w:tc>
          <w:tcPr>
            <w:tcW w:w="3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Christy L. Shaffer, Ph.D.</w:t>
            </w:r>
          </w:p>
        </w:tc>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Director</w:t>
            </w:r>
          </w:p>
        </w:tc>
        <w:tc>
          <w:tcPr>
            <w:tcW w:w="2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/s/Clay B. Thorp</w:t>
            </w:r>
          </w:p>
        </w:tc>
        <w:tc>
          <w:tcPr>
            <w:tcW w:w="3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Clay B. Thorp</w:t>
            </w:r>
          </w:p>
        </w:tc>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Director</w:t>
            </w: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r>
        <w:trPr>
          <w:trHeight w:val="661"/>
        </w:trPr>
        <w:tc>
          <w:tcPr>
            <w:tcW w:w="6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/s/Benjamin R. Yerxa</w:t>
            </w:r>
          </w:p>
        </w:tc>
        <w:tc>
          <w:tcPr>
            <w:tcW w:w="3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Benjamin R. Yerxa</w:t>
            </w:r>
          </w:p>
        </w:tc>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Director</w:t>
            </w: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March 14,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color w:val="auto"/>
        </w:rPr>
        <w:t>Exhibit 10.29</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2323"/>
        </w:rPr>
        <w:t>FIRST AMENDMENT TO OFFICE LEASE AGREEMENT</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232323"/>
        </w:rPr>
        <w:t xml:space="preserve">THIS FIRST AMENDMENT TO OFFICE LEASE AGREEMENT (this </w:t>
      </w:r>
      <w:r>
        <w:rPr>
          <w:rFonts w:ascii="Times New Roman" w:cs="Times New Roman" w:eastAsia="Times New Roman" w:hAnsi="Times New Roman"/>
          <w:sz w:val="17"/>
          <w:szCs w:val="17"/>
          <w:b w:val="1"/>
          <w:bCs w:val="1"/>
          <w:color w:val="232323"/>
        </w:rPr>
        <w:t>"First Amendment")</w:t>
      </w:r>
      <w:r>
        <w:rPr>
          <w:rFonts w:ascii="Times New Roman" w:cs="Times New Roman" w:eastAsia="Times New Roman" w:hAnsi="Times New Roman"/>
          <w:sz w:val="19"/>
          <w:szCs w:val="19"/>
          <w:color w:val="232323"/>
        </w:rPr>
        <w:t xml:space="preserve"> is</w:t>
      </w:r>
    </w:p>
    <w:p>
      <w:pPr>
        <w:spacing w:after="0" w:line="18" w:lineRule="exact"/>
        <w:rPr>
          <w:sz w:val="20"/>
          <w:szCs w:val="20"/>
          <w:color w:val="auto"/>
        </w:rPr>
      </w:pPr>
    </w:p>
    <w:p>
      <w:pPr>
        <w:jc w:val="both"/>
        <w:ind w:left="100" w:right="160" w:firstLine="10"/>
        <w:spacing w:after="0" w:line="241" w:lineRule="auto"/>
        <w:rPr>
          <w:sz w:val="20"/>
          <w:szCs w:val="20"/>
          <w:color w:val="auto"/>
        </w:rPr>
      </w:pPr>
      <w:r>
        <w:rPr>
          <w:rFonts w:ascii="Times New Roman" w:cs="Times New Roman" w:eastAsia="Times New Roman" w:hAnsi="Times New Roman"/>
          <w:sz w:val="19"/>
          <w:szCs w:val="19"/>
          <w:color w:val="232323"/>
        </w:rPr>
        <w:t xml:space="preserve">made and entered into effective as of the 1st day of November, 2022, by and between RADIANT-NORTH POINT PROPERTIES, LLLP, a Delaware limited liability limited partnership (as </w:t>
      </w:r>
      <w:r>
        <w:rPr>
          <w:rFonts w:ascii="Times New Roman" w:cs="Times New Roman" w:eastAsia="Times New Roman" w:hAnsi="Times New Roman"/>
          <w:sz w:val="17"/>
          <w:szCs w:val="17"/>
          <w:b w:val="1"/>
          <w:bCs w:val="1"/>
          <w:color w:val="232323"/>
        </w:rPr>
        <w:t>"Landlord"),</w:t>
      </w:r>
      <w:r>
        <w:rPr>
          <w:rFonts w:ascii="Times New Roman" w:cs="Times New Roman" w:eastAsia="Times New Roman" w:hAnsi="Times New Roman"/>
          <w:sz w:val="19"/>
          <w:szCs w:val="19"/>
          <w:color w:val="232323"/>
        </w:rPr>
        <w:t xml:space="preserve"> and CLEARSIDE BIOMEDICAL, INC., a Delaware corporation (as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232323"/>
        </w:rPr>
        <w:t>"Tenant").</w:t>
      </w: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232323"/>
        </w:rPr>
        <w:t>WITNESSETH:</w:t>
      </w:r>
    </w:p>
    <w:p>
      <w:pPr>
        <w:spacing w:after="0" w:line="221" w:lineRule="exact"/>
        <w:rPr>
          <w:sz w:val="20"/>
          <w:szCs w:val="20"/>
          <w:color w:val="auto"/>
        </w:rPr>
      </w:pPr>
    </w:p>
    <w:p>
      <w:pPr>
        <w:jc w:val="both"/>
        <w:ind w:left="80" w:right="160" w:firstLine="734"/>
        <w:spacing w:after="0" w:line="230" w:lineRule="auto"/>
        <w:rPr>
          <w:sz w:val="20"/>
          <w:szCs w:val="20"/>
          <w:color w:val="auto"/>
        </w:rPr>
      </w:pPr>
      <w:r>
        <w:rPr>
          <w:rFonts w:ascii="Times New Roman" w:cs="Times New Roman" w:eastAsia="Times New Roman" w:hAnsi="Times New Roman"/>
          <w:sz w:val="19"/>
          <w:szCs w:val="19"/>
          <w:color w:val="232323"/>
        </w:rPr>
        <w:t xml:space="preserve">WHEREAS, BRE/COH GA, LLC </w:t>
      </w:r>
      <w:r>
        <w:rPr>
          <w:rFonts w:ascii="Times New Roman" w:cs="Times New Roman" w:eastAsia="Times New Roman" w:hAnsi="Times New Roman"/>
          <w:sz w:val="17"/>
          <w:szCs w:val="17"/>
          <w:b w:val="1"/>
          <w:bCs w:val="1"/>
          <w:color w:val="232323"/>
        </w:rPr>
        <w:t>("Original Landlord")</w:t>
      </w:r>
      <w:r>
        <w:rPr>
          <w:rFonts w:ascii="Times New Roman" w:cs="Times New Roman" w:eastAsia="Times New Roman" w:hAnsi="Times New Roman"/>
          <w:sz w:val="19"/>
          <w:szCs w:val="19"/>
          <w:color w:val="232323"/>
        </w:rPr>
        <w:t xml:space="preserve"> and Tenant entered into that certain Office Lease Agreement dated November 21, 2016 (the </w:t>
      </w:r>
      <w:r>
        <w:rPr>
          <w:rFonts w:ascii="Times New Roman" w:cs="Times New Roman" w:eastAsia="Times New Roman" w:hAnsi="Times New Roman"/>
          <w:sz w:val="17"/>
          <w:szCs w:val="17"/>
          <w:b w:val="1"/>
          <w:bCs w:val="1"/>
          <w:color w:val="232323"/>
        </w:rPr>
        <w:t>"Original Lease"),</w:t>
      </w:r>
      <w:r>
        <w:rPr>
          <w:rFonts w:ascii="Times New Roman" w:cs="Times New Roman" w:eastAsia="Times New Roman" w:hAnsi="Times New Roman"/>
          <w:sz w:val="19"/>
          <w:szCs w:val="19"/>
          <w:color w:val="232323"/>
        </w:rPr>
        <w:t xml:space="preserve"> pursuant to which Tenant leases certain premises containing approximately 19,707 rentable square feet of space (the </w:t>
      </w:r>
      <w:r>
        <w:rPr>
          <w:rFonts w:ascii="Times New Roman" w:cs="Times New Roman" w:eastAsia="Times New Roman" w:hAnsi="Times New Roman"/>
          <w:sz w:val="17"/>
          <w:szCs w:val="17"/>
          <w:b w:val="1"/>
          <w:bCs w:val="1"/>
          <w:color w:val="232323"/>
        </w:rPr>
        <w:t>"Existing Premises")</w:t>
      </w:r>
      <w:r>
        <w:rPr>
          <w:rFonts w:ascii="Times New Roman" w:cs="Times New Roman" w:eastAsia="Times New Roman" w:hAnsi="Times New Roman"/>
          <w:sz w:val="19"/>
          <w:szCs w:val="19"/>
          <w:color w:val="232323"/>
        </w:rPr>
        <w:t xml:space="preserve"> on the second (2</w:t>
      </w:r>
      <w:r>
        <w:rPr>
          <w:rFonts w:ascii="Arial" w:cs="Arial" w:eastAsia="Arial" w:hAnsi="Arial"/>
          <w:sz w:val="25"/>
          <w:szCs w:val="25"/>
          <w:color w:val="232323"/>
          <w:vertAlign w:val="superscript"/>
        </w:rPr>
        <w:t>nd</w:t>
      </w:r>
      <w:r>
        <w:rPr>
          <w:rFonts w:ascii="Arial" w:cs="Arial" w:eastAsia="Arial" w:hAnsi="Arial"/>
          <w:sz w:val="11"/>
          <w:szCs w:val="11"/>
          <w:color w:val="232323"/>
        </w:rPr>
        <w:t>)</w:t>
      </w:r>
      <w:r>
        <w:rPr>
          <w:rFonts w:ascii="Times New Roman" w:cs="Times New Roman" w:eastAsia="Times New Roman" w:hAnsi="Times New Roman"/>
          <w:sz w:val="19"/>
          <w:szCs w:val="19"/>
          <w:color w:val="232323"/>
        </w:rPr>
        <w:t xml:space="preserve"> floor of the building located at 900 North Point Parkway, Alpharetta, Georgia 30005 (the </w:t>
      </w:r>
      <w:r>
        <w:rPr>
          <w:rFonts w:ascii="Times New Roman" w:cs="Times New Roman" w:eastAsia="Times New Roman" w:hAnsi="Times New Roman"/>
          <w:sz w:val="17"/>
          <w:szCs w:val="17"/>
          <w:b w:val="1"/>
          <w:bCs w:val="1"/>
          <w:color w:val="232323"/>
        </w:rPr>
        <w:t>"Building"),</w:t>
      </w:r>
      <w:r>
        <w:rPr>
          <w:rFonts w:ascii="Times New Roman" w:cs="Times New Roman" w:eastAsia="Times New Roman" w:hAnsi="Times New Roman"/>
          <w:sz w:val="19"/>
          <w:szCs w:val="19"/>
          <w:color w:val="232323"/>
        </w:rPr>
        <w:t xml:space="preserve"> as such space is more particularly described in the Lease; and</w:t>
      </w:r>
    </w:p>
    <w:p>
      <w:pPr>
        <w:spacing w:after="0" w:line="202" w:lineRule="exact"/>
        <w:rPr>
          <w:sz w:val="20"/>
          <w:szCs w:val="20"/>
          <w:color w:val="auto"/>
        </w:rPr>
      </w:pPr>
    </w:p>
    <w:p>
      <w:pPr>
        <w:jc w:val="both"/>
        <w:ind w:left="60" w:right="140" w:firstLine="734"/>
        <w:spacing w:after="0" w:line="252" w:lineRule="auto"/>
        <w:rPr>
          <w:sz w:val="20"/>
          <w:szCs w:val="20"/>
          <w:color w:val="auto"/>
        </w:rPr>
      </w:pPr>
      <w:r>
        <w:rPr>
          <w:rFonts w:ascii="Times New Roman" w:cs="Times New Roman" w:eastAsia="Times New Roman" w:hAnsi="Times New Roman"/>
          <w:sz w:val="19"/>
          <w:szCs w:val="19"/>
          <w:color w:val="232323"/>
        </w:rPr>
        <w:t xml:space="preserve">WHEREAS, Landlord (as successor-in-interest to Original Landlord) and Tenant (desire to modify and amend the Original Lease to extend the term of the Original Lease, to reduce the Existing Premises by returning to Landlord that approximately 5,659 rentable square foot portion of the Existing Premises shown on </w:t>
      </w:r>
      <w:r>
        <w:rPr>
          <w:rFonts w:ascii="Times New Roman" w:cs="Times New Roman" w:eastAsia="Times New Roman" w:hAnsi="Times New Roman"/>
          <w:sz w:val="19"/>
          <w:szCs w:val="19"/>
          <w:u w:val="single" w:color="auto"/>
          <w:color w:val="232323"/>
        </w:rPr>
        <w:t>Exhibit</w:t>
      </w:r>
      <w:r>
        <w:rPr>
          <w:rFonts w:ascii="Times New Roman" w:cs="Times New Roman" w:eastAsia="Times New Roman" w:hAnsi="Times New Roman"/>
          <w:sz w:val="19"/>
          <w:szCs w:val="19"/>
          <w:color w:val="232323"/>
        </w:rPr>
        <w:t xml:space="preserve"> </w:t>
      </w:r>
      <w:r>
        <w:rPr>
          <w:rFonts w:ascii="Arial" w:cs="Arial" w:eastAsia="Arial" w:hAnsi="Arial"/>
          <w:sz w:val="19"/>
          <w:szCs w:val="19"/>
          <w:u w:val="single" w:color="auto"/>
          <w:color w:val="232323"/>
        </w:rPr>
        <w:t>A</w:t>
      </w:r>
      <w:r>
        <w:rPr>
          <w:rFonts w:ascii="Arial" w:cs="Arial" w:eastAsia="Arial" w:hAnsi="Arial"/>
          <w:sz w:val="19"/>
          <w:szCs w:val="19"/>
          <w:color w:val="999999"/>
        </w:rPr>
        <w:t>.</w:t>
      </w:r>
      <w:r>
        <w:rPr>
          <w:rFonts w:ascii="Times New Roman" w:cs="Times New Roman" w:eastAsia="Times New Roman" w:hAnsi="Times New Roman"/>
          <w:sz w:val="19"/>
          <w:szCs w:val="19"/>
          <w:color w:val="232323"/>
        </w:rPr>
        <w:t xml:space="preserve"> attached hereto (the </w:t>
      </w:r>
      <w:r>
        <w:rPr>
          <w:rFonts w:ascii="Times New Roman" w:cs="Times New Roman" w:eastAsia="Times New Roman" w:hAnsi="Times New Roman"/>
          <w:sz w:val="17"/>
          <w:szCs w:val="17"/>
          <w:b w:val="1"/>
          <w:bCs w:val="1"/>
          <w:color w:val="232323"/>
        </w:rPr>
        <w:t>"Reduction Premises"),</w:t>
      </w:r>
      <w:r>
        <w:rPr>
          <w:rFonts w:ascii="Times New Roman" w:cs="Times New Roman" w:eastAsia="Times New Roman" w:hAnsi="Times New Roman"/>
          <w:sz w:val="19"/>
          <w:szCs w:val="19"/>
          <w:color w:val="232323"/>
        </w:rPr>
        <w:t xml:space="preserve"> to clarify the suite designation of the Premises and to make certain changes hereinafter set </w:t>
      </w:r>
      <w:r>
        <w:rPr>
          <w:rFonts w:ascii="Arial" w:cs="Arial" w:eastAsia="Arial" w:hAnsi="Arial"/>
          <w:sz w:val="17"/>
          <w:szCs w:val="17"/>
          <w:color w:val="232323"/>
        </w:rPr>
        <w:t>forth.</w:t>
      </w:r>
    </w:p>
    <w:p>
      <w:pPr>
        <w:spacing w:after="0" w:line="162" w:lineRule="exact"/>
        <w:rPr>
          <w:sz w:val="20"/>
          <w:szCs w:val="20"/>
          <w:color w:val="auto"/>
        </w:rPr>
      </w:pPr>
    </w:p>
    <w:p>
      <w:pPr>
        <w:jc w:val="both"/>
        <w:ind w:left="60" w:right="160" w:firstLine="725"/>
        <w:spacing w:after="0" w:line="251" w:lineRule="auto"/>
        <w:rPr>
          <w:sz w:val="20"/>
          <w:szCs w:val="20"/>
          <w:color w:val="auto"/>
        </w:rPr>
      </w:pPr>
      <w:r>
        <w:rPr>
          <w:rFonts w:ascii="Times New Roman" w:cs="Times New Roman" w:eastAsia="Times New Roman" w:hAnsi="Times New Roman"/>
          <w:sz w:val="19"/>
          <w:szCs w:val="19"/>
          <w:color w:val="232323"/>
        </w:rPr>
        <w:t>NOW, THEREFORE, for and in consideration of the mutual premises, and for Ten and No/I 00 Dollars ($10.00) and other good and valuable consideration, paid by the parties hereto to one another, the receipt and sufficiency of which are acknowledged by the parties hereto, the parties for themselves and their successors and assigns hereto hereby covenant and agree as follows:</w:t>
      </w:r>
    </w:p>
    <w:p>
      <w:pPr>
        <w:spacing w:after="0" w:line="191" w:lineRule="exact"/>
        <w:rPr>
          <w:sz w:val="20"/>
          <w:szCs w:val="20"/>
          <w:color w:val="auto"/>
        </w:rPr>
      </w:pPr>
    </w:p>
    <w:p>
      <w:pPr>
        <w:ind w:left="1480" w:hanging="729"/>
        <w:spacing w:after="0"/>
        <w:tabs>
          <w:tab w:leader="none" w:pos="1480" w:val="left"/>
        </w:tabs>
        <w:numPr>
          <w:ilvl w:val="1"/>
          <w:numId w:val="48"/>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32323"/>
        </w:rPr>
        <w:t>Incorporation of Recitals.</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The above recitals are true and correct and are incorporated herein as</w:t>
      </w:r>
      <w:r>
        <w:rPr>
          <w:rFonts w:ascii="Times New Roman" w:cs="Times New Roman" w:eastAsia="Times New Roman" w:hAnsi="Times New Roman"/>
          <w:sz w:val="18"/>
          <w:szCs w:val="18"/>
          <w:b w:val="1"/>
          <w:bCs w:val="1"/>
          <w:color w:val="232323"/>
        </w:rPr>
        <w:t xml:space="preserve"> </w:t>
      </w:r>
      <w:r>
        <w:rPr>
          <w:rFonts w:ascii="Arial" w:cs="Arial" w:eastAsia="Arial" w:hAnsi="Arial"/>
          <w:sz w:val="18"/>
          <w:szCs w:val="18"/>
          <w:b w:val="1"/>
          <w:bCs w:val="1"/>
          <w:color w:val="232323"/>
        </w:rPr>
        <w:t>if</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set forth in full.</w:t>
      </w:r>
    </w:p>
    <w:p>
      <w:pPr>
        <w:spacing w:after="0" w:line="229" w:lineRule="exact"/>
        <w:rPr>
          <w:rFonts w:ascii="Times New Roman" w:cs="Times New Roman" w:eastAsia="Times New Roman" w:hAnsi="Times New Roman"/>
          <w:sz w:val="20"/>
          <w:szCs w:val="20"/>
          <w:b w:val="1"/>
          <w:bCs w:val="1"/>
          <w:color w:val="232323"/>
        </w:rPr>
      </w:pPr>
    </w:p>
    <w:p>
      <w:pPr>
        <w:jc w:val="both"/>
        <w:ind w:left="40" w:right="160" w:firstLine="712"/>
        <w:spacing w:after="0" w:line="255" w:lineRule="auto"/>
        <w:tabs>
          <w:tab w:leader="none" w:pos="1483" w:val="left"/>
        </w:tabs>
        <w:numPr>
          <w:ilvl w:val="1"/>
          <w:numId w:val="48"/>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32323"/>
        </w:rPr>
        <w:t>Defined Terms.</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All</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capitalized terms not defined in this First Amendment shall have the same meaning as set forth in the</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 xml:space="preserve">Original Lease. All references in the Original Lease and herein to the term </w:t>
      </w:r>
      <w:r>
        <w:rPr>
          <w:rFonts w:ascii="Times New Roman" w:cs="Times New Roman" w:eastAsia="Times New Roman" w:hAnsi="Times New Roman"/>
          <w:sz w:val="17"/>
          <w:szCs w:val="17"/>
          <w:b w:val="1"/>
          <w:bCs w:val="1"/>
          <w:color w:val="232323"/>
        </w:rPr>
        <w:t>"Lease"</w:t>
      </w:r>
      <w:r>
        <w:rPr>
          <w:rFonts w:ascii="Times New Roman" w:cs="Times New Roman" w:eastAsia="Times New Roman" w:hAnsi="Times New Roman"/>
          <w:sz w:val="18"/>
          <w:szCs w:val="18"/>
          <w:color w:val="232323"/>
        </w:rPr>
        <w:t xml:space="preserve"> shall mean the Original Lease as amended by this First Amendment. Landlord and Tenant acknowledge and agree that, notwithstanding anything in the Original Lease to the contrary, the Premises shall be designated and referred to as Suite 200.</w:t>
      </w:r>
    </w:p>
    <w:p>
      <w:pPr>
        <w:spacing w:after="0" w:line="175" w:lineRule="exact"/>
        <w:rPr>
          <w:rFonts w:ascii="Times New Roman" w:cs="Times New Roman" w:eastAsia="Times New Roman" w:hAnsi="Times New Roman"/>
          <w:sz w:val="20"/>
          <w:szCs w:val="20"/>
          <w:b w:val="1"/>
          <w:bCs w:val="1"/>
          <w:color w:val="232323"/>
        </w:rPr>
      </w:pPr>
    </w:p>
    <w:p>
      <w:pPr>
        <w:ind w:left="1420" w:hanging="683"/>
        <w:spacing w:after="0"/>
        <w:tabs>
          <w:tab w:leader="none" w:pos="1420" w:val="left"/>
        </w:tabs>
        <w:numPr>
          <w:ilvl w:val="0"/>
          <w:numId w:val="49"/>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32323"/>
        </w:rPr>
        <w:t xml:space="preserve">Partial Reduction </w:t>
      </w:r>
      <w:r>
        <w:rPr>
          <w:rFonts w:ascii="Times New Roman" w:cs="Times New Roman" w:eastAsia="Times New Roman" w:hAnsi="Times New Roman"/>
          <w:sz w:val="19"/>
          <w:szCs w:val="19"/>
          <w:b w:val="1"/>
          <w:bCs w:val="1"/>
          <w:u w:val="single" w:color="auto"/>
          <w:color w:val="232323"/>
        </w:rPr>
        <w:t>of</w:t>
      </w:r>
      <w:r>
        <w:rPr>
          <w:rFonts w:ascii="Times New Roman" w:cs="Times New Roman" w:eastAsia="Times New Roman" w:hAnsi="Times New Roman"/>
          <w:sz w:val="18"/>
          <w:szCs w:val="18"/>
          <w:b w:val="1"/>
          <w:bCs w:val="1"/>
          <w:u w:val="single" w:color="auto"/>
          <w:color w:val="232323"/>
        </w:rPr>
        <w:t xml:space="preserve"> Premises.</w:t>
      </w:r>
    </w:p>
    <w:p>
      <w:pPr>
        <w:spacing w:after="0" w:line="202" w:lineRule="exact"/>
        <w:rPr>
          <w:rFonts w:ascii="Times New Roman" w:cs="Times New Roman" w:eastAsia="Times New Roman" w:hAnsi="Times New Roman"/>
          <w:sz w:val="20"/>
          <w:szCs w:val="20"/>
          <w:b w:val="1"/>
          <w:bCs w:val="1"/>
          <w:color w:val="232323"/>
        </w:rPr>
      </w:pPr>
    </w:p>
    <w:p>
      <w:pPr>
        <w:jc w:val="both"/>
        <w:ind w:right="180" w:firstLine="1455"/>
        <w:spacing w:after="0"/>
        <w:tabs>
          <w:tab w:leader="none" w:pos="2172" w:val="left"/>
        </w:tabs>
        <w:numPr>
          <w:ilvl w:val="2"/>
          <w:numId w:val="49"/>
        </w:numPr>
        <w:rPr>
          <w:rFonts w:ascii="Times New Roman" w:cs="Times New Roman" w:eastAsia="Times New Roman" w:hAnsi="Times New Roman"/>
          <w:sz w:val="18"/>
          <w:szCs w:val="18"/>
          <w:color w:val="212121"/>
        </w:rPr>
      </w:pPr>
      <w:r>
        <w:rPr>
          <w:rFonts w:ascii="Times New Roman" w:cs="Times New Roman" w:eastAsia="Times New Roman" w:hAnsi="Times New Roman"/>
          <w:sz w:val="19"/>
          <w:szCs w:val="19"/>
          <w:color w:val="232323"/>
        </w:rPr>
        <w:t xml:space="preserve">Effective as of November 1, 2022 (the </w:t>
      </w:r>
      <w:r>
        <w:rPr>
          <w:rFonts w:ascii="Times New Roman" w:cs="Times New Roman" w:eastAsia="Times New Roman" w:hAnsi="Times New Roman"/>
          <w:sz w:val="17"/>
          <w:szCs w:val="17"/>
          <w:b w:val="1"/>
          <w:bCs w:val="1"/>
          <w:color w:val="232323"/>
        </w:rPr>
        <w:t>"Partial Reduction Date"),</w:t>
      </w:r>
      <w:r>
        <w:rPr>
          <w:rFonts w:ascii="Times New Roman" w:cs="Times New Roman" w:eastAsia="Times New Roman" w:hAnsi="Times New Roman"/>
          <w:sz w:val="19"/>
          <w:szCs w:val="19"/>
          <w:color w:val="232323"/>
        </w:rPr>
        <w:t xml:space="preserve"> the Lease shall expire as to the Reduction Premises, subject to the terms and conditions of this Section 3 and the other provisions of this First Amendment. Effective as of the Partial Reduction Date, Tenant releases, remises and forever quitclaims the Reduction Premises to Landlord, to have and hold so that neither Tenant nor any party claiming by, through or under Tenant shall thereafter have or claim any right thereto or any part thereof. On or before the Partial Reduction Date, Tenant shall surrender the Reduction Premises to Landlord in a broom clean condition and, except as expressly set forth in Section 3(b) below, with all of Tenant's personal property removed. Tenant acknowledges that TIME IS OF THE ESSENCE with respect to Tenant's surrender of the Reduction Premises as required herein. As a result of the partial reduction of the Existing Premises, effective as of the Partial Reduction Date, the </w:t>
      </w:r>
      <w:r>
        <w:rPr>
          <w:rFonts w:ascii="Times New Roman" w:cs="Times New Roman" w:eastAsia="Times New Roman" w:hAnsi="Times New Roman"/>
          <w:sz w:val="17"/>
          <w:szCs w:val="17"/>
          <w:b w:val="1"/>
          <w:bCs w:val="1"/>
          <w:color w:val="232323"/>
        </w:rPr>
        <w:t>"Premises"</w:t>
      </w:r>
      <w:r>
        <w:rPr>
          <w:rFonts w:ascii="Times New Roman" w:cs="Times New Roman" w:eastAsia="Times New Roman" w:hAnsi="Times New Roman"/>
          <w:sz w:val="19"/>
          <w:szCs w:val="19"/>
          <w:color w:val="232323"/>
        </w:rPr>
        <w:t xml:space="preserve"> shall mean that certain area containing approximately 14,048 rentable square feet as shown on </w:t>
      </w:r>
      <w:r>
        <w:rPr>
          <w:rFonts w:ascii="Times New Roman" w:cs="Times New Roman" w:eastAsia="Times New Roman" w:hAnsi="Times New Roman"/>
          <w:sz w:val="19"/>
          <w:szCs w:val="19"/>
          <w:u w:val="single" w:color="auto"/>
          <w:color w:val="232323"/>
        </w:rPr>
        <w:t>Exhibit A</w:t>
      </w:r>
      <w:r>
        <w:rPr>
          <w:rFonts w:ascii="Times New Roman" w:cs="Times New Roman" w:eastAsia="Times New Roman" w:hAnsi="Times New Roman"/>
          <w:sz w:val="19"/>
          <w:szCs w:val="19"/>
          <w:color w:val="232323"/>
        </w:rPr>
        <w:t xml:space="preserve"> attached hereto.</w:t>
      </w:r>
    </w:p>
    <w:p>
      <w:pPr>
        <w:spacing w:after="0" w:line="193" w:lineRule="exact"/>
        <w:rPr>
          <w:rFonts w:ascii="Times New Roman" w:cs="Times New Roman" w:eastAsia="Times New Roman" w:hAnsi="Times New Roman"/>
          <w:sz w:val="18"/>
          <w:szCs w:val="18"/>
          <w:color w:val="212121"/>
        </w:rPr>
      </w:pPr>
    </w:p>
    <w:p>
      <w:pPr>
        <w:ind w:right="200" w:firstLine="1440"/>
        <w:spacing w:after="0" w:line="265" w:lineRule="auto"/>
        <w:tabs>
          <w:tab w:leader="none" w:pos="2156" w:val="left"/>
        </w:tabs>
        <w:numPr>
          <w:ilvl w:val="2"/>
          <w:numId w:val="49"/>
        </w:numPr>
        <w:rPr>
          <w:rFonts w:ascii="Times New Roman" w:cs="Times New Roman" w:eastAsia="Times New Roman" w:hAnsi="Times New Roman"/>
          <w:sz w:val="18"/>
          <w:szCs w:val="18"/>
          <w:color w:val="212121"/>
        </w:rPr>
      </w:pPr>
      <w:r>
        <w:rPr>
          <w:rFonts w:ascii="Times New Roman" w:cs="Times New Roman" w:eastAsia="Times New Roman" w:hAnsi="Times New Roman"/>
          <w:sz w:val="19"/>
          <w:szCs w:val="19"/>
          <w:color w:val="232323"/>
        </w:rPr>
        <w:t>Notwithstanding anything in the Original Lease to the contrary, Landlord and Tenant hereby acknowledge and agree that the furniture more particularly shown in the highlighted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383540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18" w:right="339" w:bottom="1440" w:gutter="0" w:footer="0" w:header="0"/>
        </w:sectPr>
      </w:pPr>
    </w:p>
    <w:bookmarkStart w:id="104" w:name="page105"/>
    <w:bookmarkEnd w:id="104"/>
    <w:p>
      <w:pPr>
        <w:jc w:val="both"/>
        <w:ind w:firstLine="5"/>
        <w:spacing w:after="0" w:line="250" w:lineRule="auto"/>
        <w:rPr>
          <w:sz w:val="20"/>
          <w:szCs w:val="20"/>
          <w:color w:val="auto"/>
        </w:rPr>
      </w:pPr>
      <w:r>
        <w:rPr>
          <w:rFonts w:ascii="Times New Roman" w:cs="Times New Roman" w:eastAsia="Times New Roman" w:hAnsi="Times New Roman"/>
          <w:sz w:val="19"/>
          <w:szCs w:val="19"/>
          <w:color w:val="212121"/>
        </w:rPr>
        <w:t xml:space="preserve">on </w:t>
      </w:r>
      <w:r>
        <w:rPr>
          <w:rFonts w:ascii="Times New Roman" w:cs="Times New Roman" w:eastAsia="Times New Roman" w:hAnsi="Times New Roman"/>
          <w:sz w:val="19"/>
          <w:szCs w:val="19"/>
          <w:u w:val="single" w:color="auto"/>
          <w:color w:val="212121"/>
        </w:rPr>
        <w:t>Exhibit</w:t>
      </w:r>
      <w:r>
        <w:rPr>
          <w:rFonts w:ascii="Times New Roman" w:cs="Times New Roman" w:eastAsia="Times New Roman" w:hAnsi="Times New Roman"/>
          <w:sz w:val="19"/>
          <w:szCs w:val="19"/>
          <w:color w:val="212121"/>
        </w:rPr>
        <w:t xml:space="preserve"> B attached hereto (collectively, the </w:t>
      </w:r>
      <w:r>
        <w:rPr>
          <w:rFonts w:ascii="Times New Roman" w:cs="Times New Roman" w:eastAsia="Times New Roman" w:hAnsi="Times New Roman"/>
          <w:sz w:val="19"/>
          <w:szCs w:val="19"/>
          <w:u w:val="single" w:color="auto"/>
          <w:color w:val="212121"/>
        </w:rPr>
        <w:t>"Existin</w:t>
      </w:r>
      <w:r>
        <w:rPr>
          <w:rFonts w:ascii="Times New Roman" w:cs="Times New Roman" w:eastAsia="Times New Roman" w:hAnsi="Times New Roman"/>
          <w:sz w:val="19"/>
          <w:szCs w:val="19"/>
          <w:u w:val="single" w:color="auto"/>
          <w:color w:val="4B4B4B"/>
        </w:rPr>
        <w:t>g</w:t>
      </w:r>
      <w:r>
        <w:rPr>
          <w:rFonts w:ascii="Times New Roman" w:cs="Times New Roman" w:eastAsia="Times New Roman" w:hAnsi="Times New Roman"/>
          <w:sz w:val="19"/>
          <w:szCs w:val="19"/>
          <w:color w:val="212121"/>
        </w:rPr>
        <w:t xml:space="preserve"> </w:t>
      </w:r>
      <w:r>
        <w:rPr>
          <w:rFonts w:ascii="Times New Roman" w:cs="Times New Roman" w:eastAsia="Times New Roman" w:hAnsi="Times New Roman"/>
          <w:sz w:val="20"/>
          <w:szCs w:val="20"/>
          <w:u w:val="single" w:color="auto"/>
          <w:color w:val="212121"/>
        </w:rPr>
        <w:t>Furnitu</w:t>
      </w:r>
      <w:r>
        <w:rPr>
          <w:rFonts w:ascii="Times New Roman" w:cs="Times New Roman" w:eastAsia="Times New Roman" w:hAnsi="Times New Roman"/>
          <w:sz w:val="20"/>
          <w:szCs w:val="20"/>
          <w:u w:val="single" w:color="auto"/>
          <w:color w:val="4B4B4B"/>
        </w:rPr>
        <w:t>r</w:t>
      </w:r>
      <w:r>
        <w:rPr>
          <w:rFonts w:ascii="Times New Roman" w:cs="Times New Roman" w:eastAsia="Times New Roman" w:hAnsi="Times New Roman"/>
          <w:sz w:val="20"/>
          <w:szCs w:val="20"/>
          <w:u w:val="single" w:color="auto"/>
          <w:color w:val="212121"/>
        </w:rPr>
        <w:t>e")</w:t>
      </w:r>
      <w:r>
        <w:rPr>
          <w:rFonts w:ascii="Times New Roman" w:cs="Times New Roman" w:eastAsia="Times New Roman" w:hAnsi="Times New Roman"/>
          <w:sz w:val="19"/>
          <w:szCs w:val="19"/>
          <w:color w:val="212121"/>
        </w:rPr>
        <w:t xml:space="preserve"> shall be left in the Reduction Premises in the condition existing as of the date of this First Amendment and shall not be removed from the Reduction Premises by Tenant. Tenant hereby (i) represents and warrants to Landlord that Tenant owns the Existing Furniture free and clear of the interest of any party, and </w:t>
      </w:r>
      <w:r>
        <w:rPr>
          <w:rFonts w:ascii="Arial" w:cs="Arial" w:eastAsia="Arial" w:hAnsi="Arial"/>
          <w:sz w:val="17"/>
          <w:szCs w:val="17"/>
          <w:color w:val="212121"/>
        </w:rPr>
        <w:t>(ii)</w:t>
      </w:r>
      <w:r>
        <w:rPr>
          <w:rFonts w:ascii="Times New Roman" w:cs="Times New Roman" w:eastAsia="Times New Roman" w:hAnsi="Times New Roman"/>
          <w:sz w:val="19"/>
          <w:szCs w:val="19"/>
          <w:color w:val="212121"/>
        </w:rPr>
        <w:t xml:space="preserve"> quitclaims unto Landlord all of Tenant's right, title and interest in and to the Existing Furniture for $1.00 and other valuable consideration, the receipt and sufficiency of which is hereby acknowledged</w:t>
      </w:r>
      <w:r>
        <w:rPr>
          <w:rFonts w:ascii="Times New Roman" w:cs="Times New Roman" w:eastAsia="Times New Roman" w:hAnsi="Times New Roman"/>
          <w:sz w:val="19"/>
          <w:szCs w:val="19"/>
          <w:color w:val="4B4B4B"/>
        </w:rPr>
        <w:t>.</w:t>
      </w:r>
    </w:p>
    <w:p>
      <w:pPr>
        <w:spacing w:after="0" w:line="134" w:lineRule="exact"/>
        <w:rPr>
          <w:sz w:val="20"/>
          <w:szCs w:val="20"/>
          <w:color w:val="auto"/>
        </w:rPr>
      </w:pPr>
    </w:p>
    <w:p>
      <w:pPr>
        <w:jc w:val="both"/>
        <w:ind w:left="-40" w:firstLine="741"/>
        <w:spacing w:after="0" w:line="251" w:lineRule="auto"/>
        <w:tabs>
          <w:tab w:leader="none" w:pos="1432" w:val="left"/>
        </w:tabs>
        <w:numPr>
          <w:ilvl w:val="2"/>
          <w:numId w:val="50"/>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0"/>
          <w:szCs w:val="20"/>
          <w:b w:val="1"/>
          <w:bCs w:val="1"/>
          <w:u w:val="single" w:color="auto"/>
          <w:color w:val="212121"/>
        </w:rPr>
        <w:t>Demisin</w:t>
      </w:r>
      <w:r>
        <w:rPr>
          <w:rFonts w:ascii="Times New Roman" w:cs="Times New Roman" w:eastAsia="Times New Roman" w:hAnsi="Times New Roman"/>
          <w:sz w:val="20"/>
          <w:szCs w:val="20"/>
          <w:b w:val="1"/>
          <w:bCs w:val="1"/>
          <w:u w:val="single" w:color="auto"/>
          <w:color w:val="4B4B4B"/>
        </w:rPr>
        <w:t>g</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21"/>
          <w:szCs w:val="21"/>
          <w:b w:val="1"/>
          <w:bCs w:val="1"/>
          <w:u w:val="single" w:color="auto"/>
          <w:color w:val="212121"/>
        </w:rPr>
        <w:t>Work</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8"/>
          <w:szCs w:val="18"/>
          <w:color w:val="212121"/>
        </w:rPr>
        <w:t>Landlord shall, in accordance with Landlord's standard build-out procedures at Landlord's sole cost and</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8"/>
          <w:szCs w:val="18"/>
          <w:color w:val="212121"/>
        </w:rPr>
        <w:t xml:space="preserve">expense, demise the Reduction Premises from the remainder of the Existing Premises in accordance with mutually agreed upon plans and specifications (the </w:t>
      </w:r>
      <w:r>
        <w:rPr>
          <w:rFonts w:ascii="Times New Roman" w:cs="Times New Roman" w:eastAsia="Times New Roman" w:hAnsi="Times New Roman"/>
          <w:sz w:val="18"/>
          <w:szCs w:val="18"/>
          <w:b w:val="1"/>
          <w:bCs w:val="1"/>
          <w:color w:val="212121"/>
        </w:rPr>
        <w:t>"Demising Work").</w:t>
      </w:r>
      <w:r>
        <w:rPr>
          <w:rFonts w:ascii="Times New Roman" w:cs="Times New Roman" w:eastAsia="Times New Roman" w:hAnsi="Times New Roman"/>
          <w:sz w:val="18"/>
          <w:szCs w:val="18"/>
          <w:color w:val="212121"/>
        </w:rPr>
        <w:t xml:space="preserve"> Landlord and Tenant shall cooperate in connection with the performance of the Demising Work in such a manner as to allow Landlord to complete such Demising Work in an efficient manner as soon as reasonably practicable after the Partial Reduction Date, including, without limitation, removing fixtures, furniture, equipment and other personal property from the portions of the Existing Premises adjacent thereto. Landlord shall provide Tenant with written notice (which notice may </w:t>
      </w:r>
      <w:r>
        <w:rPr>
          <w:rFonts w:ascii="Times New Roman" w:cs="Times New Roman" w:eastAsia="Times New Roman" w:hAnsi="Times New Roman"/>
          <w:sz w:val="17"/>
          <w:szCs w:val="17"/>
          <w:color w:val="212121"/>
        </w:rPr>
        <w:t>be</w:t>
      </w:r>
      <w:r>
        <w:rPr>
          <w:rFonts w:ascii="Times New Roman" w:cs="Times New Roman" w:eastAsia="Times New Roman" w:hAnsi="Times New Roman"/>
          <w:sz w:val="18"/>
          <w:szCs w:val="18"/>
          <w:color w:val="212121"/>
        </w:rPr>
        <w:t xml:space="preserve"> provided via email) no less than ten (10) days prior to commencing the Demising Work. Landlord shall use commercially reasonable efforts to not unreasonably disturb Tenant's business operations in the Premises during the completion of the Demising Work; provided, however, that Tenant acknowledges and agrees that that noise, dust and other activities associated with such Demising Work may be disruptive to the business operations of Tenant in the Premises, or portions thereof</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12121"/>
        </w:rPr>
        <w:t xml:space="preserve"> Notwithstanding anything herein to the contrary, Tenant hereby expressly acknowledges and agrees that between the Partial Reduction Date and the completion of the Demising Work, Tenant shall not use, occupy or otherwise encroach into all or any portion of the Reduction Premises and shall restrict its occupancy only to the remainder of the Existing Premises.</w:t>
      </w:r>
    </w:p>
    <w:p>
      <w:pPr>
        <w:spacing w:after="0" w:line="191" w:lineRule="exact"/>
        <w:rPr>
          <w:rFonts w:ascii="Times New Roman" w:cs="Times New Roman" w:eastAsia="Times New Roman" w:hAnsi="Times New Roman"/>
          <w:sz w:val="20"/>
          <w:szCs w:val="20"/>
          <w:b w:val="1"/>
          <w:bCs w:val="1"/>
          <w:color w:val="232323"/>
        </w:rPr>
      </w:pPr>
    </w:p>
    <w:p>
      <w:pPr>
        <w:jc w:val="both"/>
        <w:ind w:left="-40" w:right="20" w:firstLine="711"/>
        <w:spacing w:after="0" w:line="243" w:lineRule="auto"/>
        <w:tabs>
          <w:tab w:leader="none" w:pos="1401" w:val="left"/>
        </w:tabs>
        <w:numPr>
          <w:ilvl w:val="1"/>
          <w:numId w:val="51"/>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9"/>
          <w:szCs w:val="19"/>
          <w:b w:val="1"/>
          <w:bCs w:val="1"/>
          <w:u w:val="single" w:color="auto"/>
          <w:color w:val="212121"/>
        </w:rPr>
        <w:t>Extension of Term.</w:t>
      </w:r>
      <w:r>
        <w:rPr>
          <w:rFonts w:ascii="Times New Roman" w:cs="Times New Roman" w:eastAsia="Times New Roman" w:hAnsi="Times New Roman"/>
          <w:sz w:val="19"/>
          <w:szCs w:val="19"/>
          <w:b w:val="1"/>
          <w:bCs w:val="1"/>
          <w:color w:val="212121"/>
        </w:rPr>
        <w:t xml:space="preserve"> </w:t>
      </w:r>
      <w:r>
        <w:rPr>
          <w:rFonts w:ascii="Times New Roman" w:cs="Times New Roman" w:eastAsia="Times New Roman" w:hAnsi="Times New Roman"/>
          <w:sz w:val="19"/>
          <w:szCs w:val="19"/>
          <w:color w:val="212121"/>
        </w:rPr>
        <w:t>Notwithstanding anything in the Original Lease to the contrary, Landlord and Tenant hereby agree to</w:t>
      </w:r>
      <w:r>
        <w:rPr>
          <w:rFonts w:ascii="Times New Roman" w:cs="Times New Roman" w:eastAsia="Times New Roman" w:hAnsi="Times New Roman"/>
          <w:sz w:val="19"/>
          <w:szCs w:val="19"/>
          <w:b w:val="1"/>
          <w:bCs w:val="1"/>
          <w:color w:val="212121"/>
        </w:rPr>
        <w:t xml:space="preserve"> </w:t>
      </w:r>
      <w:r>
        <w:rPr>
          <w:rFonts w:ascii="Times New Roman" w:cs="Times New Roman" w:eastAsia="Times New Roman" w:hAnsi="Times New Roman"/>
          <w:sz w:val="19"/>
          <w:szCs w:val="19"/>
          <w:color w:val="212121"/>
        </w:rPr>
        <w:t xml:space="preserve">extend the Term of the Lease for a period of thirty-eight (38) months commencing on October 1, 2023 (the </w:t>
      </w:r>
      <w:r>
        <w:rPr>
          <w:rFonts w:ascii="Times New Roman" w:cs="Times New Roman" w:eastAsia="Times New Roman" w:hAnsi="Times New Roman"/>
          <w:sz w:val="19"/>
          <w:szCs w:val="19"/>
          <w:b w:val="1"/>
          <w:bCs w:val="1"/>
          <w:color w:val="212121"/>
        </w:rPr>
        <w:t>"Extension Date")</w:t>
      </w:r>
      <w:r>
        <w:rPr>
          <w:rFonts w:ascii="Times New Roman" w:cs="Times New Roman" w:eastAsia="Times New Roman" w:hAnsi="Times New Roman"/>
          <w:sz w:val="19"/>
          <w:szCs w:val="19"/>
          <w:color w:val="212121"/>
        </w:rPr>
        <w:t xml:space="preserve"> and, unless sooner terminated, expiring on November 30, 2026 (the </w:t>
      </w:r>
      <w:r>
        <w:rPr>
          <w:rFonts w:ascii="Times New Roman" w:cs="Times New Roman" w:eastAsia="Times New Roman" w:hAnsi="Times New Roman"/>
          <w:sz w:val="19"/>
          <w:szCs w:val="19"/>
          <w:b w:val="1"/>
          <w:bCs w:val="1"/>
          <w:color w:val="212121"/>
        </w:rPr>
        <w:t>"Termination Date").</w:t>
      </w:r>
      <w:r>
        <w:rPr>
          <w:rFonts w:ascii="Times New Roman" w:cs="Times New Roman" w:eastAsia="Times New Roman" w:hAnsi="Times New Roman"/>
          <w:sz w:val="19"/>
          <w:szCs w:val="19"/>
          <w:color w:val="212121"/>
        </w:rPr>
        <w:t xml:space="preserve"> The period from the Extension Date through the Termination Date is hereinafter referred to as the </w:t>
      </w:r>
      <w:r>
        <w:rPr>
          <w:rFonts w:ascii="Times New Roman" w:cs="Times New Roman" w:eastAsia="Times New Roman" w:hAnsi="Times New Roman"/>
          <w:sz w:val="19"/>
          <w:szCs w:val="19"/>
          <w:b w:val="1"/>
          <w:bCs w:val="1"/>
          <w:color w:val="212121"/>
        </w:rPr>
        <w:t>"First Extension Term."</w:t>
      </w:r>
    </w:p>
    <w:p>
      <w:pPr>
        <w:spacing w:after="0" w:line="197" w:lineRule="exact"/>
        <w:rPr>
          <w:rFonts w:ascii="Times New Roman" w:cs="Times New Roman" w:eastAsia="Times New Roman" w:hAnsi="Times New Roman"/>
          <w:sz w:val="20"/>
          <w:szCs w:val="20"/>
          <w:b w:val="1"/>
          <w:bCs w:val="1"/>
          <w:color w:val="232323"/>
        </w:rPr>
      </w:pPr>
    </w:p>
    <w:p>
      <w:pPr>
        <w:jc w:val="both"/>
        <w:ind w:left="-40" w:right="20" w:firstLine="696"/>
        <w:spacing w:after="0" w:line="247" w:lineRule="auto"/>
        <w:tabs>
          <w:tab w:leader="none" w:pos="1386" w:val="left"/>
        </w:tabs>
        <w:numPr>
          <w:ilvl w:val="0"/>
          <w:numId w:val="52"/>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9"/>
          <w:szCs w:val="19"/>
          <w:b w:val="1"/>
          <w:bCs w:val="1"/>
          <w:u w:val="single" w:color="auto"/>
          <w:color w:val="212121"/>
        </w:rPr>
        <w:t>Base Rent.</w:t>
      </w:r>
      <w:r>
        <w:rPr>
          <w:rFonts w:ascii="Times New Roman" w:cs="Times New Roman" w:eastAsia="Times New Roman" w:hAnsi="Times New Roman"/>
          <w:sz w:val="19"/>
          <w:szCs w:val="19"/>
          <w:b w:val="1"/>
          <w:bCs w:val="1"/>
          <w:color w:val="212121"/>
        </w:rPr>
        <w:t xml:space="preserve"> </w:t>
      </w:r>
      <w:r>
        <w:rPr>
          <w:rFonts w:ascii="Times New Roman" w:cs="Times New Roman" w:eastAsia="Times New Roman" w:hAnsi="Times New Roman"/>
          <w:sz w:val="19"/>
          <w:szCs w:val="19"/>
          <w:color w:val="212121"/>
        </w:rPr>
        <w:t>Notwithstanding anything in the Lease to the contrary, commencing on the Partial Reduction Date and</w:t>
      </w:r>
      <w:r>
        <w:rPr>
          <w:rFonts w:ascii="Times New Roman" w:cs="Times New Roman" w:eastAsia="Times New Roman" w:hAnsi="Times New Roman"/>
          <w:sz w:val="19"/>
          <w:szCs w:val="19"/>
          <w:b w:val="1"/>
          <w:bCs w:val="1"/>
          <w:color w:val="212121"/>
        </w:rPr>
        <w:t xml:space="preserve"> </w:t>
      </w:r>
      <w:r>
        <w:rPr>
          <w:rFonts w:ascii="Times New Roman" w:cs="Times New Roman" w:eastAsia="Times New Roman" w:hAnsi="Times New Roman"/>
          <w:sz w:val="19"/>
          <w:szCs w:val="19"/>
          <w:color w:val="212121"/>
        </w:rPr>
        <w:t>continuing until the expiration of the First Extension Term, Tenant shall pay Landlord the following sums as Base Rent for the Premises pursuant to the terms of the Lease:</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9"/>
                <w:szCs w:val="19"/>
                <w:b w:val="1"/>
                <w:bCs w:val="1"/>
                <w:color w:val="212121"/>
              </w:rPr>
              <w:t>Annual Rent</w:t>
            </w:r>
          </w:p>
        </w:tc>
        <w:tc>
          <w:tcPr>
            <w:tcW w:w="14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212121"/>
              </w:rPr>
              <w:t>Monthl</w:t>
            </w:r>
            <w:r>
              <w:rPr>
                <w:rFonts w:ascii="Times New Roman" w:cs="Times New Roman" w:eastAsia="Times New Roman" w:hAnsi="Times New Roman"/>
                <w:sz w:val="19"/>
                <w:szCs w:val="19"/>
                <w:b w:val="1"/>
                <w:bCs w:val="1"/>
                <w:color w:val="4B4B4B"/>
              </w:rPr>
              <w:t>y</w:t>
            </w:r>
            <w:r>
              <w:rPr>
                <w:rFonts w:ascii="Times New Roman" w:cs="Times New Roman" w:eastAsia="Times New Roman" w:hAnsi="Times New Roman"/>
                <w:sz w:val="19"/>
                <w:szCs w:val="19"/>
                <w:b w:val="1"/>
                <w:bCs w:val="1"/>
                <w:color w:val="212121"/>
              </w:rPr>
              <w:t xml:space="preserve"> Installment</w:t>
            </w:r>
          </w:p>
        </w:tc>
        <w:tc>
          <w:tcPr>
            <w:tcW w:w="0" w:type="dxa"/>
            <w:vAlign w:val="bottom"/>
          </w:tcPr>
          <w:p>
            <w:pPr>
              <w:spacing w:after="0"/>
              <w:rPr>
                <w:sz w:val="1"/>
                <w:szCs w:val="1"/>
                <w:color w:val="auto"/>
              </w:rPr>
            </w:pPr>
          </w:p>
        </w:tc>
      </w:tr>
      <w:tr>
        <w:trPr>
          <w:trHeight w:val="20"/>
        </w:trPr>
        <w:tc>
          <w:tcPr>
            <w:tcW w:w="3060" w:type="dxa"/>
            <w:vAlign w:val="bottom"/>
            <w:gridSpan w:val="3"/>
          </w:tcPr>
          <w:p>
            <w:pPr>
              <w:spacing w:after="0" w:line="20" w:lineRule="exact"/>
              <w:rPr>
                <w:sz w:val="1"/>
                <w:szCs w:val="1"/>
                <w:color w:val="auto"/>
              </w:rPr>
            </w:pPr>
          </w:p>
        </w:tc>
        <w:tc>
          <w:tcPr>
            <w:tcW w:w="26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212121"/>
              </w:rPr>
              <w:t>Per Square Foot</w:t>
            </w:r>
          </w:p>
        </w:tc>
        <w:tc>
          <w:tcPr>
            <w:tcW w:w="1400" w:type="dxa"/>
            <w:vAlign w:val="bottom"/>
          </w:tcPr>
          <w:p>
            <w:pPr>
              <w:spacing w:after="0" w:line="20" w:lineRule="exact"/>
              <w:rPr>
                <w:sz w:val="1"/>
                <w:szCs w:val="1"/>
                <w:color w:val="auto"/>
              </w:rPr>
            </w:pPr>
          </w:p>
        </w:tc>
        <w:tc>
          <w:tcPr>
            <w:tcW w:w="600" w:type="dxa"/>
            <w:vAlign w:val="bottom"/>
            <w:shd w:val="clear" w:color="auto" w:fill="212121"/>
          </w:tcPr>
          <w:p>
            <w:pPr>
              <w:spacing w:after="0" w:line="20" w:lineRule="exact"/>
              <w:rPr>
                <w:sz w:val="1"/>
                <w:szCs w:val="1"/>
                <w:color w:val="auto"/>
              </w:rPr>
            </w:pPr>
          </w:p>
        </w:tc>
        <w:tc>
          <w:tcPr>
            <w:tcW w:w="80" w:type="dxa"/>
            <w:vAlign w:val="bottom"/>
            <w:shd w:val="clear" w:color="auto" w:fill="4B4B4B"/>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3"/>
          </w:tcPr>
          <w:p>
            <w:pPr>
              <w:ind w:left="20"/>
              <w:spacing w:after="0" w:line="210" w:lineRule="exact"/>
              <w:rPr>
                <w:sz w:val="20"/>
                <w:szCs w:val="20"/>
                <w:color w:val="auto"/>
              </w:rPr>
            </w:pPr>
            <w:r>
              <w:rPr>
                <w:rFonts w:ascii="Times New Roman" w:cs="Times New Roman" w:eastAsia="Times New Roman" w:hAnsi="Times New Roman"/>
                <w:sz w:val="19"/>
                <w:szCs w:val="19"/>
                <w:b w:val="1"/>
                <w:bCs w:val="1"/>
                <w:color w:val="212121"/>
              </w:rPr>
              <w:t>Period</w:t>
            </w:r>
          </w:p>
        </w:tc>
        <w:tc>
          <w:tcPr>
            <w:tcW w:w="2680" w:type="dxa"/>
            <w:vAlign w:val="bottom"/>
            <w:vMerge w:val="continue"/>
          </w:tcPr>
          <w:p>
            <w:pPr>
              <w:spacing w:after="0"/>
              <w:rPr>
                <w:sz w:val="18"/>
                <w:szCs w:val="18"/>
                <w:color w:val="auto"/>
              </w:rPr>
            </w:pPr>
          </w:p>
        </w:tc>
        <w:tc>
          <w:tcPr>
            <w:tcW w:w="2000" w:type="dxa"/>
            <w:vAlign w:val="bottom"/>
            <w:gridSpan w:val="2"/>
          </w:tcPr>
          <w:p>
            <w:pPr>
              <w:ind w:left="960"/>
              <w:spacing w:after="0" w:line="210" w:lineRule="exact"/>
              <w:rPr>
                <w:sz w:val="20"/>
                <w:szCs w:val="20"/>
                <w:color w:val="auto"/>
              </w:rPr>
            </w:pPr>
            <w:r>
              <w:rPr>
                <w:rFonts w:ascii="Times New Roman" w:cs="Times New Roman" w:eastAsia="Times New Roman" w:hAnsi="Times New Roman"/>
                <w:sz w:val="19"/>
                <w:szCs w:val="19"/>
                <w:b w:val="1"/>
                <w:bCs w:val="1"/>
                <w:color w:val="212121"/>
              </w:rPr>
              <w:t>of Rent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212121"/>
            </w:tcBorders>
          </w:tcPr>
          <w:p>
            <w:pPr>
              <w:spacing w:after="0"/>
              <w:rPr>
                <w:sz w:val="4"/>
                <w:szCs w:val="4"/>
                <w:color w:val="auto"/>
              </w:rPr>
            </w:pPr>
          </w:p>
        </w:tc>
        <w:tc>
          <w:tcPr>
            <w:tcW w:w="2500" w:type="dxa"/>
            <w:vAlign w:val="bottom"/>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212121"/>
              </w:rPr>
              <w:t>l l /1/2022 - 10/3 l /2023</w:t>
            </w:r>
          </w:p>
        </w:tc>
        <w:tc>
          <w:tcPr>
            <w:tcW w:w="2680" w:type="dxa"/>
            <w:vAlign w:val="bottom"/>
          </w:tcPr>
          <w:p>
            <w:pPr>
              <w:jc w:val="right"/>
              <w:ind w:right="1165"/>
              <w:spacing w:after="0"/>
              <w:rPr>
                <w:sz w:val="20"/>
                <w:szCs w:val="20"/>
                <w:color w:val="auto"/>
              </w:rPr>
            </w:pPr>
            <w:r>
              <w:rPr>
                <w:rFonts w:ascii="Times New Roman" w:cs="Times New Roman" w:eastAsia="Times New Roman" w:hAnsi="Times New Roman"/>
                <w:sz w:val="19"/>
                <w:szCs w:val="19"/>
                <w:color w:val="212121"/>
              </w:rPr>
              <w:t>$26.00</w:t>
            </w:r>
          </w:p>
        </w:tc>
        <w:tc>
          <w:tcPr>
            <w:tcW w:w="3220" w:type="dxa"/>
            <w:vAlign w:val="bottom"/>
            <w:gridSpan w:val="4"/>
          </w:tcPr>
          <w:p>
            <w:pPr>
              <w:jc w:val="center"/>
              <w:ind w:left="1486"/>
              <w:spacing w:after="0"/>
              <w:rPr>
                <w:sz w:val="20"/>
                <w:szCs w:val="20"/>
                <w:color w:val="auto"/>
              </w:rPr>
            </w:pPr>
            <w:r>
              <w:rPr>
                <w:rFonts w:ascii="Times New Roman" w:cs="Times New Roman" w:eastAsia="Times New Roman" w:hAnsi="Times New Roman"/>
                <w:sz w:val="19"/>
                <w:szCs w:val="19"/>
                <w:color w:val="212121"/>
                <w:w w:val="99"/>
              </w:rPr>
              <w:t xml:space="preserve">$30,437.33 </w:t>
            </w:r>
            <w:r>
              <w:rPr>
                <w:rFonts w:ascii="Times New Roman" w:cs="Times New Roman" w:eastAsia="Times New Roman" w:hAnsi="Times New Roman"/>
                <w:sz w:val="21"/>
                <w:szCs w:val="21"/>
                <w:color w:val="212121"/>
                <w:w w:val="99"/>
              </w:rPr>
              <w:t>*</w:t>
            </w:r>
          </w:p>
        </w:tc>
        <w:tc>
          <w:tcPr>
            <w:tcW w:w="0" w:type="dxa"/>
            <w:vAlign w:val="bottom"/>
          </w:tcPr>
          <w:p>
            <w:pPr>
              <w:spacing w:after="0"/>
              <w:rPr>
                <w:sz w:val="1"/>
                <w:szCs w:val="1"/>
                <w:color w:val="auto"/>
              </w:rPr>
            </w:pPr>
          </w:p>
        </w:tc>
      </w:tr>
      <w:tr>
        <w:trPr>
          <w:trHeight w:val="314"/>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212121"/>
              </w:rPr>
              <w:t>11/1/2023 - 10/31/2024</w:t>
            </w:r>
          </w:p>
        </w:tc>
        <w:tc>
          <w:tcPr>
            <w:tcW w:w="2680" w:type="dxa"/>
            <w:vAlign w:val="bottom"/>
          </w:tcPr>
          <w:p>
            <w:pPr>
              <w:jc w:val="right"/>
              <w:ind w:right="1185"/>
              <w:spacing w:after="0"/>
              <w:rPr>
                <w:sz w:val="20"/>
                <w:szCs w:val="20"/>
                <w:color w:val="auto"/>
              </w:rPr>
            </w:pPr>
            <w:r>
              <w:rPr>
                <w:rFonts w:ascii="Times New Roman" w:cs="Times New Roman" w:eastAsia="Times New Roman" w:hAnsi="Times New Roman"/>
                <w:sz w:val="19"/>
                <w:szCs w:val="19"/>
                <w:color w:val="212121"/>
              </w:rPr>
              <w:t>$26.78</w:t>
            </w:r>
          </w:p>
        </w:tc>
        <w:tc>
          <w:tcPr>
            <w:tcW w:w="3220" w:type="dxa"/>
            <w:vAlign w:val="bottom"/>
            <w:gridSpan w:val="4"/>
          </w:tcPr>
          <w:p>
            <w:pPr>
              <w:jc w:val="center"/>
              <w:ind w:left="1466"/>
              <w:spacing w:after="0"/>
              <w:rPr>
                <w:sz w:val="20"/>
                <w:szCs w:val="20"/>
                <w:color w:val="auto"/>
              </w:rPr>
            </w:pPr>
            <w:r>
              <w:rPr>
                <w:rFonts w:ascii="Times New Roman" w:cs="Times New Roman" w:eastAsia="Times New Roman" w:hAnsi="Times New Roman"/>
                <w:sz w:val="19"/>
                <w:szCs w:val="19"/>
                <w:color w:val="212121"/>
              </w:rPr>
              <w:t>$31,350.45</w:t>
            </w:r>
          </w:p>
        </w:tc>
        <w:tc>
          <w:tcPr>
            <w:tcW w:w="0" w:type="dxa"/>
            <w:vAlign w:val="bottom"/>
          </w:tcPr>
          <w:p>
            <w:pPr>
              <w:spacing w:after="0"/>
              <w:rPr>
                <w:sz w:val="1"/>
                <w:szCs w:val="1"/>
                <w:color w:val="auto"/>
              </w:rPr>
            </w:pPr>
          </w:p>
        </w:tc>
      </w:tr>
      <w:tr>
        <w:trPr>
          <w:trHeight w:val="324"/>
        </w:trPr>
        <w:tc>
          <w:tcPr>
            <w:tcW w:w="3060" w:type="dxa"/>
            <w:vAlign w:val="bottom"/>
            <w:gridSpan w:val="3"/>
          </w:tcPr>
          <w:p>
            <w:pPr>
              <w:spacing w:after="0"/>
              <w:rPr>
                <w:sz w:val="20"/>
                <w:szCs w:val="20"/>
                <w:color w:val="auto"/>
              </w:rPr>
            </w:pPr>
            <w:r>
              <w:rPr>
                <w:rFonts w:ascii="Times New Roman" w:cs="Times New Roman" w:eastAsia="Times New Roman" w:hAnsi="Times New Roman"/>
                <w:sz w:val="19"/>
                <w:szCs w:val="19"/>
                <w:color w:val="212121"/>
              </w:rPr>
              <w:t>11/1/2024 - 10/31/2025</w:t>
            </w:r>
          </w:p>
        </w:tc>
        <w:tc>
          <w:tcPr>
            <w:tcW w:w="2680" w:type="dxa"/>
            <w:vAlign w:val="bottom"/>
          </w:tcPr>
          <w:p>
            <w:pPr>
              <w:jc w:val="right"/>
              <w:ind w:right="1185"/>
              <w:spacing w:after="0"/>
              <w:rPr>
                <w:sz w:val="20"/>
                <w:szCs w:val="20"/>
                <w:color w:val="auto"/>
              </w:rPr>
            </w:pPr>
            <w:r>
              <w:rPr>
                <w:rFonts w:ascii="Times New Roman" w:cs="Times New Roman" w:eastAsia="Times New Roman" w:hAnsi="Times New Roman"/>
                <w:sz w:val="19"/>
                <w:szCs w:val="19"/>
                <w:color w:val="212121"/>
              </w:rPr>
              <w:t>$27.58</w:t>
            </w:r>
          </w:p>
        </w:tc>
        <w:tc>
          <w:tcPr>
            <w:tcW w:w="3220" w:type="dxa"/>
            <w:vAlign w:val="bottom"/>
            <w:gridSpan w:val="4"/>
          </w:tcPr>
          <w:p>
            <w:pPr>
              <w:jc w:val="center"/>
              <w:ind w:left="1466"/>
              <w:spacing w:after="0"/>
              <w:rPr>
                <w:sz w:val="20"/>
                <w:szCs w:val="20"/>
                <w:color w:val="auto"/>
              </w:rPr>
            </w:pPr>
            <w:r>
              <w:rPr>
                <w:rFonts w:ascii="Times New Roman" w:cs="Times New Roman" w:eastAsia="Times New Roman" w:hAnsi="Times New Roman"/>
                <w:sz w:val="19"/>
                <w:szCs w:val="19"/>
                <w:color w:val="212121"/>
              </w:rPr>
              <w:t>$32,286.99</w:t>
            </w:r>
          </w:p>
        </w:tc>
        <w:tc>
          <w:tcPr>
            <w:tcW w:w="0" w:type="dxa"/>
            <w:vAlign w:val="bottom"/>
          </w:tcPr>
          <w:p>
            <w:pPr>
              <w:spacing w:after="0"/>
              <w:rPr>
                <w:sz w:val="1"/>
                <w:szCs w:val="1"/>
                <w:color w:val="auto"/>
              </w:rPr>
            </w:pPr>
          </w:p>
        </w:tc>
      </w:tr>
      <w:tr>
        <w:trPr>
          <w:trHeight w:val="324"/>
        </w:trPr>
        <w:tc>
          <w:tcPr>
            <w:tcW w:w="3060" w:type="dxa"/>
            <w:vAlign w:val="bottom"/>
            <w:gridSpan w:val="3"/>
          </w:tcPr>
          <w:p>
            <w:pPr>
              <w:spacing w:after="0"/>
              <w:rPr>
                <w:sz w:val="20"/>
                <w:szCs w:val="20"/>
                <w:color w:val="auto"/>
              </w:rPr>
            </w:pPr>
            <w:r>
              <w:rPr>
                <w:rFonts w:ascii="Times New Roman" w:cs="Times New Roman" w:eastAsia="Times New Roman" w:hAnsi="Times New Roman"/>
                <w:sz w:val="19"/>
                <w:szCs w:val="19"/>
                <w:color w:val="212121"/>
              </w:rPr>
              <w:t>11/1/2025 - 10/31/2026</w:t>
            </w:r>
          </w:p>
        </w:tc>
        <w:tc>
          <w:tcPr>
            <w:tcW w:w="2680" w:type="dxa"/>
            <w:vAlign w:val="bottom"/>
          </w:tcPr>
          <w:p>
            <w:pPr>
              <w:jc w:val="right"/>
              <w:ind w:right="1185"/>
              <w:spacing w:after="0"/>
              <w:rPr>
                <w:sz w:val="20"/>
                <w:szCs w:val="20"/>
                <w:color w:val="auto"/>
              </w:rPr>
            </w:pPr>
            <w:r>
              <w:rPr>
                <w:rFonts w:ascii="Times New Roman" w:cs="Times New Roman" w:eastAsia="Times New Roman" w:hAnsi="Times New Roman"/>
                <w:sz w:val="19"/>
                <w:szCs w:val="19"/>
                <w:color w:val="212121"/>
              </w:rPr>
              <w:t>$28.41</w:t>
            </w:r>
          </w:p>
        </w:tc>
        <w:tc>
          <w:tcPr>
            <w:tcW w:w="3220" w:type="dxa"/>
            <w:vAlign w:val="bottom"/>
            <w:gridSpan w:val="4"/>
          </w:tcPr>
          <w:p>
            <w:pPr>
              <w:jc w:val="center"/>
              <w:ind w:left="1466"/>
              <w:spacing w:after="0"/>
              <w:rPr>
                <w:sz w:val="20"/>
                <w:szCs w:val="20"/>
                <w:color w:val="auto"/>
              </w:rPr>
            </w:pPr>
            <w:r>
              <w:rPr>
                <w:rFonts w:ascii="Times New Roman" w:cs="Times New Roman" w:eastAsia="Times New Roman" w:hAnsi="Times New Roman"/>
                <w:sz w:val="19"/>
                <w:szCs w:val="19"/>
                <w:color w:val="212121"/>
              </w:rPr>
              <w:t>$33,258.64</w:t>
            </w:r>
          </w:p>
        </w:tc>
        <w:tc>
          <w:tcPr>
            <w:tcW w:w="0" w:type="dxa"/>
            <w:vAlign w:val="bottom"/>
          </w:tcPr>
          <w:p>
            <w:pPr>
              <w:spacing w:after="0"/>
              <w:rPr>
                <w:sz w:val="1"/>
                <w:szCs w:val="1"/>
                <w:color w:val="auto"/>
              </w:rPr>
            </w:pPr>
          </w:p>
        </w:tc>
      </w:tr>
      <w:tr>
        <w:trPr>
          <w:trHeight w:val="324"/>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212121"/>
              </w:rPr>
              <w:t>11/1/2026 - 11/30/2026</w:t>
            </w:r>
          </w:p>
        </w:tc>
        <w:tc>
          <w:tcPr>
            <w:tcW w:w="2680" w:type="dxa"/>
            <w:vAlign w:val="bottom"/>
          </w:tcPr>
          <w:p>
            <w:pPr>
              <w:jc w:val="right"/>
              <w:ind w:right="1185"/>
              <w:spacing w:after="0"/>
              <w:rPr>
                <w:sz w:val="20"/>
                <w:szCs w:val="20"/>
                <w:color w:val="auto"/>
              </w:rPr>
            </w:pPr>
            <w:r>
              <w:rPr>
                <w:rFonts w:ascii="Times New Roman" w:cs="Times New Roman" w:eastAsia="Times New Roman" w:hAnsi="Times New Roman"/>
                <w:sz w:val="19"/>
                <w:szCs w:val="19"/>
                <w:color w:val="212121"/>
              </w:rPr>
              <w:t>$29.26</w:t>
            </w:r>
          </w:p>
        </w:tc>
        <w:tc>
          <w:tcPr>
            <w:tcW w:w="3220" w:type="dxa"/>
            <w:vAlign w:val="bottom"/>
            <w:gridSpan w:val="4"/>
          </w:tcPr>
          <w:p>
            <w:pPr>
              <w:jc w:val="center"/>
              <w:ind w:left="1446"/>
              <w:spacing w:after="0"/>
              <w:rPr>
                <w:sz w:val="20"/>
                <w:szCs w:val="20"/>
                <w:color w:val="auto"/>
              </w:rPr>
            </w:pPr>
            <w:r>
              <w:rPr>
                <w:rFonts w:ascii="Times New Roman" w:cs="Times New Roman" w:eastAsia="Times New Roman" w:hAnsi="Times New Roman"/>
                <w:sz w:val="19"/>
                <w:szCs w:val="19"/>
                <w:color w:val="212121"/>
                <w:w w:val="98"/>
              </w:rPr>
              <w:t>$34,253.71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000" w:right="760" w:hanging="363"/>
        <w:spacing w:after="0" w:line="236" w:lineRule="auto"/>
        <w:tabs>
          <w:tab w:leader="none" w:pos="800" w:val="left"/>
        </w:tabs>
        <w:numPr>
          <w:ilvl w:val="0"/>
          <w:numId w:val="53"/>
        </w:numPr>
        <w:rPr>
          <w:rFonts w:ascii="Times New Roman" w:cs="Times New Roman" w:eastAsia="Times New Roman" w:hAnsi="Times New Roman"/>
          <w:sz w:val="21"/>
          <w:szCs w:val="21"/>
          <w:color w:val="212121"/>
        </w:rPr>
      </w:pPr>
      <w:r>
        <w:rPr>
          <w:rFonts w:ascii="Times New Roman" w:cs="Times New Roman" w:eastAsia="Times New Roman" w:hAnsi="Times New Roman"/>
          <w:sz w:val="19"/>
          <w:szCs w:val="19"/>
          <w:color w:val="212121"/>
        </w:rPr>
        <w:t xml:space="preserve">Landlord agrees to provide Tenant a partial abatement of the Base Rent for the Premises (i) in the amount of $30,437.33 for the month of November 2022; </w:t>
      </w:r>
      <w:r>
        <w:rPr>
          <w:rFonts w:ascii="Times New Roman" w:cs="Times New Roman" w:eastAsia="Times New Roman" w:hAnsi="Times New Roman"/>
          <w:sz w:val="17"/>
          <w:szCs w:val="17"/>
          <w:color w:val="212121"/>
        </w:rPr>
        <w:t>(ii)</w:t>
      </w:r>
      <w:r>
        <w:rPr>
          <w:rFonts w:ascii="Times New Roman" w:cs="Times New Roman" w:eastAsia="Times New Roman" w:hAnsi="Times New Roman"/>
          <w:sz w:val="19"/>
          <w:szCs w:val="19"/>
          <w:color w:val="212121"/>
        </w:rPr>
        <w:t xml:space="preserve"> in the amount of $30,437.33 for the month of December 2022; and (iii) in the amount of</w:t>
      </w:r>
    </w:p>
    <w:p>
      <w:pPr>
        <w:ind w:left="980" w:right="780" w:firstLine="1"/>
        <w:spacing w:after="0" w:line="243" w:lineRule="auto"/>
        <w:rPr>
          <w:rFonts w:ascii="Times New Roman" w:cs="Times New Roman" w:eastAsia="Times New Roman" w:hAnsi="Times New Roman"/>
          <w:sz w:val="21"/>
          <w:szCs w:val="21"/>
          <w:color w:val="212121"/>
        </w:rPr>
      </w:pPr>
      <w:r>
        <w:rPr>
          <w:rFonts w:ascii="Times New Roman" w:cs="Times New Roman" w:eastAsia="Times New Roman" w:hAnsi="Times New Roman"/>
          <w:sz w:val="19"/>
          <w:szCs w:val="19"/>
          <w:color w:val="212121"/>
        </w:rPr>
        <w:t xml:space="preserve">$4,797.00 for the month of January 2023, for a total abatement of $65,671.66 (collectively, the </w:t>
      </w:r>
      <w:r>
        <w:rPr>
          <w:rFonts w:ascii="Times New Roman" w:cs="Times New Roman" w:eastAsia="Times New Roman" w:hAnsi="Times New Roman"/>
          <w:sz w:val="19"/>
          <w:szCs w:val="19"/>
          <w:b w:val="1"/>
          <w:bCs w:val="1"/>
          <w:color w:val="212121"/>
        </w:rPr>
        <w:t>"Abated Rent").</w:t>
      </w:r>
      <w:r>
        <w:rPr>
          <w:rFonts w:ascii="Times New Roman" w:cs="Times New Roman" w:eastAsia="Times New Roman" w:hAnsi="Times New Roman"/>
          <w:sz w:val="19"/>
          <w:szCs w:val="19"/>
          <w:color w:val="212121"/>
        </w:rPr>
        <w:t xml:space="preserve"> Upon the occurrence of a Default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190500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40" w:top="215" w:right="619" w:bottom="1440" w:gutter="0" w:footer="0" w:header="0"/>
        </w:sectPr>
      </w:pPr>
    </w:p>
    <w:bookmarkStart w:id="105" w:name="page106"/>
    <w:bookmarkEnd w:id="105"/>
    <w:p>
      <w:pPr>
        <w:ind w:left="1300" w:right="720" w:firstLine="12"/>
        <w:spacing w:after="0" w:line="265" w:lineRule="auto"/>
        <w:rPr>
          <w:sz w:val="20"/>
          <w:szCs w:val="20"/>
          <w:color w:val="auto"/>
        </w:rPr>
      </w:pPr>
      <w:r>
        <w:rPr>
          <w:rFonts w:ascii="Times New Roman" w:cs="Times New Roman" w:eastAsia="Times New Roman" w:hAnsi="Times New Roman"/>
          <w:sz w:val="19"/>
          <w:szCs w:val="19"/>
          <w:color w:val="212121"/>
        </w:rPr>
        <w:t>under the Lease, the Abated Rent shall be revoked, null and void, and in addition to any other remedies under this Lease, the Abated Rent shall become immediately due and payable to Landlord.</w:t>
      </w:r>
    </w:p>
    <w:p>
      <w:pPr>
        <w:spacing w:after="0" w:line="183" w:lineRule="exact"/>
        <w:rPr>
          <w:sz w:val="20"/>
          <w:szCs w:val="20"/>
          <w:color w:val="auto"/>
        </w:rPr>
      </w:pPr>
    </w:p>
    <w:p>
      <w:pPr>
        <w:jc w:val="both"/>
        <w:ind w:left="220" w:right="20" w:firstLine="712"/>
        <w:spacing w:after="0" w:line="252" w:lineRule="auto"/>
        <w:tabs>
          <w:tab w:leader="none" w:pos="1663" w:val="left"/>
        </w:tabs>
        <w:numPr>
          <w:ilvl w:val="2"/>
          <w:numId w:val="54"/>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12121"/>
        </w:rPr>
        <w:t>Additional Rent; Taxes and Ex</w:t>
      </w:r>
      <w:r>
        <w:rPr>
          <w:rFonts w:ascii="Times New Roman" w:cs="Times New Roman" w:eastAsia="Times New Roman" w:hAnsi="Times New Roman"/>
          <w:sz w:val="18"/>
          <w:szCs w:val="18"/>
          <w:b w:val="1"/>
          <w:bCs w:val="1"/>
          <w:u w:val="single" w:color="auto"/>
          <w:color w:val="4D4D4D"/>
        </w:rPr>
        <w:t>p</w:t>
      </w:r>
      <w:r>
        <w:rPr>
          <w:rFonts w:ascii="Times New Roman" w:cs="Times New Roman" w:eastAsia="Times New Roman" w:hAnsi="Times New Roman"/>
          <w:sz w:val="18"/>
          <w:szCs w:val="18"/>
          <w:b w:val="1"/>
          <w:bCs w:val="1"/>
          <w:u w:val="single" w:color="auto"/>
          <w:color w:val="212121"/>
        </w:rPr>
        <w:t>enses</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Tenant shall continue to pay Additional Rent for the Premises from the date hereof</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 xml:space="preserve">throughout the First Extension Term in accordance with the terms of the Lease, including, without limitation, the Tenant's Pro Rata Share of Expenses and Taxes in accordance with the terms and provisions of </w:t>
      </w:r>
      <w:r>
        <w:rPr>
          <w:rFonts w:ascii="Times New Roman" w:cs="Times New Roman" w:eastAsia="Times New Roman" w:hAnsi="Times New Roman"/>
          <w:sz w:val="18"/>
          <w:szCs w:val="18"/>
          <w:u w:val="single" w:color="auto"/>
          <w:color w:val="212121"/>
        </w:rPr>
        <w:t>Exhibit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9"/>
          <w:szCs w:val="19"/>
          <w:u w:val="single" w:color="auto"/>
          <w:color w:val="212121"/>
        </w:rPr>
        <w:t>B</w:t>
      </w:r>
      <w:r>
        <w:rPr>
          <w:rFonts w:ascii="Times New Roman" w:cs="Times New Roman" w:eastAsia="Times New Roman" w:hAnsi="Times New Roman"/>
          <w:sz w:val="18"/>
          <w:szCs w:val="18"/>
          <w:color w:val="212121"/>
        </w:rPr>
        <w:t xml:space="preserve"> to the Original Lease; provided, however, that effective as of the Partial Reduction Date: </w:t>
      </w:r>
      <w:r>
        <w:rPr>
          <w:rFonts w:ascii="Arial" w:cs="Arial" w:eastAsia="Arial" w:hAnsi="Arial"/>
          <w:sz w:val="18"/>
          <w:szCs w:val="18"/>
          <w:color w:val="212121"/>
        </w:rPr>
        <w:t>(i)</w:t>
      </w:r>
      <w:r>
        <w:rPr>
          <w:rFonts w:ascii="Times New Roman" w:cs="Times New Roman" w:eastAsia="Times New Roman" w:hAnsi="Times New Roman"/>
          <w:sz w:val="18"/>
          <w:szCs w:val="18"/>
          <w:color w:val="212121"/>
        </w:rPr>
        <w:t xml:space="preserve"> the </w:t>
      </w:r>
      <w:r>
        <w:rPr>
          <w:rFonts w:ascii="Times New Roman" w:cs="Times New Roman" w:eastAsia="Times New Roman" w:hAnsi="Times New Roman"/>
          <w:sz w:val="18"/>
          <w:szCs w:val="18"/>
          <w:b w:val="1"/>
          <w:bCs w:val="1"/>
          <w:color w:val="212121"/>
        </w:rPr>
        <w:t>"Rentable Square Footage of the Building"</w:t>
      </w:r>
      <w:r>
        <w:rPr>
          <w:rFonts w:ascii="Times New Roman" w:cs="Times New Roman" w:eastAsia="Times New Roman" w:hAnsi="Times New Roman"/>
          <w:sz w:val="18"/>
          <w:szCs w:val="18"/>
          <w:color w:val="212121"/>
        </w:rPr>
        <w:t xml:space="preserve"> shall be deemed to be 130,381 rentable square feet, (ii) the </w:t>
      </w:r>
      <w:r>
        <w:rPr>
          <w:rFonts w:ascii="Times New Roman" w:cs="Times New Roman" w:eastAsia="Times New Roman" w:hAnsi="Times New Roman"/>
          <w:sz w:val="18"/>
          <w:szCs w:val="18"/>
          <w:b w:val="1"/>
          <w:bCs w:val="1"/>
          <w:color w:val="212121"/>
        </w:rPr>
        <w:t>"Rentable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212121"/>
        </w:rPr>
        <w:t xml:space="preserve">Square Footage of the Premises" </w:t>
      </w:r>
      <w:r>
        <w:rPr>
          <w:rFonts w:ascii="Times New Roman" w:cs="Times New Roman" w:eastAsia="Times New Roman" w:hAnsi="Times New Roman"/>
          <w:sz w:val="18"/>
          <w:szCs w:val="18"/>
          <w:color w:val="212121"/>
        </w:rPr>
        <w:t>shall be deemed to be 14,048 rentable square feet, and (iii)</w:t>
      </w:r>
      <w:r>
        <w:rPr>
          <w:rFonts w:ascii="Times New Roman" w:cs="Times New Roman" w:eastAsia="Times New Roman" w:hAnsi="Times New Roman"/>
          <w:sz w:val="18"/>
          <w:szCs w:val="18"/>
          <w:b w:val="1"/>
          <w:bCs w:val="1"/>
          <w:color w:val="212121"/>
        </w:rPr>
        <w:t xml:space="preserve"> "Tenant's Pro Rata Share" </w:t>
      </w:r>
      <w:r>
        <w:rPr>
          <w:rFonts w:ascii="Times New Roman" w:cs="Times New Roman" w:eastAsia="Times New Roman" w:hAnsi="Times New Roman"/>
          <w:sz w:val="18"/>
          <w:szCs w:val="18"/>
          <w:color w:val="212121"/>
        </w:rPr>
        <w:t>shall be changed to l</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 xml:space="preserve">0.7746%; and (iv) the </w:t>
      </w:r>
      <w:r>
        <w:rPr>
          <w:rFonts w:ascii="Times New Roman" w:cs="Times New Roman" w:eastAsia="Times New Roman" w:hAnsi="Times New Roman"/>
          <w:sz w:val="18"/>
          <w:szCs w:val="18"/>
          <w:b w:val="1"/>
          <w:bCs w:val="1"/>
          <w:color w:val="212121"/>
        </w:rPr>
        <w:t>"Base Year"</w:t>
      </w:r>
      <w:r>
        <w:rPr>
          <w:rFonts w:ascii="Times New Roman" w:cs="Times New Roman" w:eastAsia="Times New Roman" w:hAnsi="Times New Roman"/>
          <w:sz w:val="18"/>
          <w:szCs w:val="18"/>
          <w:color w:val="212121"/>
        </w:rPr>
        <w:t xml:space="preserve"> shall be changed to calendar year 2022.</w:t>
      </w:r>
    </w:p>
    <w:p>
      <w:pPr>
        <w:spacing w:after="0" w:line="197" w:lineRule="exact"/>
        <w:rPr>
          <w:rFonts w:ascii="Times New Roman" w:cs="Times New Roman" w:eastAsia="Times New Roman" w:hAnsi="Times New Roman"/>
          <w:sz w:val="20"/>
          <w:szCs w:val="20"/>
          <w:b w:val="1"/>
          <w:bCs w:val="1"/>
          <w:color w:val="232323"/>
        </w:rPr>
      </w:pPr>
    </w:p>
    <w:p>
      <w:pPr>
        <w:jc w:val="both"/>
        <w:ind w:left="200" w:firstLine="716"/>
        <w:spacing w:after="0" w:line="253" w:lineRule="auto"/>
        <w:tabs>
          <w:tab w:leader="none" w:pos="1643" w:val="left"/>
        </w:tabs>
        <w:numPr>
          <w:ilvl w:val="1"/>
          <w:numId w:val="55"/>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12121"/>
        </w:rPr>
        <w:t>Acce</w:t>
      </w:r>
      <w:r>
        <w:rPr>
          <w:rFonts w:ascii="Times New Roman" w:cs="Times New Roman" w:eastAsia="Times New Roman" w:hAnsi="Times New Roman"/>
          <w:sz w:val="18"/>
          <w:szCs w:val="18"/>
          <w:b w:val="1"/>
          <w:bCs w:val="1"/>
          <w:u w:val="single" w:color="auto"/>
          <w:color w:val="4D4D4D"/>
        </w:rPr>
        <w:t>p</w:t>
      </w:r>
      <w:r>
        <w:rPr>
          <w:rFonts w:ascii="Times New Roman" w:cs="Times New Roman" w:eastAsia="Times New Roman" w:hAnsi="Times New Roman"/>
          <w:sz w:val="18"/>
          <w:szCs w:val="18"/>
          <w:b w:val="1"/>
          <w:bCs w:val="1"/>
          <w:u w:val="single" w:color="auto"/>
          <w:color w:val="212121"/>
        </w:rPr>
        <w:t>tance of Existing Premises.</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Tenant is in possession of, and has accepted, the Existing Premises, and acknowledges that all</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the work to be performed by the Landlord in the Existing Premises as required by the terms of the Lease, if any, has been satisfactorily completed. Tenant further acknowledges and agrees that, except for the Demising Work, Landlord shall have no obligation to furnish, render or supply any work, labor, services, materials, improvements or other items to make the Premises (as reduced) ready or suitable for Tenant's continued occupancy.</w:t>
      </w:r>
    </w:p>
    <w:p>
      <w:pPr>
        <w:spacing w:after="0" w:line="182" w:lineRule="exact"/>
        <w:rPr>
          <w:rFonts w:ascii="Times New Roman" w:cs="Times New Roman" w:eastAsia="Times New Roman" w:hAnsi="Times New Roman"/>
          <w:sz w:val="20"/>
          <w:szCs w:val="20"/>
          <w:b w:val="1"/>
          <w:bCs w:val="1"/>
          <w:color w:val="232323"/>
        </w:rPr>
      </w:pPr>
    </w:p>
    <w:p>
      <w:pPr>
        <w:jc w:val="both"/>
        <w:ind w:left="180" w:right="20" w:firstLine="722"/>
        <w:spacing w:after="0" w:line="249" w:lineRule="auto"/>
        <w:tabs>
          <w:tab w:leader="none" w:pos="1623" w:val="left"/>
        </w:tabs>
        <w:numPr>
          <w:ilvl w:val="0"/>
          <w:numId w:val="56"/>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12121"/>
        </w:rPr>
        <w:t>Parking;</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Notwithstanding anything in the Original Lease to the contrary, Landlord and Tenant acknowledge and agree that, from</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and after the Partial Reduction Date, Tenant shall only be entitled to use three and one-half (3.5) unreserved parking spaces per 1,000 rentable square feet of the Premises (as reduced) and, except as amended hereby, the use of said parking spaces shall be subject to and in accordance with the terms</w:t>
      </w:r>
    </w:p>
    <w:p>
      <w:pPr>
        <w:spacing w:after="0" w:line="2" w:lineRule="exact"/>
        <w:rPr>
          <w:sz w:val="20"/>
          <w:szCs w:val="20"/>
          <w:color w:val="auto"/>
        </w:rPr>
      </w:pPr>
    </w:p>
    <w:p>
      <w:pPr>
        <w:ind w:left="180"/>
        <w:spacing w:after="0"/>
        <w:tabs>
          <w:tab w:leader="none" w:pos="7000" w:val="left"/>
        </w:tabs>
        <w:rPr>
          <w:sz w:val="20"/>
          <w:szCs w:val="20"/>
          <w:color w:val="auto"/>
        </w:rPr>
      </w:pPr>
      <w:r>
        <w:rPr>
          <w:rFonts w:ascii="Times New Roman" w:cs="Times New Roman" w:eastAsia="Times New Roman" w:hAnsi="Times New Roman"/>
          <w:sz w:val="18"/>
          <w:szCs w:val="18"/>
          <w:color w:val="212121"/>
        </w:rPr>
        <w:t xml:space="preserve">and provisions of Additional Provision l (Parking) on </w:t>
      </w:r>
      <w:r>
        <w:rPr>
          <w:rFonts w:ascii="Times New Roman" w:cs="Times New Roman" w:eastAsia="Times New Roman" w:hAnsi="Times New Roman"/>
          <w:sz w:val="18"/>
          <w:szCs w:val="18"/>
          <w:u w:val="single" w:color="auto"/>
          <w:color w:val="212121"/>
        </w:rPr>
        <w:t>Exhibit F</w:t>
      </w:r>
      <w:r>
        <w:rPr>
          <w:rFonts w:ascii="Times New Roman" w:cs="Times New Roman" w:eastAsia="Times New Roman" w:hAnsi="Times New Roman"/>
          <w:sz w:val="18"/>
          <w:szCs w:val="18"/>
          <w:color w:val="212121"/>
        </w:rPr>
        <w:t xml:space="preserve"> to the Original Lease.</w:t>
      </w:r>
      <w:r>
        <w:rPr>
          <w:sz w:val="20"/>
          <w:szCs w:val="20"/>
          <w:color w:val="auto"/>
        </w:rPr>
        <w:tab/>
      </w:r>
      <w:r>
        <w:rPr>
          <w:rFonts w:ascii="Times New Roman" w:cs="Times New Roman" w:eastAsia="Times New Roman" w:hAnsi="Times New Roman"/>
          <w:sz w:val="12"/>
          <w:szCs w:val="12"/>
          <w:color w:val="212121"/>
        </w:rPr>
        <w:t>·</w:t>
      </w:r>
    </w:p>
    <w:p>
      <w:pPr>
        <w:spacing w:after="0" w:line="185" w:lineRule="exact"/>
        <w:rPr>
          <w:sz w:val="20"/>
          <w:szCs w:val="20"/>
          <w:color w:val="auto"/>
        </w:rPr>
      </w:pPr>
    </w:p>
    <w:p>
      <w:pPr>
        <w:jc w:val="both"/>
        <w:ind w:left="160" w:right="20" w:firstLine="726"/>
        <w:spacing w:after="0" w:line="270" w:lineRule="auto"/>
        <w:tabs>
          <w:tab w:leader="none" w:pos="1604" w:val="left"/>
        </w:tabs>
        <w:numPr>
          <w:ilvl w:val="0"/>
          <w:numId w:val="57"/>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0"/>
          <w:szCs w:val="20"/>
          <w:b w:val="1"/>
          <w:bCs w:val="1"/>
          <w:u w:val="single" w:color="auto"/>
          <w:color w:val="212121"/>
        </w:rPr>
        <w:t>Extension</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b w:val="1"/>
          <w:bCs w:val="1"/>
          <w:u w:val="single" w:color="auto"/>
          <w:color w:val="212121"/>
        </w:rPr>
        <w:t>O</w:t>
      </w:r>
      <w:r>
        <w:rPr>
          <w:rFonts w:ascii="Times New Roman" w:cs="Times New Roman" w:eastAsia="Times New Roman" w:hAnsi="Times New Roman"/>
          <w:sz w:val="17"/>
          <w:szCs w:val="17"/>
          <w:b w:val="1"/>
          <w:bCs w:val="1"/>
          <w:u w:val="single" w:color="auto"/>
          <w:color w:val="4D4D4D"/>
        </w:rPr>
        <w:t>p</w:t>
      </w:r>
      <w:r>
        <w:rPr>
          <w:rFonts w:ascii="Times New Roman" w:cs="Times New Roman" w:eastAsia="Times New Roman" w:hAnsi="Times New Roman"/>
          <w:sz w:val="17"/>
          <w:szCs w:val="17"/>
          <w:b w:val="1"/>
          <w:bCs w:val="1"/>
          <w:u w:val="single" w:color="auto"/>
          <w:color w:val="212121"/>
        </w:rPr>
        <w:t>tion</w:t>
      </w:r>
      <w:r>
        <w:rPr>
          <w:rFonts w:ascii="Times New Roman" w:cs="Times New Roman" w:eastAsia="Times New Roman" w:hAnsi="Times New Roman"/>
          <w:sz w:val="17"/>
          <w:szCs w:val="17"/>
          <w:b w:val="1"/>
          <w:bCs w:val="1"/>
          <w:color w:val="212121"/>
        </w:rPr>
        <w:t>.</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color w:val="212121"/>
        </w:rPr>
        <w:t>Effective as of the date hereof, any and all rights of extension options or rights to renew the Lease Term,</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color w:val="212121"/>
        </w:rPr>
        <w:t xml:space="preserve">without limitation, Additional Provision 2 (Extension Option) on </w:t>
      </w:r>
      <w:r>
        <w:rPr>
          <w:rFonts w:ascii="Times New Roman" w:cs="Times New Roman" w:eastAsia="Times New Roman" w:hAnsi="Times New Roman"/>
          <w:sz w:val="17"/>
          <w:szCs w:val="17"/>
          <w:u w:val="single" w:color="auto"/>
          <w:color w:val="212121"/>
        </w:rPr>
        <w:t>Exhibit</w:t>
      </w:r>
      <w:r>
        <w:rPr>
          <w:rFonts w:ascii="Times New Roman" w:cs="Times New Roman" w:eastAsia="Times New Roman" w:hAnsi="Times New Roman"/>
          <w:sz w:val="17"/>
          <w:szCs w:val="17"/>
          <w:color w:val="212121"/>
        </w:rPr>
        <w:t xml:space="preserve"> </w:t>
      </w:r>
      <w:r>
        <w:rPr>
          <w:rFonts w:ascii="Arial" w:cs="Arial" w:eastAsia="Arial" w:hAnsi="Arial"/>
          <w:sz w:val="18"/>
          <w:szCs w:val="18"/>
          <w:b w:val="1"/>
          <w:bCs w:val="1"/>
          <w:u w:val="single" w:color="auto"/>
          <w:color w:val="212121"/>
        </w:rPr>
        <w:t>F</w:t>
      </w:r>
      <w:r>
        <w:rPr>
          <w:rFonts w:ascii="Times New Roman" w:cs="Times New Roman" w:eastAsia="Times New Roman" w:hAnsi="Times New Roman"/>
          <w:sz w:val="17"/>
          <w:szCs w:val="17"/>
          <w:color w:val="212121"/>
        </w:rPr>
        <w:t xml:space="preserve"> to the Original Lease, shall be deleted in their entirety and shall be of no further force or effect. Notwithstanding the foregoing, provided no Default by Tenant has occurred which remains uncured either as of the date of Tenant's notice as set forth below or as of the first day of the Second Extension Term (as hereinafter defined), Tenant shall have the right (the </w:t>
      </w:r>
      <w:r>
        <w:rPr>
          <w:rFonts w:ascii="Times New Roman" w:cs="Times New Roman" w:eastAsia="Times New Roman" w:hAnsi="Times New Roman"/>
          <w:sz w:val="17"/>
          <w:szCs w:val="17"/>
          <w:b w:val="1"/>
          <w:bCs w:val="1"/>
          <w:color w:val="212121"/>
        </w:rPr>
        <w:t xml:space="preserve">"Extension Option") </w:t>
      </w:r>
      <w:r>
        <w:rPr>
          <w:rFonts w:ascii="Times New Roman" w:cs="Times New Roman" w:eastAsia="Times New Roman" w:hAnsi="Times New Roman"/>
          <w:sz w:val="17"/>
          <w:szCs w:val="17"/>
          <w:color w:val="212121"/>
        </w:rPr>
        <w:t>to extend the Term of the Lease for one (1) additional period of three (3) years (the</w:t>
      </w:r>
      <w:r>
        <w:rPr>
          <w:rFonts w:ascii="Times New Roman" w:cs="Times New Roman" w:eastAsia="Times New Roman" w:hAnsi="Times New Roman"/>
          <w:sz w:val="17"/>
          <w:szCs w:val="17"/>
          <w:b w:val="1"/>
          <w:bCs w:val="1"/>
          <w:color w:val="212121"/>
        </w:rPr>
        <w:t xml:space="preserve"> "Second Extension Term") </w:t>
      </w:r>
      <w:r>
        <w:rPr>
          <w:rFonts w:ascii="Times New Roman" w:cs="Times New Roman" w:eastAsia="Times New Roman" w:hAnsi="Times New Roman"/>
          <w:sz w:val="17"/>
          <w:szCs w:val="17"/>
          <w:color w:val="212121"/>
        </w:rPr>
        <w:t>with respect</w:t>
      </w:r>
      <w:r>
        <w:rPr>
          <w:rFonts w:ascii="Times New Roman" w:cs="Times New Roman" w:eastAsia="Times New Roman" w:hAnsi="Times New Roman"/>
          <w:sz w:val="17"/>
          <w:szCs w:val="17"/>
          <w:b w:val="1"/>
          <w:bCs w:val="1"/>
          <w:color w:val="212121"/>
        </w:rPr>
        <w:t xml:space="preserve"> </w:t>
      </w:r>
      <w:r>
        <w:rPr>
          <w:rFonts w:ascii="Times New Roman" w:cs="Times New Roman" w:eastAsia="Times New Roman" w:hAnsi="Times New Roman"/>
          <w:sz w:val="17"/>
          <w:szCs w:val="17"/>
          <w:color w:val="212121"/>
        </w:rPr>
        <w:t>to all, but not any lesser portion of the Premises, upon all of the following terms and conditions:</w:t>
      </w:r>
    </w:p>
    <w:p>
      <w:pPr>
        <w:spacing w:after="0" w:line="175" w:lineRule="exact"/>
        <w:rPr>
          <w:rFonts w:ascii="Times New Roman" w:cs="Times New Roman" w:eastAsia="Times New Roman" w:hAnsi="Times New Roman"/>
          <w:sz w:val="20"/>
          <w:szCs w:val="20"/>
          <w:b w:val="1"/>
          <w:bCs w:val="1"/>
          <w:color w:val="232323"/>
        </w:rPr>
      </w:pPr>
    </w:p>
    <w:p>
      <w:pPr>
        <w:jc w:val="both"/>
        <w:ind w:left="160" w:right="20" w:firstLine="1445"/>
        <w:spacing w:after="0" w:line="266" w:lineRule="auto"/>
        <w:tabs>
          <w:tab w:leader="none" w:pos="2334" w:val="left"/>
        </w:tabs>
        <w:numPr>
          <w:ilvl w:val="1"/>
          <w:numId w:val="57"/>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Tenant must provide Landlord notice of its exercise of the option for the applicable Second Extension Term not less than nine (9) months prior, but not more than twelve (12) months prior, to the expiration of the First Extension Term. Time is of the essence with respect to the foregoing.</w:t>
      </w:r>
    </w:p>
    <w:p>
      <w:pPr>
        <w:spacing w:after="0" w:line="175" w:lineRule="exact"/>
        <w:rPr>
          <w:rFonts w:ascii="Times New Roman" w:cs="Times New Roman" w:eastAsia="Times New Roman" w:hAnsi="Times New Roman"/>
          <w:sz w:val="18"/>
          <w:szCs w:val="18"/>
          <w:color w:val="212121"/>
        </w:rPr>
      </w:pPr>
    </w:p>
    <w:p>
      <w:pPr>
        <w:jc w:val="both"/>
        <w:ind w:left="140" w:right="40" w:firstLine="1466"/>
        <w:spacing w:after="0" w:line="256" w:lineRule="auto"/>
        <w:tabs>
          <w:tab w:leader="none" w:pos="2329" w:val="left"/>
        </w:tabs>
        <w:numPr>
          <w:ilvl w:val="1"/>
          <w:numId w:val="57"/>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 xml:space="preserve">The Base Rent for the Second Extension Term shall be one hundred percent (100%) of the then prevailing market rental rate, as of the date of Tenant's notice for the Second Extension Term </w:t>
      </w:r>
      <w:r>
        <w:rPr>
          <w:rFonts w:ascii="Times New Roman" w:cs="Times New Roman" w:eastAsia="Times New Roman" w:hAnsi="Times New Roman"/>
          <w:sz w:val="18"/>
          <w:szCs w:val="18"/>
          <w:b w:val="1"/>
          <w:bCs w:val="1"/>
          <w:color w:val="212121"/>
        </w:rPr>
        <w:t>("Notice Date"),</w:t>
      </w:r>
      <w:r>
        <w:rPr>
          <w:rFonts w:ascii="Times New Roman" w:cs="Times New Roman" w:eastAsia="Times New Roman" w:hAnsi="Times New Roman"/>
          <w:sz w:val="18"/>
          <w:szCs w:val="18"/>
          <w:color w:val="212121"/>
        </w:rPr>
        <w:t xml:space="preserve"> for comparable leases during the Second Extension on a per </w:t>
      </w:r>
      <w:r>
        <w:rPr>
          <w:rFonts w:ascii="Times New Roman" w:cs="Times New Roman" w:eastAsia="Times New Roman" w:hAnsi="Times New Roman"/>
          <w:sz w:val="18"/>
          <w:szCs w:val="18"/>
          <w:color w:val="4D4D4D"/>
        </w:rPr>
        <w:t>·</w:t>
      </w:r>
      <w:r>
        <w:rPr>
          <w:rFonts w:ascii="Times New Roman" w:cs="Times New Roman" w:eastAsia="Times New Roman" w:hAnsi="Times New Roman"/>
          <w:sz w:val="18"/>
          <w:szCs w:val="18"/>
          <w:color w:val="212121"/>
        </w:rPr>
        <w:t>rentable square foot basis in the Alpharetta, Georgia market area (the</w:t>
      </w:r>
      <w:r>
        <w:rPr>
          <w:rFonts w:ascii="Times New Roman" w:cs="Times New Roman" w:eastAsia="Times New Roman" w:hAnsi="Times New Roman"/>
          <w:sz w:val="18"/>
          <w:szCs w:val="18"/>
          <w:color w:val="4D4D4D"/>
        </w:rPr>
        <w:t xml:space="preserve"> </w:t>
      </w:r>
      <w:r>
        <w:rPr>
          <w:rFonts w:ascii="Times New Roman" w:cs="Times New Roman" w:eastAsia="Times New Roman" w:hAnsi="Times New Roman"/>
          <w:sz w:val="18"/>
          <w:szCs w:val="18"/>
          <w:b w:val="1"/>
          <w:bCs w:val="1"/>
          <w:color w:val="212121"/>
        </w:rPr>
        <w:t>"Market Area")</w:t>
      </w:r>
      <w:r>
        <w:rPr>
          <w:rFonts w:ascii="Times New Roman" w:cs="Times New Roman" w:eastAsia="Times New Roman" w:hAnsi="Times New Roman"/>
          <w:sz w:val="18"/>
          <w:szCs w:val="18"/>
          <w:color w:val="4D4D4D"/>
        </w:rPr>
        <w:t xml:space="preserve"> </w:t>
      </w:r>
      <w:r>
        <w:rPr>
          <w:rFonts w:ascii="Times New Roman" w:cs="Times New Roman" w:eastAsia="Times New Roman" w:hAnsi="Times New Roman"/>
          <w:sz w:val="18"/>
          <w:szCs w:val="18"/>
          <w:color w:val="212121"/>
        </w:rPr>
        <w:t>which market rental rate shall be determined by taking into</w:t>
      </w:r>
      <w:r>
        <w:rPr>
          <w:rFonts w:ascii="Times New Roman" w:cs="Times New Roman" w:eastAsia="Times New Roman" w:hAnsi="Times New Roman"/>
          <w:sz w:val="18"/>
          <w:szCs w:val="18"/>
          <w:color w:val="4D4D4D"/>
        </w:rPr>
        <w:t xml:space="preserve"> </w:t>
      </w:r>
      <w:r>
        <w:rPr>
          <w:rFonts w:ascii="Times New Roman" w:cs="Times New Roman" w:eastAsia="Times New Roman" w:hAnsi="Times New Roman"/>
          <w:sz w:val="18"/>
          <w:szCs w:val="18"/>
          <w:color w:val="212121"/>
        </w:rPr>
        <w:t xml:space="preserve">account all relevant factors, including, without limitation, size of space, age, location and quality of building, length of term, credit standing of tenant, method of paying operating costs, services provided and other market terms such as tenant improvement allowances, commissions payable, free rent and/or other concessions then being provided in the market (the </w:t>
      </w:r>
      <w:r>
        <w:rPr>
          <w:rFonts w:ascii="Times New Roman" w:cs="Times New Roman" w:eastAsia="Times New Roman" w:hAnsi="Times New Roman"/>
          <w:sz w:val="18"/>
          <w:szCs w:val="18"/>
          <w:b w:val="1"/>
          <w:bCs w:val="1"/>
          <w:color w:val="212121"/>
        </w:rPr>
        <w:t>"Market Rental Rate").</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212121"/>
        </w:rPr>
        <w:t>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32323"/>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168910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235" w:right="499" w:bottom="1440" w:gutter="0" w:footer="0" w:header="0"/>
        </w:sectPr>
      </w:pPr>
    </w:p>
    <w:bookmarkStart w:id="106" w:name="page107"/>
    <w:bookmarkEnd w:id="106"/>
    <w:p>
      <w:pPr>
        <w:jc w:val="both"/>
        <w:ind w:left="160" w:firstLine="1399"/>
        <w:spacing w:after="0" w:line="266" w:lineRule="auto"/>
        <w:tabs>
          <w:tab w:leader="none" w:pos="2268" w:val="left"/>
        </w:tabs>
        <w:numPr>
          <w:ilvl w:val="1"/>
          <w:numId w:val="58"/>
        </w:numPr>
        <w:rPr>
          <w:rFonts w:ascii="Times New Roman" w:cs="Times New Roman" w:eastAsia="Times New Roman" w:hAnsi="Times New Roman"/>
          <w:sz w:val="18"/>
          <w:szCs w:val="18"/>
          <w:color w:val="212121"/>
        </w:rPr>
      </w:pPr>
      <w:r>
        <w:rPr>
          <w:rFonts w:ascii="Arial" w:cs="Arial" w:eastAsia="Arial" w:hAnsi="Arial"/>
          <w:sz w:val="19"/>
          <w:szCs w:val="19"/>
          <w:color w:val="212121"/>
        </w:rPr>
        <w:t xml:space="preserve">If </w:t>
      </w:r>
      <w:r>
        <w:rPr>
          <w:rFonts w:ascii="Times New Roman" w:cs="Times New Roman" w:eastAsia="Times New Roman" w:hAnsi="Times New Roman"/>
          <w:sz w:val="17"/>
          <w:szCs w:val="17"/>
          <w:color w:val="212121"/>
        </w:rPr>
        <w:t>Tenant exercises its option for the Second Extension Term by written notice to Landlord as provided above, Landlord</w:t>
      </w:r>
      <w:r>
        <w:rPr>
          <w:rFonts w:ascii="Arial" w:cs="Arial" w:eastAsia="Arial" w:hAnsi="Arial"/>
          <w:sz w:val="19"/>
          <w:szCs w:val="19"/>
          <w:color w:val="212121"/>
        </w:rPr>
        <w:t xml:space="preserve"> </w:t>
      </w:r>
      <w:r>
        <w:rPr>
          <w:rFonts w:ascii="Times New Roman" w:cs="Times New Roman" w:eastAsia="Times New Roman" w:hAnsi="Times New Roman"/>
          <w:sz w:val="17"/>
          <w:szCs w:val="17"/>
          <w:color w:val="212121"/>
        </w:rPr>
        <w:t xml:space="preserve">and Tenant shall meet promptly and shall negotiate, in good faith, to reach agreement on the Market Rental Rate within thirty (30) days following the Notice Date. If Landlord and Tenant are unable to reach agreement within such thirty (30) day period, Tenant may, at its option, either (i) cancel its exercise of the option to extend the term of this Lease, or (ii) elect to have the Market Rental Rate determined as set forth below. Tenant shall notify Landlord, within five (5) business days after the expiration of the aforesaid thirty (30) day period, of its election either to cancel its exercise of the option to extend or to have the Market Rental Rate determined as set forth below. </w:t>
      </w:r>
      <w:r>
        <w:rPr>
          <w:rFonts w:ascii="Times New Roman" w:cs="Times New Roman" w:eastAsia="Times New Roman" w:hAnsi="Times New Roman"/>
          <w:sz w:val="19"/>
          <w:szCs w:val="19"/>
          <w:color w:val="212121"/>
        </w:rPr>
        <w:t>If</w:t>
      </w:r>
      <w:r>
        <w:rPr>
          <w:rFonts w:ascii="Times New Roman" w:cs="Times New Roman" w:eastAsia="Times New Roman" w:hAnsi="Times New Roman"/>
          <w:sz w:val="17"/>
          <w:szCs w:val="17"/>
          <w:color w:val="212121"/>
        </w:rPr>
        <w:t xml:space="preserve"> Tenant elects to cancel its exercise of the option to extend, the Lease shall terminate upon the expiration of the First Extension Tenn. If Tenant does not notify Landlord of either of the options contained in subsentences (i) and (ii) above within said five (5) business day period, then Tenant shall be deemed to have elected the option contained in subsentence (ii) and to have the Market Rental Rate determined as set forth in subsection (d) below.</w:t>
      </w:r>
    </w:p>
    <w:p>
      <w:pPr>
        <w:spacing w:after="0" w:line="186" w:lineRule="exact"/>
        <w:rPr>
          <w:rFonts w:ascii="Times New Roman" w:cs="Times New Roman" w:eastAsia="Times New Roman" w:hAnsi="Times New Roman"/>
          <w:sz w:val="18"/>
          <w:szCs w:val="18"/>
          <w:color w:val="212121"/>
        </w:rPr>
      </w:pPr>
    </w:p>
    <w:p>
      <w:pPr>
        <w:jc w:val="both"/>
        <w:ind w:left="140" w:right="20" w:firstLine="1436"/>
        <w:spacing w:after="0" w:line="267" w:lineRule="auto"/>
        <w:tabs>
          <w:tab w:leader="none" w:pos="2295" w:val="left"/>
        </w:tabs>
        <w:numPr>
          <w:ilvl w:val="2"/>
          <w:numId w:val="58"/>
        </w:numPr>
        <w:rPr>
          <w:rFonts w:ascii="Times New Roman" w:cs="Times New Roman" w:eastAsia="Times New Roman" w:hAnsi="Times New Roman"/>
          <w:sz w:val="18"/>
          <w:szCs w:val="18"/>
          <w:color w:val="212121"/>
        </w:rPr>
      </w:pPr>
      <w:r>
        <w:rPr>
          <w:rFonts w:ascii="Arial" w:cs="Arial" w:eastAsia="Arial" w:hAnsi="Arial"/>
          <w:sz w:val="19"/>
          <w:szCs w:val="19"/>
          <w:color w:val="212121"/>
        </w:rPr>
        <w:t xml:space="preserve">If </w:t>
      </w:r>
      <w:r>
        <w:rPr>
          <w:rFonts w:ascii="Times New Roman" w:cs="Times New Roman" w:eastAsia="Times New Roman" w:hAnsi="Times New Roman"/>
          <w:sz w:val="17"/>
          <w:szCs w:val="17"/>
          <w:color w:val="212121"/>
        </w:rPr>
        <w:t>Tenant elects (or is deemed to have elected) to have the Market Rental Rate determined as described herein, then</w:t>
      </w:r>
      <w:r>
        <w:rPr>
          <w:rFonts w:ascii="Arial" w:cs="Arial" w:eastAsia="Arial" w:hAnsi="Arial"/>
          <w:sz w:val="19"/>
          <w:szCs w:val="19"/>
          <w:color w:val="212121"/>
        </w:rPr>
        <w:t xml:space="preserve"> </w:t>
      </w:r>
      <w:r>
        <w:rPr>
          <w:rFonts w:ascii="Times New Roman" w:cs="Times New Roman" w:eastAsia="Times New Roman" w:hAnsi="Times New Roman"/>
          <w:sz w:val="17"/>
          <w:szCs w:val="17"/>
          <w:color w:val="212121"/>
        </w:rPr>
        <w:t xml:space="preserve">within fifteen (15) business days after the date of Tenant's election (or deemed election), Landlord and Tenant shall mutually agree upon a commercial real estate broker who has at least ten (10) years' experience, immediately prior to the date in question, evaluating Market Rental Rates for similar properties in the Market Area. If the parties are unable to agree on a broker the parties shall ask the commercial division of the Atlanta Board of Realtors to designate a broker. The broker agreed upon or so designated is hereinafter referred to as the </w:t>
      </w:r>
      <w:r>
        <w:rPr>
          <w:rFonts w:ascii="Times New Roman" w:cs="Times New Roman" w:eastAsia="Times New Roman" w:hAnsi="Times New Roman"/>
          <w:sz w:val="17"/>
          <w:szCs w:val="17"/>
          <w:b w:val="1"/>
          <w:bCs w:val="1"/>
          <w:color w:val="212121"/>
        </w:rPr>
        <w:t>"Market Broker".</w:t>
      </w:r>
      <w:r>
        <w:rPr>
          <w:rFonts w:ascii="Times New Roman" w:cs="Times New Roman" w:eastAsia="Times New Roman" w:hAnsi="Times New Roman"/>
          <w:sz w:val="17"/>
          <w:szCs w:val="17"/>
          <w:color w:val="212121"/>
        </w:rPr>
        <w:t xml:space="preserve"> Within ten (10) business days after the Market Broker has been agreed upon or appointed, Landlord and Tenant shall each deliver to the Market Broker in writing their respective written determinations of the Market Rental Rate. Within thirty (30) days after receipt of the final written determinations, the Market Broker shall select Landlord's determination or Tenant's determination, but no other amount and no compromise between the two, as the Market Rental Rate. The fees and expenses of the Market Broker shall be borne equally by Landlord and Tenant. The determination of the Market Rental Rate as provided above shall be final, binding and conclusive on both Landlord and Tenant, shall be considered a final award pursuant to the rules of the American Arbitration Association and any applicable state or federal law and judgment may be had on the award in any court of competent jurisdiction.</w:t>
      </w:r>
    </w:p>
    <w:p>
      <w:pPr>
        <w:spacing w:after="0" w:line="200" w:lineRule="exact"/>
        <w:rPr>
          <w:rFonts w:ascii="Times New Roman" w:cs="Times New Roman" w:eastAsia="Times New Roman" w:hAnsi="Times New Roman"/>
          <w:sz w:val="18"/>
          <w:szCs w:val="18"/>
          <w:color w:val="212121"/>
        </w:rPr>
      </w:pPr>
    </w:p>
    <w:p>
      <w:pPr>
        <w:spacing w:after="0" w:line="212" w:lineRule="exact"/>
        <w:rPr>
          <w:rFonts w:ascii="Times New Roman" w:cs="Times New Roman" w:eastAsia="Times New Roman" w:hAnsi="Times New Roman"/>
          <w:sz w:val="18"/>
          <w:szCs w:val="18"/>
          <w:color w:val="212121"/>
        </w:rPr>
      </w:pPr>
    </w:p>
    <w:p>
      <w:pPr>
        <w:jc w:val="both"/>
        <w:ind w:left="120" w:right="40" w:firstLine="1425"/>
        <w:spacing w:after="0" w:line="256" w:lineRule="auto"/>
        <w:tabs>
          <w:tab w:leader="none" w:pos="2260" w:val="left"/>
        </w:tabs>
        <w:numPr>
          <w:ilvl w:val="0"/>
          <w:numId w:val="59"/>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Except for Base Rent at the new rate determined pursuant to the terms and provisions set forth above, all of the terms and conditions of the Lease shall remain the same and shall remain in full force and effect throughout the Second Extension Term; provided, however, that any construction provisions requiring Landlord to construct improvements, free rent, improvement allowances, moving allowances, lease assumption payments, plan design allowances (or payments) or other similar concessions provided for in the Lease shall not apply during the Second Extension Tenn. During the Second Extension Term, Tenant shall continue to pay the Tenant's Pro Rata Share of Expenses and Taxes as provided in the Lease.</w:t>
      </w:r>
    </w:p>
    <w:p>
      <w:pPr>
        <w:spacing w:after="0" w:line="187" w:lineRule="exact"/>
        <w:rPr>
          <w:sz w:val="20"/>
          <w:szCs w:val="20"/>
          <w:color w:val="auto"/>
        </w:rPr>
      </w:pPr>
    </w:p>
    <w:p>
      <w:pPr>
        <w:jc w:val="both"/>
        <w:ind w:left="120" w:right="40" w:firstLine="12"/>
        <w:spacing w:after="0" w:line="261" w:lineRule="auto"/>
        <w:rPr>
          <w:sz w:val="20"/>
          <w:szCs w:val="20"/>
          <w:color w:val="auto"/>
        </w:rPr>
      </w:pPr>
      <w:r>
        <w:rPr>
          <w:rFonts w:ascii="Times New Roman" w:cs="Times New Roman" w:eastAsia="Times New Roman" w:hAnsi="Times New Roman"/>
          <w:sz w:val="18"/>
          <w:szCs w:val="18"/>
          <w:color w:val="212121"/>
        </w:rPr>
        <w:t>This Extension Option is personal to Clearside Biomedical, Inc., a Delaware corporation, may not be exercised by any party other than Clearside Biomedical, Inc., a Delaware corporation (or an assignee pursuant to a Business Transfer (as defined in Section 11.04 of the Original Lease), and shall become null and void upon the occurrence of an assignment of the Lease (by operation of law or otherwise) or a sublet of all or a part of the Premises other than in connection with a Business Transfer.</w:t>
      </w:r>
    </w:p>
    <w:p>
      <w:pPr>
        <w:spacing w:after="0" w:line="117" w:lineRule="exact"/>
        <w:rPr>
          <w:sz w:val="20"/>
          <w:szCs w:val="20"/>
          <w:color w:val="auto"/>
        </w:rPr>
      </w:pPr>
    </w:p>
    <w:p>
      <w:pPr>
        <w:ind w:left="120" w:right="140" w:firstLine="706"/>
        <w:spacing w:after="0" w:line="297" w:lineRule="auto"/>
        <w:tabs>
          <w:tab w:leader="none" w:pos="1547" w:val="left"/>
        </w:tabs>
        <w:numPr>
          <w:ilvl w:val="0"/>
          <w:numId w:val="60"/>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0"/>
          <w:szCs w:val="20"/>
          <w:b w:val="1"/>
          <w:bCs w:val="1"/>
          <w:u w:val="single" w:color="auto"/>
          <w:color w:val="212121"/>
        </w:rPr>
        <w:t>Ri</w:t>
      </w:r>
      <w:r>
        <w:rPr>
          <w:rFonts w:ascii="Times New Roman" w:cs="Times New Roman" w:eastAsia="Times New Roman" w:hAnsi="Times New Roman"/>
          <w:sz w:val="20"/>
          <w:szCs w:val="20"/>
          <w:b w:val="1"/>
          <w:bCs w:val="1"/>
          <w:u w:val="single" w:color="auto"/>
          <w:color w:val="4B4B4B"/>
        </w:rPr>
        <w:t>g</w:t>
      </w:r>
      <w:r>
        <w:rPr>
          <w:rFonts w:ascii="Times New Roman" w:cs="Times New Roman" w:eastAsia="Times New Roman" w:hAnsi="Times New Roman"/>
          <w:sz w:val="20"/>
          <w:szCs w:val="20"/>
          <w:b w:val="1"/>
          <w:bCs w:val="1"/>
          <w:u w:val="single" w:color="auto"/>
          <w:color w:val="212121"/>
        </w:rPr>
        <w:t>ht of First</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b w:val="1"/>
          <w:bCs w:val="1"/>
          <w:u w:val="single" w:color="auto"/>
          <w:color w:val="212121"/>
        </w:rPr>
        <w:t>Refusal.</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color w:val="212121"/>
        </w:rPr>
        <w:t>Additional Provision 3 (Right of First Refusal) on</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u w:val="single" w:color="auto"/>
          <w:color w:val="212121"/>
        </w:rPr>
        <w:t>Exhibit F to</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color w:val="212121"/>
        </w:rPr>
        <w:t>the Original Lease is hereby deleted in</w:t>
      </w:r>
      <w:r>
        <w:rPr>
          <w:rFonts w:ascii="Times New Roman" w:cs="Times New Roman" w:eastAsia="Times New Roman" w:hAnsi="Times New Roman"/>
          <w:sz w:val="20"/>
          <w:szCs w:val="20"/>
          <w:b w:val="1"/>
          <w:bCs w:val="1"/>
          <w:color w:val="212121"/>
        </w:rPr>
        <w:t xml:space="preserve"> </w:t>
      </w:r>
      <w:r>
        <w:rPr>
          <w:rFonts w:ascii="Times New Roman" w:cs="Times New Roman" w:eastAsia="Times New Roman" w:hAnsi="Times New Roman"/>
          <w:sz w:val="17"/>
          <w:szCs w:val="17"/>
          <w:color w:val="212121"/>
        </w:rPr>
        <w:t>its entirety and shall be of no further force or effect.</w:t>
      </w:r>
    </w:p>
    <w:p>
      <w:pPr>
        <w:spacing w:after="0" w:line="126" w:lineRule="exact"/>
        <w:rPr>
          <w:rFonts w:ascii="Times New Roman" w:cs="Times New Roman" w:eastAsia="Times New Roman" w:hAnsi="Times New Roman"/>
          <w:sz w:val="20"/>
          <w:szCs w:val="20"/>
          <w:b w:val="1"/>
          <w:bCs w:val="1"/>
          <w:color w:val="232323"/>
        </w:rPr>
      </w:pPr>
    </w:p>
    <w:p>
      <w:pPr>
        <w:ind w:left="120" w:right="280" w:firstLine="706"/>
        <w:spacing w:after="0" w:line="275" w:lineRule="auto"/>
        <w:tabs>
          <w:tab w:leader="none" w:pos="1545" w:val="left"/>
        </w:tabs>
        <w:numPr>
          <w:ilvl w:val="0"/>
          <w:numId w:val="60"/>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9"/>
          <w:szCs w:val="19"/>
          <w:b w:val="1"/>
          <w:bCs w:val="1"/>
          <w:u w:val="single" w:color="auto"/>
          <w:color w:val="212121"/>
        </w:rPr>
        <w:t>Monument</w:t>
      </w:r>
      <w:r>
        <w:rPr>
          <w:rFonts w:ascii="Times New Roman" w:cs="Times New Roman" w:eastAsia="Times New Roman" w:hAnsi="Times New Roman"/>
          <w:sz w:val="19"/>
          <w:szCs w:val="19"/>
          <w:b w:val="1"/>
          <w:bCs w:val="1"/>
          <w:color w:val="212121"/>
        </w:rPr>
        <w:t xml:space="preserve"> </w:t>
      </w:r>
      <w:r>
        <w:rPr>
          <w:rFonts w:ascii="Times New Roman" w:cs="Times New Roman" w:eastAsia="Times New Roman" w:hAnsi="Times New Roman"/>
          <w:sz w:val="20"/>
          <w:szCs w:val="20"/>
          <w:b w:val="1"/>
          <w:bCs w:val="1"/>
          <w:u w:val="single" w:color="auto"/>
          <w:color w:val="212121"/>
        </w:rPr>
        <w:t>Si</w:t>
      </w:r>
      <w:r>
        <w:rPr>
          <w:rFonts w:ascii="Times New Roman" w:cs="Times New Roman" w:eastAsia="Times New Roman" w:hAnsi="Times New Roman"/>
          <w:sz w:val="20"/>
          <w:szCs w:val="20"/>
          <w:b w:val="1"/>
          <w:bCs w:val="1"/>
          <w:u w:val="single" w:color="auto"/>
          <w:color w:val="4B4B4B"/>
        </w:rPr>
        <w:t>g</w:t>
      </w:r>
      <w:r>
        <w:rPr>
          <w:rFonts w:ascii="Times New Roman" w:cs="Times New Roman" w:eastAsia="Times New Roman" w:hAnsi="Times New Roman"/>
          <w:sz w:val="20"/>
          <w:szCs w:val="20"/>
          <w:b w:val="1"/>
          <w:bCs w:val="1"/>
          <w:u w:val="single" w:color="auto"/>
          <w:color w:val="212121"/>
        </w:rPr>
        <w:t>na</w:t>
      </w:r>
      <w:r>
        <w:rPr>
          <w:rFonts w:ascii="Times New Roman" w:cs="Times New Roman" w:eastAsia="Times New Roman" w:hAnsi="Times New Roman"/>
          <w:sz w:val="20"/>
          <w:szCs w:val="20"/>
          <w:b w:val="1"/>
          <w:bCs w:val="1"/>
          <w:u w:val="single" w:color="auto"/>
          <w:color w:val="4B4B4B"/>
        </w:rPr>
        <w:t>ge</w:t>
      </w:r>
      <w:r>
        <w:rPr>
          <w:rFonts w:ascii="Times New Roman" w:cs="Times New Roman" w:eastAsia="Times New Roman" w:hAnsi="Times New Roman"/>
          <w:sz w:val="20"/>
          <w:szCs w:val="20"/>
          <w:b w:val="1"/>
          <w:bCs w:val="1"/>
          <w:color w:val="212121"/>
        </w:rPr>
        <w:t>.</w:t>
      </w:r>
      <w:r>
        <w:rPr>
          <w:rFonts w:ascii="Times New Roman" w:cs="Times New Roman" w:eastAsia="Times New Roman" w:hAnsi="Times New Roman"/>
          <w:sz w:val="19"/>
          <w:szCs w:val="19"/>
          <w:b w:val="1"/>
          <w:bCs w:val="1"/>
          <w:color w:val="212121"/>
        </w:rPr>
        <w:t xml:space="preserve"> </w:t>
      </w:r>
      <w:r>
        <w:rPr>
          <w:rFonts w:ascii="Times New Roman" w:cs="Times New Roman" w:eastAsia="Times New Roman" w:hAnsi="Times New Roman"/>
          <w:sz w:val="17"/>
          <w:szCs w:val="17"/>
          <w:color w:val="212121"/>
        </w:rPr>
        <w:t>Landlord Tenant hereby acknowledge and agree that, notwithstanding the fact that Tenant will not be</w:t>
      </w:r>
      <w:r>
        <w:rPr>
          <w:rFonts w:ascii="Times New Roman" w:cs="Times New Roman" w:eastAsia="Times New Roman" w:hAnsi="Times New Roman"/>
          <w:sz w:val="19"/>
          <w:szCs w:val="19"/>
          <w:b w:val="1"/>
          <w:bCs w:val="1"/>
          <w:color w:val="212121"/>
        </w:rPr>
        <w:t xml:space="preserve"> </w:t>
      </w:r>
      <w:r>
        <w:rPr>
          <w:rFonts w:ascii="Times New Roman" w:cs="Times New Roman" w:eastAsia="Times New Roman" w:hAnsi="Times New Roman"/>
          <w:sz w:val="17"/>
          <w:szCs w:val="17"/>
          <w:color w:val="212121"/>
        </w:rPr>
        <w:t>leasing and occupying over 18,500 rentable square feet in</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232323"/>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168910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234" w:right="579" w:bottom="1440" w:gutter="0" w:footer="0" w:header="0"/>
        </w:sectPr>
      </w:pPr>
    </w:p>
    <w:bookmarkStart w:id="107" w:name="page108"/>
    <w:bookmarkEnd w:id="107"/>
    <w:p>
      <w:pPr>
        <w:ind w:left="320" w:firstLine="1"/>
        <w:spacing w:after="0" w:line="282" w:lineRule="auto"/>
        <w:rPr>
          <w:sz w:val="20"/>
          <w:szCs w:val="20"/>
          <w:color w:val="auto"/>
        </w:rPr>
      </w:pPr>
      <w:r>
        <w:rPr>
          <w:rFonts w:ascii="Times New Roman" w:cs="Times New Roman" w:eastAsia="Times New Roman" w:hAnsi="Times New Roman"/>
          <w:sz w:val="18"/>
          <w:szCs w:val="18"/>
          <w:color w:val="212121"/>
        </w:rPr>
        <w:t xml:space="preserve">the Building after the Partial Reduction Date, Tenant shall continue to have its rights and obligations with respect to the Monument Sign pursuant to and in accordance with the terms and provisions of Additional Provision 4 (Monument Signage) on </w:t>
      </w:r>
      <w:r>
        <w:rPr>
          <w:rFonts w:ascii="Times New Roman" w:cs="Times New Roman" w:eastAsia="Times New Roman" w:hAnsi="Times New Roman"/>
          <w:sz w:val="18"/>
          <w:szCs w:val="18"/>
          <w:u w:val="single" w:color="auto"/>
          <w:color w:val="212121"/>
        </w:rPr>
        <w:t>Exhibit F</w:t>
      </w:r>
      <w:r>
        <w:rPr>
          <w:rFonts w:ascii="Times New Roman" w:cs="Times New Roman" w:eastAsia="Times New Roman" w:hAnsi="Times New Roman"/>
          <w:sz w:val="18"/>
          <w:szCs w:val="18"/>
          <w:color w:val="212121"/>
        </w:rPr>
        <w:t xml:space="preserve"> to the Original Lease.</w:t>
      </w:r>
    </w:p>
    <w:p>
      <w:pPr>
        <w:spacing w:after="0" w:line="158" w:lineRule="exact"/>
        <w:rPr>
          <w:sz w:val="20"/>
          <w:szCs w:val="20"/>
          <w:color w:val="auto"/>
        </w:rPr>
      </w:pPr>
    </w:p>
    <w:p>
      <w:pPr>
        <w:jc w:val="both"/>
        <w:ind w:left="300" w:firstLine="706"/>
        <w:spacing w:after="0" w:line="249" w:lineRule="auto"/>
        <w:tabs>
          <w:tab w:leader="none" w:pos="1725" w:val="left"/>
        </w:tabs>
        <w:numPr>
          <w:ilvl w:val="2"/>
          <w:numId w:val="61"/>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12121"/>
        </w:rPr>
        <w:t>Letter</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u w:val="single" w:color="auto"/>
          <w:color w:val="212121"/>
        </w:rPr>
        <w:t>of</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b w:val="1"/>
          <w:bCs w:val="1"/>
          <w:u w:val="single" w:color="auto"/>
          <w:color w:val="212121"/>
        </w:rPr>
        <w:t>Credit</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Notwithstanding anything in the Original Lease to the contrary, Landlord and Tenant acknowledge and agree</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that, at any time after the Partial Reduction Date, so long as no uncured Default under the Lease exists as of such date, Tenant may replace the Letter of Credit outlined in Additional Provision 5 (Letter of Credit) with a cash Security Deposit in the amount of</w:t>
      </w:r>
    </w:p>
    <w:p>
      <w:pPr>
        <w:spacing w:after="0" w:line="2" w:lineRule="exact"/>
        <w:rPr>
          <w:rFonts w:ascii="Times New Roman" w:cs="Times New Roman" w:eastAsia="Times New Roman" w:hAnsi="Times New Roman"/>
          <w:sz w:val="20"/>
          <w:szCs w:val="20"/>
          <w:b w:val="1"/>
          <w:bCs w:val="1"/>
          <w:color w:val="232323"/>
        </w:rPr>
      </w:pPr>
    </w:p>
    <w:p>
      <w:pPr>
        <w:ind w:left="300" w:right="20" w:firstLine="1"/>
        <w:spacing w:after="0" w:line="260" w:lineRule="auto"/>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color w:val="212121"/>
        </w:rPr>
        <w:t>$30,437.33 and such cash Security Deposit shall thereafter be held by Landlord pursuant to and in accordance with the terms and provisions of Section 6 of the Original Lease.</w:t>
      </w:r>
    </w:p>
    <w:p>
      <w:pPr>
        <w:spacing w:after="0" w:line="150" w:lineRule="exact"/>
        <w:rPr>
          <w:rFonts w:ascii="Times New Roman" w:cs="Times New Roman" w:eastAsia="Times New Roman" w:hAnsi="Times New Roman"/>
          <w:sz w:val="20"/>
          <w:szCs w:val="20"/>
          <w:b w:val="1"/>
          <w:bCs w:val="1"/>
          <w:color w:val="232323"/>
        </w:rPr>
      </w:pPr>
    </w:p>
    <w:p>
      <w:pPr>
        <w:ind w:left="1720" w:hanging="728"/>
        <w:spacing w:after="0"/>
        <w:tabs>
          <w:tab w:leader="none" w:pos="1720" w:val="left"/>
        </w:tabs>
        <w:numPr>
          <w:ilvl w:val="1"/>
          <w:numId w:val="62"/>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12121"/>
        </w:rPr>
        <w:t>Access.</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Tenant shall have access to the Premises and Building twenty-four (24) hours per day, seven (7) days per week, fifty-two</w:t>
      </w:r>
    </w:p>
    <w:p>
      <w:pPr>
        <w:spacing w:after="0" w:line="10" w:lineRule="exact"/>
        <w:rPr>
          <w:rFonts w:ascii="Times New Roman" w:cs="Times New Roman" w:eastAsia="Times New Roman" w:hAnsi="Times New Roman"/>
          <w:sz w:val="20"/>
          <w:szCs w:val="20"/>
          <w:b w:val="1"/>
          <w:bCs w:val="1"/>
          <w:color w:val="232323"/>
        </w:rPr>
      </w:pPr>
    </w:p>
    <w:p>
      <w:pPr>
        <w:ind w:left="280" w:right="20" w:firstLine="8"/>
        <w:spacing w:after="0" w:line="258" w:lineRule="auto"/>
        <w:tabs>
          <w:tab w:leader="none" w:pos="641" w:val="left"/>
        </w:tabs>
        <w:numPr>
          <w:ilvl w:val="0"/>
          <w:numId w:val="63"/>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weeks per year, subject to Landlord's right to close the Building in the event of an emergency or casualty or due to other reasons outside of Landlord's reasonable control.</w:t>
      </w:r>
    </w:p>
    <w:p>
      <w:pPr>
        <w:spacing w:after="0" w:line="192" w:lineRule="exact"/>
        <w:rPr>
          <w:rFonts w:ascii="Times New Roman" w:cs="Times New Roman" w:eastAsia="Times New Roman" w:hAnsi="Times New Roman"/>
          <w:sz w:val="18"/>
          <w:szCs w:val="18"/>
          <w:color w:val="212121"/>
        </w:rPr>
      </w:pPr>
    </w:p>
    <w:p>
      <w:pPr>
        <w:ind w:left="280" w:right="40" w:firstLine="712"/>
        <w:spacing w:after="0" w:line="260" w:lineRule="auto"/>
        <w:tabs>
          <w:tab w:leader="none" w:pos="1705" w:val="left"/>
        </w:tabs>
        <w:numPr>
          <w:ilvl w:val="1"/>
          <w:numId w:val="63"/>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12121"/>
        </w:rPr>
        <w:t>Notice Address.</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Landlord's address for notice set forth in Section 1.12 of the Original Lease is hereby deleted in its entirety and</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the following is substituted therefor:</w:t>
      </w:r>
    </w:p>
    <w:p>
      <w:pPr>
        <w:spacing w:after="0" w:line="17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212121"/>
        </w:rPr>
        <w:t>Radiant-North Point Properties, LLLP 1170 Peachtree Street, Suite</w:t>
      </w:r>
    </w:p>
    <w:p>
      <w:pPr>
        <w:spacing w:after="0" w:line="2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212121"/>
        </w:rPr>
        <w:t>2000</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212121"/>
        </w:rPr>
        <w:t>Atlanta, Georgia 30309 Attn: A. Boyd Simpson</w:t>
      </w:r>
    </w:p>
    <w:p>
      <w:pPr>
        <w:spacing w:after="0" w:line="150" w:lineRule="exact"/>
        <w:rPr>
          <w:sz w:val="20"/>
          <w:szCs w:val="20"/>
          <w:color w:val="auto"/>
        </w:rPr>
      </w:pPr>
    </w:p>
    <w:p>
      <w:pPr>
        <w:jc w:val="both"/>
        <w:ind w:left="240" w:right="20" w:firstLine="736"/>
        <w:spacing w:after="0" w:line="267" w:lineRule="auto"/>
        <w:tabs>
          <w:tab w:leader="none" w:pos="1699" w:val="left"/>
        </w:tabs>
        <w:numPr>
          <w:ilvl w:val="1"/>
          <w:numId w:val="64"/>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1"/>
          <w:szCs w:val="21"/>
          <w:b w:val="1"/>
          <w:bCs w:val="1"/>
          <w:u w:val="single" w:color="auto"/>
          <w:color w:val="212121"/>
        </w:rPr>
        <w:t>Brokers.</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17"/>
          <w:szCs w:val="17"/>
          <w:color w:val="212121"/>
        </w:rPr>
        <w:t>Lincoln Property Company Commercial, Inc.</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17"/>
          <w:szCs w:val="17"/>
          <w:b w:val="1"/>
          <w:bCs w:val="1"/>
          <w:color w:val="212121"/>
        </w:rPr>
        <w:t>("Landlord's Broker")</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17"/>
          <w:szCs w:val="17"/>
          <w:color w:val="212121"/>
        </w:rPr>
        <w:t>acted as agent for Landlord in connection with</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17"/>
          <w:szCs w:val="17"/>
          <w:color w:val="212121"/>
        </w:rPr>
        <w:t xml:space="preserve">this First Amendment and Lavista Associates, Inc. </w:t>
      </w:r>
      <w:r>
        <w:rPr>
          <w:rFonts w:ascii="Times New Roman" w:cs="Times New Roman" w:eastAsia="Times New Roman" w:hAnsi="Times New Roman"/>
          <w:sz w:val="17"/>
          <w:szCs w:val="17"/>
          <w:b w:val="1"/>
          <w:bCs w:val="1"/>
          <w:color w:val="212121"/>
        </w:rPr>
        <w:t>("Tenant's Broker")</w:t>
      </w:r>
      <w:r>
        <w:rPr>
          <w:rFonts w:ascii="Times New Roman" w:cs="Times New Roman" w:eastAsia="Times New Roman" w:hAnsi="Times New Roman"/>
          <w:sz w:val="17"/>
          <w:szCs w:val="17"/>
          <w:color w:val="212121"/>
        </w:rPr>
        <w:t xml:space="preserve"> has acted as agent for Tenant in connection with this First Amendment. Both Landlord's Broker and Tenant's Broker are to be paid a commission by Landlord pursuant to separate agreements. Landlord represents that it has dealt with no broker other than Landlord's Broker and Tenant's Broker in connection with this First Amendment. Landlord agrees that, if any other broker makes a claim for a commission based upon the actions of Landlord, Landlord shall indemnify, defend and hold Tenant harmless from any such claim. Tenant represents that it has dealt with no broker other than Landlord's Broker and Tenant's Broker in connection with this First Amendment. Tenant agrees that, if any other broker makes a claim for a commission based upon the actions of Tenant, Tenant shall indemnify, defend and hold Landlord harmless from any such claim.</w:t>
      </w:r>
    </w:p>
    <w:p>
      <w:pPr>
        <w:spacing w:after="0" w:line="396" w:lineRule="exact"/>
        <w:rPr>
          <w:rFonts w:ascii="Times New Roman" w:cs="Times New Roman" w:eastAsia="Times New Roman" w:hAnsi="Times New Roman"/>
          <w:sz w:val="20"/>
          <w:szCs w:val="20"/>
          <w:b w:val="1"/>
          <w:bCs w:val="1"/>
          <w:color w:val="232323"/>
        </w:rPr>
      </w:pPr>
    </w:p>
    <w:p>
      <w:pPr>
        <w:jc w:val="both"/>
        <w:ind w:left="220" w:right="40" w:firstLine="726"/>
        <w:spacing w:after="0" w:line="251" w:lineRule="auto"/>
        <w:tabs>
          <w:tab w:leader="none" w:pos="1663" w:val="left"/>
        </w:tabs>
        <w:numPr>
          <w:ilvl w:val="0"/>
          <w:numId w:val="65"/>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18"/>
          <w:szCs w:val="18"/>
          <w:b w:val="1"/>
          <w:bCs w:val="1"/>
          <w:u w:val="single" w:color="auto"/>
          <w:color w:val="212121"/>
        </w:rPr>
        <w:t>Counterparts.</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This First Amendment may be executed in multiple counterparts, each of which shall constitute an original, but</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all of which shall constitute one document. This First Amendment may be executed by each party upon a separate copy, and one or more execution pages may be detached from one copy of this First Amendment and attached to another copy in order to form one or more counterparts. Each of the parties agree that the delivery of an executed copy of this First Amendment by facsimile or email shall be legal and binding and shall have the same full force and effect as if an original executed copy of this First Amendment had been delivered, and neither party will have the right to object to the manner (i.e., electronic signatures, via DocuSign, via .pdf, via fax, or scanned images of signature pages) in which the First Amendment was executed as a defense to the enforcement of this First Amendment or the Lease.</w:t>
      </w:r>
    </w:p>
    <w:p>
      <w:pPr>
        <w:spacing w:after="0" w:line="184" w:lineRule="exact"/>
        <w:rPr>
          <w:sz w:val="20"/>
          <w:szCs w:val="20"/>
          <w:color w:val="auto"/>
        </w:rPr>
      </w:pPr>
    </w:p>
    <w:p>
      <w:pPr>
        <w:ind w:left="220" w:right="60" w:firstLine="719"/>
        <w:spacing w:after="0" w:line="283" w:lineRule="auto"/>
        <w:rPr>
          <w:sz w:val="20"/>
          <w:szCs w:val="20"/>
          <w:color w:val="auto"/>
        </w:rPr>
      </w:pPr>
      <w:r>
        <w:rPr>
          <w:rFonts w:ascii="Times New Roman" w:cs="Times New Roman" w:eastAsia="Times New Roman" w:hAnsi="Times New Roman"/>
          <w:sz w:val="20"/>
          <w:szCs w:val="20"/>
          <w:b w:val="1"/>
          <w:bCs w:val="1"/>
          <w:color w:val="232323"/>
        </w:rPr>
        <w:t xml:space="preserve">18. </w:t>
      </w:r>
      <w:r>
        <w:rPr>
          <w:rFonts w:ascii="Times New Roman" w:cs="Times New Roman" w:eastAsia="Times New Roman" w:hAnsi="Times New Roman"/>
          <w:sz w:val="17"/>
          <w:szCs w:val="17"/>
          <w:b w:val="1"/>
          <w:bCs w:val="1"/>
          <w:u w:val="single" w:color="auto"/>
          <w:color w:val="858585"/>
        </w:rPr>
        <w:t>.</w:t>
      </w:r>
      <w:r>
        <w:rPr>
          <w:rFonts w:ascii="Times New Roman" w:cs="Times New Roman" w:eastAsia="Times New Roman" w:hAnsi="Times New Roman"/>
          <w:sz w:val="17"/>
          <w:szCs w:val="17"/>
          <w:b w:val="1"/>
          <w:bCs w:val="1"/>
          <w:u w:val="single" w:color="auto"/>
          <w:color w:val="212121"/>
        </w:rPr>
        <w:t>No Claims,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b w:val="1"/>
          <w:bCs w:val="1"/>
          <w:u w:val="single" w:color="auto"/>
          <w:color w:val="212121"/>
        </w:rPr>
        <w:t>Offsets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17"/>
          <w:szCs w:val="17"/>
          <w:b w:val="1"/>
          <w:bCs w:val="1"/>
          <w:u w:val="single" w:color="auto"/>
          <w:color w:val="212121"/>
        </w:rPr>
        <w:t>or Breaches.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17"/>
          <w:szCs w:val="17"/>
          <w:color w:val="212121"/>
        </w:rPr>
        <w:t>Tenant acknowledges, certifies, affirms, and represents that there are no claims, offsets, or</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17"/>
          <w:szCs w:val="17"/>
          <w:color w:val="212121"/>
        </w:rPr>
        <w:t xml:space="preserve">breaches of the Lease, or </w:t>
      </w:r>
      <w:r>
        <w:rPr>
          <w:rFonts w:ascii="Times New Roman" w:cs="Times New Roman" w:eastAsia="Times New Roman" w:hAnsi="Times New Roman"/>
          <w:sz w:val="18"/>
          <w:szCs w:val="18"/>
          <w:color w:val="212121"/>
        </w:rPr>
        <w:t>any</w:t>
      </w:r>
      <w:r>
        <w:rPr>
          <w:rFonts w:ascii="Times New Roman" w:cs="Times New Roman" w:eastAsia="Times New Roman" w:hAnsi="Times New Roman"/>
          <w:sz w:val="17"/>
          <w:szCs w:val="17"/>
          <w:color w:val="212121"/>
        </w:rPr>
        <w:t xml:space="preserve"> action or causes of action by Tenant against Landlord directly or indirectly relating to the Lease.</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23232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168910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243" w:right="439" w:bottom="1440" w:gutter="0" w:footer="0" w:header="0"/>
        </w:sectPr>
      </w:pPr>
    </w:p>
    <w:bookmarkStart w:id="108" w:name="page109"/>
    <w:bookmarkEnd w:id="108"/>
    <w:p>
      <w:pPr>
        <w:jc w:val="both"/>
        <w:ind w:left="100" w:firstLine="727"/>
        <w:spacing w:after="0" w:line="260" w:lineRule="auto"/>
        <w:tabs>
          <w:tab w:leader="none" w:pos="1540" w:val="left"/>
        </w:tabs>
        <w:numPr>
          <w:ilvl w:val="0"/>
          <w:numId w:val="66"/>
        </w:numPr>
        <w:rPr>
          <w:rFonts w:ascii="Times New Roman" w:cs="Times New Roman" w:eastAsia="Times New Roman" w:hAnsi="Times New Roman"/>
          <w:sz w:val="20"/>
          <w:szCs w:val="20"/>
          <w:b w:val="1"/>
          <w:bCs w:val="1"/>
          <w:color w:val="232323"/>
        </w:rPr>
      </w:pPr>
      <w:r>
        <w:rPr>
          <w:rFonts w:ascii="Times New Roman" w:cs="Times New Roman" w:eastAsia="Times New Roman" w:hAnsi="Times New Roman"/>
          <w:sz w:val="20"/>
          <w:szCs w:val="20"/>
          <w:b w:val="1"/>
          <w:bCs w:val="1"/>
          <w:u w:val="single" w:color="auto"/>
          <w:color w:val="232323"/>
        </w:rPr>
        <w:t>No Other Modifications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18"/>
          <w:szCs w:val="18"/>
          <w:color w:val="232323"/>
        </w:rPr>
        <w:t>Except as expressly modified herein, the Lease shall remain in full force and effect and, as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18"/>
          <w:szCs w:val="18"/>
          <w:color w:val="232323"/>
        </w:rPr>
        <w:t xml:space="preserve">modified herein, is expressly ratified and confirmed by the parties hereto. </w:t>
      </w:r>
      <w:r>
        <w:rPr>
          <w:rFonts w:ascii="Arial" w:cs="Arial" w:eastAsia="Arial" w:hAnsi="Arial"/>
          <w:sz w:val="18"/>
          <w:szCs w:val="18"/>
          <w:color w:val="232323"/>
        </w:rPr>
        <w:t>In</w:t>
      </w:r>
      <w:r>
        <w:rPr>
          <w:rFonts w:ascii="Times New Roman" w:cs="Times New Roman" w:eastAsia="Times New Roman" w:hAnsi="Times New Roman"/>
          <w:sz w:val="18"/>
          <w:szCs w:val="18"/>
          <w:color w:val="232323"/>
        </w:rPr>
        <w:t xml:space="preserve"> the event of a conflict between the terms of the Lease and the terms of this First Amendment, the terms of this First Amendment shall control.</w:t>
      </w:r>
    </w:p>
    <w:p>
      <w:pPr>
        <w:spacing w:after="0" w:line="1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232323"/>
        </w:rPr>
        <w:t xml:space="preserve">[Signatures Begin on Following </w:t>
      </w:r>
      <w:r>
        <w:rPr>
          <w:rFonts w:ascii="Times New Roman" w:cs="Times New Roman" w:eastAsia="Times New Roman" w:hAnsi="Times New Roman"/>
          <w:sz w:val="20"/>
          <w:szCs w:val="20"/>
          <w:i w:val="1"/>
          <w:iCs w:val="1"/>
          <w:color w:val="232323"/>
        </w:rPr>
        <w:t>Page]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232323"/>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168910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00" w:top="194" w:right="639" w:bottom="1440" w:gutter="0" w:footer="0" w:header="0"/>
        </w:sectPr>
      </w:pPr>
    </w:p>
    <w:bookmarkStart w:id="109" w:name="page110"/>
    <w:bookmarkEnd w:id="109"/>
    <w:p>
      <w:pPr>
        <w:ind w:left="720"/>
        <w:spacing w:after="0"/>
        <w:rPr>
          <w:sz w:val="20"/>
          <w:szCs w:val="20"/>
          <w:color w:val="auto"/>
        </w:rPr>
      </w:pPr>
      <w:r>
        <w:rPr>
          <w:rFonts w:ascii="Times New Roman" w:cs="Times New Roman" w:eastAsia="Times New Roman" w:hAnsi="Times New Roman"/>
          <w:sz w:val="17"/>
          <w:szCs w:val="17"/>
          <w:color w:val="232323"/>
        </w:rPr>
        <w:t>IN WITNESS WHEREOF, the parties below have caused this First Amendment to be executed under seal as of the date and year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written.</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p>
    <w:p>
      <w:pPr>
        <w:spacing w:after="0" w:line="2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RADIANT-NORTH POINT PROPERTIES, LLLP,</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 Delaware limited liabiltiy limited partnership</w:t>
      </w:r>
    </w:p>
    <w:p>
      <w:pPr>
        <w:sectPr>
          <w:pgSz w:w="11900" w:h="16838" w:orient="portrait"/>
          <w:cols w:equalWidth="0" w:num="1">
            <w:col w:w="10820"/>
          </w:cols>
          <w:pgMar w:left="680" w:top="229" w:right="399" w:bottom="1440" w:gutter="0" w:footer="0" w:header="0"/>
        </w:sectPr>
      </w:pPr>
    </w:p>
    <w:p>
      <w:pPr>
        <w:spacing w:after="0" w:line="2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620"/>
        <w:spacing w:after="0" w:line="297" w:lineRule="auto"/>
        <w:rPr>
          <w:sz w:val="20"/>
          <w:szCs w:val="20"/>
          <w:color w:val="auto"/>
        </w:rPr>
      </w:pPr>
      <w:r>
        <w:rPr>
          <w:rFonts w:ascii="Times New Roman" w:cs="Times New Roman" w:eastAsia="Times New Roman" w:hAnsi="Times New Roman"/>
          <w:sz w:val="18"/>
          <w:szCs w:val="18"/>
          <w:color w:val="auto"/>
        </w:rPr>
        <w:t>TSO RNP GP, LP, A Georgia limited partnership, General Partner</w:t>
      </w:r>
    </w:p>
    <w:p>
      <w:pPr>
        <w:spacing w:after="0" w:line="176" w:lineRule="exact"/>
        <w:rPr>
          <w:sz w:val="20"/>
          <w:szCs w:val="20"/>
          <w:color w:val="auto"/>
        </w:rPr>
      </w:pPr>
    </w:p>
    <w:p>
      <w:pPr>
        <w:sectPr>
          <w:pgSz w:w="11900" w:h="16838" w:orient="portrait"/>
          <w:cols w:equalWidth="0" w:num="2">
            <w:col w:w="5100" w:space="520"/>
            <w:col w:w="5200"/>
          </w:cols>
          <w:pgMar w:left="680" w:top="229" w:right="39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17"/>
          <w:szCs w:val="17"/>
          <w:color w:val="auto"/>
        </w:rPr>
        <w:t>By:</w:t>
      </w:r>
    </w:p>
    <w:p>
      <w:pPr>
        <w:spacing w:after="0" w:line="26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TSO RNP General Partner,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Georgia limited partnership,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5100" w:space="520"/>
            <w:col w:w="5200"/>
          </w:cols>
          <w:pgMar w:left="680" w:top="229" w:right="399" w:bottom="1440" w:gutter="0" w:footer="0" w:header="0"/>
          <w:type w:val="continuous"/>
        </w:sectPr>
      </w:pPr>
    </w:p>
    <w:p>
      <w:pPr>
        <w:spacing w:after="0" w:line="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w:t>
      </w:r>
    </w:p>
    <w:p>
      <w:pPr>
        <w:spacing w:after="0" w:line="26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TSO RNP GP SPE,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Georgia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5100" w:space="520"/>
            <w:col w:w="5200"/>
          </w:cols>
          <w:pgMar w:left="680" w:top="229" w:right="399" w:bottom="1440" w:gutter="0" w:footer="0" w:header="0"/>
          <w:type w:val="continuous"/>
        </w:sectPr>
      </w:pPr>
    </w:p>
    <w:p>
      <w:pPr>
        <w:spacing w:after="0" w:line="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 Boyd Simpson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Boyd Simpson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ectPr>
          <w:pgSz w:w="11900" w:h="16838" w:orient="portrait"/>
          <w:cols w:equalWidth="0" w:num="2">
            <w:col w:w="5320" w:space="300"/>
            <w:col w:w="5200"/>
          </w:cols>
          <w:pgMar w:left="680" w:top="22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i w:val="1"/>
          <w:iCs w:val="1"/>
          <w:color w:val="232323"/>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232323"/>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445135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680" w:top="229" w:right="399" w:bottom="1440" w:gutter="0" w:footer="0" w:header="0"/>
          <w:type w:val="continuous"/>
        </w:sectPr>
      </w:pPr>
    </w:p>
    <w:bookmarkStart w:id="110" w:name="page111"/>
    <w:bookmarkEnd w:id="110"/>
    <w:p>
      <w:pPr>
        <w:ind w:left="3960"/>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CLEARSIDE BIOMEDICAL, INC.,</w:t>
      </w:r>
    </w:p>
    <w:p>
      <w:pPr>
        <w:spacing w:after="0" w:line="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 Delaware Corporation</w:t>
      </w:r>
    </w:p>
    <w:p>
      <w:pPr>
        <w:sectPr>
          <w:pgSz w:w="11900" w:h="16838" w:orient="portrait"/>
          <w:cols w:equalWidth="0" w:num="1">
            <w:col w:w="9019"/>
          </w:cols>
          <w:pgMar w:left="1440" w:top="117" w:right="1440" w:bottom="1440" w:gutter="0" w:footer="0" w:header="0"/>
        </w:sectPr>
      </w:pPr>
    </w:p>
    <w:p>
      <w:pPr>
        <w:spacing w:after="0" w:line="24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Charles A. Deignan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CFO</w:t>
      </w:r>
    </w:p>
    <w:p>
      <w:pPr>
        <w:spacing w:after="0" w:line="200" w:lineRule="exact"/>
        <w:rPr>
          <w:sz w:val="20"/>
          <w:szCs w:val="20"/>
          <w:color w:val="auto"/>
        </w:rPr>
      </w:pPr>
    </w:p>
    <w:p>
      <w:pPr>
        <w:sectPr>
          <w:pgSz w:w="11900" w:h="16838" w:orient="portrait"/>
          <w:cols w:equalWidth="0" w:num="2">
            <w:col w:w="4440" w:space="320"/>
            <w:col w:w="4259"/>
          </w:cols>
          <w:pgMar w:left="1440" w:top="1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26262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458470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11" w:name="page112"/>
    <w:bookmarkEnd w:id="111"/>
    <w:p>
      <w:pPr>
        <w:jc w:val="center"/>
        <w:ind w:right="-1420"/>
        <w:spacing w:after="0"/>
        <w:rPr>
          <w:sz w:val="20"/>
          <w:szCs w:val="20"/>
          <w:color w:val="auto"/>
        </w:rPr>
      </w:pPr>
      <w:r>
        <w:rPr>
          <w:rFonts w:ascii="Times New Roman" w:cs="Times New Roman" w:eastAsia="Times New Roman" w:hAnsi="Times New Roman"/>
          <w:sz w:val="19"/>
          <w:szCs w:val="19"/>
          <w:u w:val="single" w:color="auto"/>
          <w:color w:val="1F1F1F"/>
        </w:rPr>
        <w:t>EXHIBIT A</w:t>
      </w:r>
    </w:p>
    <w:p>
      <w:pPr>
        <w:spacing w:after="0" w:line="65"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color w:val="1F1F1F"/>
        </w:rPr>
        <w:t>PREMISES/REDUCTION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5067300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22225</wp:posOffset>
            </wp:positionV>
            <wp:extent cx="4732020" cy="4345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4732020" cy="4345940"/>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12" w:name="page113"/>
    <w:bookmarkEnd w:id="112"/>
    <w:p>
      <w:pPr>
        <w:jc w:val="center"/>
        <w:ind w:right="-625"/>
        <w:spacing w:after="0"/>
        <w:rPr>
          <w:sz w:val="20"/>
          <w:szCs w:val="20"/>
          <w:color w:val="auto"/>
        </w:rPr>
      </w:pPr>
      <w:r>
        <w:rPr>
          <w:rFonts w:ascii="Times New Roman" w:cs="Times New Roman" w:eastAsia="Times New Roman" w:hAnsi="Times New Roman"/>
          <w:sz w:val="19"/>
          <w:szCs w:val="19"/>
          <w:b w:val="1"/>
          <w:bCs w:val="1"/>
          <w:u w:val="single" w:color="auto"/>
          <w:color w:val="242424"/>
        </w:rPr>
        <w:t>EXHIBIT B</w:t>
      </w:r>
    </w:p>
    <w:p>
      <w:pPr>
        <w:spacing w:after="0" w:line="217"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20"/>
          <w:szCs w:val="20"/>
          <w:b w:val="1"/>
          <w:bCs w:val="1"/>
          <w:color w:val="242424"/>
        </w:rPr>
        <w:t>EXISTING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153670</wp:posOffset>
            </wp:positionV>
            <wp:extent cx="5031740" cy="23920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503174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85" w:hanging="785"/>
        <w:spacing w:after="0"/>
        <w:tabs>
          <w:tab w:leader="none" w:pos="785" w:val="left"/>
        </w:tabs>
        <w:numPr>
          <w:ilvl w:val="0"/>
          <w:numId w:val="67"/>
        </w:numPr>
        <w:rPr>
          <w:rFonts w:ascii="Arial" w:cs="Arial" w:eastAsia="Arial" w:hAnsi="Arial"/>
          <w:sz w:val="90"/>
          <w:szCs w:val="90"/>
          <w:color w:val="242424"/>
        </w:rPr>
      </w:pPr>
      <w:r>
        <w:rPr>
          <w:rFonts w:ascii="Arial" w:cs="Arial" w:eastAsia="Arial" w:hAnsi="Arial"/>
          <w:sz w:val="15"/>
          <w:szCs w:val="15"/>
          <w:color w:val="242424"/>
        </w:rPr>
        <w:t>Existing Furniture in this area to remain with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3488690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4"/>
          </w:cols>
          <w:pgMar w:left="795" w:top="204" w:right="1440" w:bottom="1440" w:gutter="0" w:footer="0" w:header="0"/>
        </w:sectPr>
      </w:pPr>
    </w:p>
    <w:bookmarkStart w:id="113" w:name="page114"/>
    <w:bookmarkEnd w:id="113"/>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10.30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TO THE</w:t>
      </w:r>
    </w:p>
    <w:p>
      <w:pPr>
        <w:jc w:val="center"/>
        <w:spacing w:after="0"/>
        <w:rPr>
          <w:sz w:val="20"/>
          <w:szCs w:val="20"/>
          <w:color w:val="auto"/>
        </w:rPr>
      </w:pPr>
      <w:r>
        <w:rPr>
          <w:rFonts w:ascii="Times New Roman" w:cs="Times New Roman" w:eastAsia="Times New Roman" w:hAnsi="Times New Roman"/>
          <w:sz w:val="20"/>
          <w:szCs w:val="20"/>
          <w:b w:val="1"/>
          <w:bCs w:val="1"/>
          <w:color w:val="auto"/>
        </w:rPr>
        <w:t>OPTION AND LICENSE AGREEMENT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Amendment No. 1 (the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dated January 14, 2023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is made by and between Clearside Biomedical, Inc., a Delaware corporation (“</w:t>
      </w:r>
      <w:r>
        <w:rPr>
          <w:rFonts w:ascii="Times New Roman" w:cs="Times New Roman" w:eastAsia="Times New Roman" w:hAnsi="Times New Roman"/>
          <w:sz w:val="20"/>
          <w:szCs w:val="20"/>
          <w:b w:val="1"/>
          <w:bCs w:val="1"/>
          <w:color w:val="auto"/>
        </w:rPr>
        <w:t>Clearside</w:t>
      </w:r>
      <w:r>
        <w:rPr>
          <w:rFonts w:ascii="Times New Roman" w:cs="Times New Roman" w:eastAsia="Times New Roman" w:hAnsi="Times New Roman"/>
          <w:sz w:val="20"/>
          <w:szCs w:val="20"/>
          <w:color w:val="auto"/>
        </w:rPr>
        <w:t>”) and REGENXBIO Inc., a Delaware corporation (“</w:t>
      </w:r>
      <w:r>
        <w:rPr>
          <w:rFonts w:ascii="Times New Roman" w:cs="Times New Roman" w:eastAsia="Times New Roman" w:hAnsi="Times New Roman"/>
          <w:sz w:val="20"/>
          <w:szCs w:val="20"/>
          <w:b w:val="1"/>
          <w:bCs w:val="1"/>
          <w:color w:val="auto"/>
        </w:rPr>
        <w:t>REGENXBIO</w:t>
      </w:r>
      <w:r>
        <w:rPr>
          <w:rFonts w:ascii="Times New Roman" w:cs="Times New Roman" w:eastAsia="Times New Roman" w:hAnsi="Times New Roman"/>
          <w:sz w:val="20"/>
          <w:szCs w:val="20"/>
          <w:color w:val="auto"/>
        </w:rPr>
        <w:t>”). Clearside and REGENXBIO may each be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have entered into that certain Option and License Agreement, dated August 29, 2019, as amended, supplemented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modified to the date hereof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REGENXBIO has entered into an agreement related to a Covered Product known as RGX-314 (“</w:t>
      </w:r>
      <w:r>
        <w:rPr>
          <w:rFonts w:ascii="Times New Roman" w:cs="Times New Roman" w:eastAsia="Times New Roman" w:hAnsi="Times New Roman"/>
          <w:sz w:val="20"/>
          <w:szCs w:val="20"/>
          <w:b w:val="1"/>
          <w:bCs w:val="1"/>
          <w:color w:val="auto"/>
        </w:rPr>
        <w:t>RGX-314</w:t>
      </w:r>
      <w:r>
        <w:rPr>
          <w:rFonts w:ascii="Times New Roman" w:cs="Times New Roman" w:eastAsia="Times New Roman" w:hAnsi="Times New Roman"/>
          <w:sz w:val="20"/>
          <w:szCs w:val="20"/>
          <w:color w:val="auto"/>
        </w:rPr>
        <w:t>”) with AbbVie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Enterprises Ltd., a Bermuda company and its Affiliates (collectively, “</w:t>
      </w:r>
      <w:r>
        <w:rPr>
          <w:rFonts w:ascii="Times New Roman" w:cs="Times New Roman" w:eastAsia="Times New Roman" w:hAnsi="Times New Roman"/>
          <w:sz w:val="20"/>
          <w:szCs w:val="20"/>
          <w:b w:val="1"/>
          <w:bCs w:val="1"/>
          <w:color w:val="auto"/>
        </w:rPr>
        <w:t>AbbVie</w:t>
      </w:r>
      <w:r>
        <w:rPr>
          <w:rFonts w:ascii="Times New Roman" w:cs="Times New Roman" w:eastAsia="Times New Roman" w:hAnsi="Times New Roman"/>
          <w:sz w:val="20"/>
          <w:szCs w:val="20"/>
          <w:color w:val="auto"/>
        </w:rPr>
        <w:t>”) in particular the License and Collaboration Agreement, dated September 10, 2021 by and between REGENXBIO and AbbVie (the “</w:t>
      </w:r>
      <w:r>
        <w:rPr>
          <w:rFonts w:ascii="Times New Roman" w:cs="Times New Roman" w:eastAsia="Times New Roman" w:hAnsi="Times New Roman"/>
          <w:sz w:val="20"/>
          <w:szCs w:val="20"/>
          <w:b w:val="1"/>
          <w:bCs w:val="1"/>
          <w:color w:val="auto"/>
        </w:rPr>
        <w:t>AbbVie Collaboration</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Clearside has been informed by REGENXBIO that AbbVie is a Collaboration Partner of REGENXBIO with respect to RGX-314, as defined in and pursuant to the AbbVie Collaboration; and</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amend the Agreement, as described below, on the terms and subject to the conditions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other good and valuable consideration, the receipt and sufficiency of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acknowledged, the Parties, intending to be legally bound, hereby agree as follows:</w:t>
      </w:r>
    </w:p>
    <w:p>
      <w:pPr>
        <w:spacing w:after="0" w:line="152" w:lineRule="exact"/>
        <w:rPr>
          <w:sz w:val="20"/>
          <w:szCs w:val="20"/>
          <w:color w:val="auto"/>
        </w:rPr>
      </w:pPr>
    </w:p>
    <w:p>
      <w:pPr>
        <w:ind w:left="760" w:hanging="378"/>
        <w:spacing w:after="0" w:line="273"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Capitalized terms used and not defined in this Amendment have the respective meanings ascribed to them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6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color w:val="auto"/>
        </w:rPr>
        <w:t>. As of the Amendment Effective Date, the Agreement is hereby amended as follows:</w:t>
      </w:r>
    </w:p>
    <w:p>
      <w:pPr>
        <w:spacing w:after="0" w:line="215" w:lineRule="exact"/>
        <w:rPr>
          <w:rFonts w:ascii="Times New Roman" w:cs="Times New Roman" w:eastAsia="Times New Roman" w:hAnsi="Times New Roman"/>
          <w:sz w:val="20"/>
          <w:szCs w:val="20"/>
          <w:color w:val="auto"/>
        </w:rPr>
      </w:pPr>
    </w:p>
    <w:p>
      <w:pPr>
        <w:jc w:val="both"/>
        <w:ind w:left="580" w:hanging="3"/>
        <w:spacing w:after="0" w:line="245" w:lineRule="auto"/>
        <w:tabs>
          <w:tab w:leader="none" w:pos="12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sentence of Section 1.78.1 of the Agreement is deleted in its entirety and replaced with the following: “</w:t>
      </w:r>
      <w:r>
        <w:rPr>
          <w:rFonts w:ascii="Times New Roman" w:cs="Times New Roman" w:eastAsia="Times New Roman" w:hAnsi="Times New Roman"/>
          <w:sz w:val="20"/>
          <w:szCs w:val="20"/>
          <w:b w:val="1"/>
          <w:bCs w:val="1"/>
          <w:color w:val="auto"/>
        </w:rPr>
        <w:t>Net Sales</w:t>
      </w:r>
      <w:r>
        <w:rPr>
          <w:rFonts w:ascii="Times New Roman" w:cs="Times New Roman" w:eastAsia="Times New Roman" w:hAnsi="Times New Roman"/>
          <w:sz w:val="20"/>
          <w:szCs w:val="20"/>
          <w:color w:val="auto"/>
        </w:rPr>
        <w:t>” means, with respect to Covered Product for any period, the gross amount billed or invoiced by REGENXBIO, its Affiliates and/or its or their Sublicensees and their Affiliates, Collaboration Partner(s) (including but not limited to AbbVie Global Enterprises Ltd., a Bermuda company and its Affiliates (“</w:t>
      </w:r>
      <w:r>
        <w:rPr>
          <w:rFonts w:ascii="Times New Roman" w:cs="Times New Roman" w:eastAsia="Times New Roman" w:hAnsi="Times New Roman"/>
          <w:sz w:val="20"/>
          <w:szCs w:val="20"/>
          <w:b w:val="1"/>
          <w:bCs w:val="1"/>
          <w:color w:val="auto"/>
        </w:rPr>
        <w:t>AbbVie</w:t>
      </w:r>
      <w:r>
        <w:rPr>
          <w:rFonts w:ascii="Times New Roman" w:cs="Times New Roman" w:eastAsia="Times New Roman" w:hAnsi="Times New Roman"/>
          <w:sz w:val="20"/>
          <w:szCs w:val="20"/>
          <w:color w:val="auto"/>
        </w:rPr>
        <w:t>”)) and their Affiliates, or its or their Sublicensees (collectively, the “</w:t>
      </w:r>
      <w:r>
        <w:rPr>
          <w:rFonts w:ascii="Times New Roman" w:cs="Times New Roman" w:eastAsia="Times New Roman" w:hAnsi="Times New Roman"/>
          <w:sz w:val="20"/>
          <w:szCs w:val="20"/>
          <w:b w:val="1"/>
          <w:bCs w:val="1"/>
          <w:color w:val="auto"/>
        </w:rPr>
        <w:t>Covered Product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Sellers</w:t>
      </w:r>
      <w:r>
        <w:rPr>
          <w:rFonts w:ascii="Times New Roman" w:cs="Times New Roman" w:eastAsia="Times New Roman" w:hAnsi="Times New Roman"/>
          <w:sz w:val="20"/>
          <w:szCs w:val="20"/>
          <w:color w:val="auto"/>
        </w:rPr>
        <w:t>”) for the final sale of Covered Product to Third Parties in bona fide transactions, less deductions for the following, consistent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GAAP and the standard accounting practices of each Covered Product Seller with respect to Net Sales made by each Covered Product Seller:”</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(b)The following language is added to the Agreement as a new Section 1.78.7:</w:t>
      </w:r>
    </w:p>
    <w:p>
      <w:pPr>
        <w:spacing w:after="0" w:line="216" w:lineRule="exact"/>
        <w:rPr>
          <w:sz w:val="20"/>
          <w:szCs w:val="20"/>
          <w:color w:val="auto"/>
        </w:rPr>
      </w:pPr>
    </w:p>
    <w:p>
      <w:pPr>
        <w:ind w:left="760" w:right="40"/>
        <w:spacing w:after="0" w:line="269" w:lineRule="auto"/>
        <w:rPr>
          <w:sz w:val="20"/>
          <w:szCs w:val="20"/>
          <w:color w:val="auto"/>
        </w:rPr>
      </w:pPr>
      <w:r>
        <w:rPr>
          <w:rFonts w:ascii="Times New Roman" w:cs="Times New Roman" w:eastAsia="Times New Roman" w:hAnsi="Times New Roman"/>
          <w:sz w:val="20"/>
          <w:szCs w:val="20"/>
          <w:color w:val="auto"/>
        </w:rPr>
        <w:t>“1.78.7 For the avoidance of doubt, no sales between or among REGENXBIO and/or its Covered Product Sellers shall be considered a sale for determining Net Sales under the Agreement.”</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(c)The following language is added to the Agreement as a new Section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41" w:lineRule="exact"/>
        <w:rPr>
          <w:sz w:val="20"/>
          <w:szCs w:val="20"/>
          <w:color w:val="auto"/>
        </w:rPr>
      </w:pPr>
    </w:p>
    <w:p>
      <w:pPr>
        <w:ind w:right="80" w:firstLine="757"/>
        <w:spacing w:after="0" w:line="250" w:lineRule="auto"/>
        <w:tabs>
          <w:tab w:leader="none" w:pos="14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b w:val="1"/>
          <w:bCs w:val="1"/>
          <w:color w:val="auto"/>
        </w:rPr>
        <w:t>No Implied Licenses or Sub-licenses</w:t>
      </w:r>
      <w:r>
        <w:rPr>
          <w:rFonts w:ascii="Times New Roman" w:cs="Times New Roman" w:eastAsia="Times New Roman" w:hAnsi="Times New Roman"/>
          <w:sz w:val="20"/>
          <w:szCs w:val="20"/>
          <w:color w:val="auto"/>
        </w:rPr>
        <w:t>. Except as set forth herein, neither Party nor its Affiliates or Collaboration Partners shall acquire any license, sub-license or other intellectual property interest, by implication or otherwise, under any Intellectual Property of the other Party. For the avoidance of doubt, the Parties agree that no sub-licenses under any Intellectual Property of Clearside are needed for REGENXBIO to supply Clearside Devices to Collaboration Partners.”</w:t>
      </w:r>
    </w:p>
    <w:p>
      <w:pPr>
        <w:spacing w:after="0" w:line="17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revisions are hereby added to the Agreement in Section 4.1:</w:t>
      </w:r>
    </w:p>
    <w:p>
      <w:pPr>
        <w:spacing w:after="0" w:line="215" w:lineRule="exact"/>
        <w:rPr>
          <w:rFonts w:ascii="Times New Roman" w:cs="Times New Roman" w:eastAsia="Times New Roman" w:hAnsi="Times New Roman"/>
          <w:sz w:val="20"/>
          <w:szCs w:val="20"/>
          <w:color w:val="auto"/>
        </w:rPr>
      </w:pPr>
    </w:p>
    <w:p>
      <w:pPr>
        <w:ind w:left="1500" w:right="380" w:firstLine="754"/>
        <w:spacing w:after="0" w:line="250" w:lineRule="auto"/>
        <w:tabs>
          <w:tab w:leader="none" w:pos="299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 itself or through its Collaboration Partners,” are hereby inserted immediately after the occurrence of “REGENXBIO” in the first sentence of Section 4.1.</w:t>
      </w:r>
    </w:p>
    <w:p>
      <w:pPr>
        <w:spacing w:after="0" w:line="1" w:lineRule="exact"/>
        <w:rPr>
          <w:rFonts w:ascii="Times New Roman" w:cs="Times New Roman" w:eastAsia="Times New Roman" w:hAnsi="Times New Roman"/>
          <w:sz w:val="20"/>
          <w:szCs w:val="20"/>
          <w:color w:val="auto"/>
        </w:rPr>
      </w:pPr>
    </w:p>
    <w:p>
      <w:pPr>
        <w:ind w:left="1500" w:right="340" w:firstLine="754"/>
        <w:spacing w:after="0" w:line="246" w:lineRule="auto"/>
        <w:tabs>
          <w:tab w:leader="none" w:pos="299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 itself or through its Collaboration Partners” are hereby inserted after the occurrence of “REGENXBIO” in the second sentence of Section 4.1.</w:t>
      </w:r>
    </w:p>
    <w:p>
      <w:pPr>
        <w:spacing w:after="0" w:line="195" w:lineRule="exact"/>
        <w:rPr>
          <w:rFonts w:ascii="Times New Roman" w:cs="Times New Roman" w:eastAsia="Times New Roman" w:hAnsi="Times New Roman"/>
          <w:sz w:val="20"/>
          <w:szCs w:val="20"/>
          <w:color w:val="auto"/>
        </w:rPr>
      </w:pPr>
    </w:p>
    <w:p>
      <w:pPr>
        <w:ind w:left="1500" w:right="280" w:firstLine="754"/>
        <w:spacing w:after="0" w:line="269" w:lineRule="auto"/>
        <w:tabs>
          <w:tab w:leader="none" w:pos="299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“or such Collaboration Partner’s” is hereby inserted in the second sentence of Section 4.1 immediately after the occurrence of “REGENXBIO’s”.</w:t>
      </w:r>
    </w:p>
    <w:p>
      <w:pPr>
        <w:spacing w:after="0" w:line="348" w:lineRule="exact"/>
        <w:rPr>
          <w:rFonts w:ascii="Times New Roman" w:cs="Times New Roman" w:eastAsia="Times New Roman" w:hAnsi="Times New Roman"/>
          <w:sz w:val="20"/>
          <w:szCs w:val="20"/>
          <w:color w:val="auto"/>
        </w:rPr>
      </w:pPr>
    </w:p>
    <w:p>
      <w:pPr>
        <w:ind w:left="1500" w:right="540" w:firstLine="754"/>
        <w:spacing w:after="0" w:line="269" w:lineRule="auto"/>
        <w:tabs>
          <w:tab w:leader="none" w:pos="299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 itself or through its Collaboration Partners” is hereby inserted immediately after the occurrence of “REGENXBIO” in the third sentence of Section 4.1.</w:t>
      </w:r>
    </w:p>
    <w:p>
      <w:pPr>
        <w:spacing w:after="0" w:line="172"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revisions are hereby added to the Agreement in Section 4.3:</w:t>
      </w:r>
    </w:p>
    <w:p>
      <w:pPr>
        <w:spacing w:after="0" w:line="215" w:lineRule="exact"/>
        <w:rPr>
          <w:rFonts w:ascii="Times New Roman" w:cs="Times New Roman" w:eastAsia="Times New Roman" w:hAnsi="Times New Roman"/>
          <w:sz w:val="20"/>
          <w:szCs w:val="20"/>
          <w:color w:val="auto"/>
        </w:rPr>
      </w:pPr>
    </w:p>
    <w:p>
      <w:pPr>
        <w:ind w:left="1500" w:right="120" w:firstLine="754"/>
        <w:spacing w:after="0" w:line="249" w:lineRule="auto"/>
        <w:tabs>
          <w:tab w:leader="none" w:pos="299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 between the Parties, REGENXBIO (itself or through its Affiliates or its or their Sublicensees)” are hereby deleted in the first sentence of Section 4.3 and the following words are hereby inserted in their place: “REGENXBIO (itself or through its Sublicensees, its Affiliates or their Sublicensees, or its Collaboration Partners or their Sublicensees)” .</w:t>
      </w:r>
    </w:p>
    <w:p>
      <w:pPr>
        <w:spacing w:after="0" w:line="174" w:lineRule="exact"/>
        <w:rPr>
          <w:rFonts w:ascii="Times New Roman" w:cs="Times New Roman" w:eastAsia="Times New Roman" w:hAnsi="Times New Roman"/>
          <w:sz w:val="20"/>
          <w:szCs w:val="20"/>
          <w:color w:val="auto"/>
        </w:rPr>
      </w:pPr>
    </w:p>
    <w:p>
      <w:pPr>
        <w:ind w:left="1500" w:right="200" w:firstLine="754"/>
        <w:spacing w:after="0" w:line="276" w:lineRule="auto"/>
        <w:tabs>
          <w:tab w:leader="none" w:pos="2997"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words, “REGENXBIO is” are hereby deleted </w:t>
      </w:r>
      <w:r>
        <w:rPr>
          <w:rFonts w:ascii="Times New Roman" w:cs="Times New Roman" w:eastAsia="Times New Roman" w:hAnsi="Times New Roman"/>
          <w:sz w:val="20"/>
          <w:szCs w:val="20"/>
          <w:color w:val="auto"/>
        </w:rPr>
        <w:t>in the second sentence of Section 4.3,</w:t>
      </w:r>
      <w:r>
        <w:rPr>
          <w:rFonts w:ascii="Times New Roman" w:cs="Times New Roman" w:eastAsia="Times New Roman" w:hAnsi="Times New Roman"/>
          <w:sz w:val="19"/>
          <w:szCs w:val="19"/>
          <w:color w:val="auto"/>
        </w:rPr>
        <w:t xml:space="preserve"> and the words “REGENXBIO and its Collaboration Partners are” are hereby inserted in their place, and the words “and its Collaboration Partners” are hereby inserted immediately after “… imposing on REGENXBIO” and before “the duty…”.</w:t>
      </w:r>
    </w:p>
    <w:p>
      <w:pPr>
        <w:spacing w:after="0" w:line="155"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revisions are hereby added to the Agreement in Section 4.4:</w:t>
      </w:r>
    </w:p>
    <w:p>
      <w:pPr>
        <w:spacing w:after="0" w:line="215" w:lineRule="exact"/>
        <w:rPr>
          <w:rFonts w:ascii="Times New Roman" w:cs="Times New Roman" w:eastAsia="Times New Roman" w:hAnsi="Times New Roman"/>
          <w:sz w:val="20"/>
          <w:szCs w:val="20"/>
          <w:color w:val="auto"/>
        </w:rPr>
      </w:pPr>
    </w:p>
    <w:p>
      <w:pPr>
        <w:ind w:left="1500" w:right="260" w:firstLine="754"/>
        <w:spacing w:after="0" w:line="269" w:lineRule="auto"/>
        <w:tabs>
          <w:tab w:leader="none" w:pos="299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“and its Collaboration Partners” are hereby inserted immediately after each occurrence of “REGENXBIO” in this Section 4.4.</w:t>
      </w:r>
    </w:p>
    <w:p>
      <w:pPr>
        <w:spacing w:after="0" w:line="200" w:lineRule="exact"/>
        <w:rPr>
          <w:sz w:val="20"/>
          <w:szCs w:val="20"/>
          <w:color w:val="auto"/>
        </w:rPr>
      </w:pPr>
    </w:p>
    <w:p>
      <w:pPr>
        <w:spacing w:after="0" w:line="202" w:lineRule="exact"/>
        <w:rPr>
          <w:sz w:val="20"/>
          <w:szCs w:val="20"/>
          <w:color w:val="auto"/>
        </w:rPr>
      </w:pPr>
    </w:p>
    <w:p>
      <w:pPr>
        <w:ind w:left="1280" w:hanging="703"/>
        <w:spacing w:after="0"/>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language is hereby added to the Agreement as new Section 4.5:</w:t>
      </w:r>
    </w:p>
    <w:p>
      <w:pPr>
        <w:spacing w:after="0" w:line="212" w:lineRule="exact"/>
        <w:rPr>
          <w:sz w:val="20"/>
          <w:szCs w:val="20"/>
          <w:color w:val="auto"/>
        </w:rPr>
      </w:pPr>
    </w:p>
    <w:p>
      <w:pPr>
        <w:jc w:val="both"/>
        <w:ind w:left="860"/>
        <w:spacing w:after="0" w:line="245"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color w:val="auto"/>
        </w:rPr>
        <w:t>Sharing of Information and Cooperation</w:t>
      </w:r>
      <w:r>
        <w:rPr>
          <w:rFonts w:ascii="Times New Roman" w:cs="Times New Roman" w:eastAsia="Times New Roman" w:hAnsi="Times New Roman"/>
          <w:sz w:val="20"/>
          <w:szCs w:val="20"/>
          <w:color w:val="auto"/>
        </w:rPr>
        <w:t>. Pursuant to Section 3.2, REGENXBIO shall identify to Clearside collaboration partners that have been granted rights by REGENXBIO related to the Development or Commercialization of Covered Products and their Affiliates and Sublicensees (collectively, “</w:t>
      </w:r>
      <w:r>
        <w:rPr>
          <w:rFonts w:ascii="Times New Roman" w:cs="Times New Roman" w:eastAsia="Times New Roman" w:hAnsi="Times New Roman"/>
          <w:sz w:val="20"/>
          <w:szCs w:val="20"/>
          <w:b w:val="1"/>
          <w:bCs w:val="1"/>
          <w:color w:val="auto"/>
        </w:rPr>
        <w:t>Collaboration Partners</w:t>
      </w:r>
      <w:r>
        <w:rPr>
          <w:rFonts w:ascii="Times New Roman" w:cs="Times New Roman" w:eastAsia="Times New Roman" w:hAnsi="Times New Roman"/>
          <w:sz w:val="20"/>
          <w:szCs w:val="20"/>
          <w:color w:val="auto"/>
        </w:rPr>
        <w:t>”). Clearside hereby acknowledges that it has been informed by REGENXBIO that AbbVie is a Collaboration Partner of REGENXBIO, as it relates to the Development and/or Commercialization of that certain Covered Product known as RGX-314 or other Covered Products resulting from that certain License and Collaboration Agreement, dated September 10, 2021 by and between REGENXBIO and AbbVie (“</w:t>
      </w:r>
      <w:r>
        <w:rPr>
          <w:rFonts w:ascii="Times New Roman" w:cs="Times New Roman" w:eastAsia="Times New Roman" w:hAnsi="Times New Roman"/>
          <w:sz w:val="20"/>
          <w:szCs w:val="20"/>
          <w:b w:val="1"/>
          <w:bCs w:val="1"/>
          <w:color w:val="auto"/>
        </w:rPr>
        <w:t>AbbVie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Collaboration</w:t>
      </w:r>
      <w:r>
        <w:rPr>
          <w:rFonts w:ascii="Times New Roman" w:cs="Times New Roman" w:eastAsia="Times New Roman" w:hAnsi="Times New Roman"/>
          <w:sz w:val="20"/>
          <w:szCs w:val="20"/>
          <w:color w:val="auto"/>
        </w:rPr>
        <w:t>”). Clearside agrees to engage in 3-way discussions between Clearside,</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45" w:lineRule="exact"/>
        <w:rPr>
          <w:sz w:val="20"/>
          <w:szCs w:val="20"/>
          <w:color w:val="auto"/>
        </w:rPr>
      </w:pPr>
    </w:p>
    <w:p>
      <w:pPr>
        <w:jc w:val="both"/>
        <w:ind w:left="860"/>
        <w:spacing w:after="0" w:line="243" w:lineRule="auto"/>
        <w:rPr>
          <w:sz w:val="20"/>
          <w:szCs w:val="20"/>
          <w:color w:val="auto"/>
        </w:rPr>
      </w:pPr>
      <w:r>
        <w:rPr>
          <w:rFonts w:ascii="Times New Roman" w:cs="Times New Roman" w:eastAsia="Times New Roman" w:hAnsi="Times New Roman"/>
          <w:sz w:val="20"/>
          <w:szCs w:val="20"/>
          <w:color w:val="auto"/>
        </w:rPr>
        <w:t>REGENXBIO, and AbbVie as reasonably requested by REGENXBIO, and to disclose the same information in such 3-way discussions that Clearside would otherwise share or disclose directly to REGENXBIO under this Agreement, including any Quality Agreement or Pharmacovigilance Agreement entered into pursuant to this Agreement, provided that AbbVie is bound by a confidentiality agreement containing terms of confidentiality and non-use at least as stringent as the applicable terms set forth in this Agreement. Further, REGENXBIO may share any information with AbbVie that Clearside has shared or disclosed directly to REGENXBIO under this Agreement, including any Quality Agreement or Pharmacovigilance Agreement entered into pursuant to this Agreement, and including but not limited to information related to obtaining Regulatory Approvals pursuant to Section 4.2.1(a), provided that AbbVie is bound by a confidentiality agreement containing terms of confidentiality and non-use at least as stringent as the applicable terms set forth in this Agreement.”</w:t>
      </w:r>
    </w:p>
    <w:p>
      <w:pPr>
        <w:spacing w:after="0" w:line="186" w:lineRule="exact"/>
        <w:rPr>
          <w:sz w:val="20"/>
          <w:szCs w:val="20"/>
          <w:color w:val="auto"/>
        </w:rPr>
      </w:pPr>
    </w:p>
    <w:p>
      <w:pPr>
        <w:ind w:left="760" w:hanging="179"/>
        <w:spacing w:after="0" w:line="269" w:lineRule="auto"/>
        <w:rPr>
          <w:sz w:val="20"/>
          <w:szCs w:val="20"/>
          <w:color w:val="auto"/>
        </w:rPr>
      </w:pPr>
      <w:r>
        <w:rPr>
          <w:rFonts w:ascii="Times New Roman" w:cs="Times New Roman" w:eastAsia="Times New Roman" w:hAnsi="Times New Roman"/>
          <w:sz w:val="20"/>
          <w:szCs w:val="20"/>
          <w:color w:val="auto"/>
        </w:rPr>
        <w:t>(i)In the first sentence of Section 5.1.1 of the Agreement the words “and REGENXBIO’s Collaboration Partners’” are hereby added after “REGENXBIO’s” and before “requirements”.</w:t>
      </w:r>
    </w:p>
    <w:p>
      <w:pPr>
        <w:spacing w:after="0" w:line="159" w:lineRule="exact"/>
        <w:rPr>
          <w:sz w:val="20"/>
          <w:szCs w:val="20"/>
          <w:color w:val="auto"/>
        </w:rPr>
      </w:pPr>
    </w:p>
    <w:p>
      <w:pPr>
        <w:ind w:left="760" w:hanging="179"/>
        <w:spacing w:after="0" w:line="269" w:lineRule="auto"/>
        <w:rPr>
          <w:sz w:val="20"/>
          <w:szCs w:val="20"/>
          <w:color w:val="auto"/>
        </w:rPr>
      </w:pPr>
      <w:r>
        <w:rPr>
          <w:rFonts w:ascii="Times New Roman" w:cs="Times New Roman" w:eastAsia="Times New Roman" w:hAnsi="Times New Roman"/>
          <w:sz w:val="20"/>
          <w:szCs w:val="20"/>
          <w:color w:val="auto"/>
        </w:rPr>
        <w:t>(j)In the first sentence of Section 5.2.1 of the Agreement the words “and any Collaboration Partner” are hereby added after “REGENXBIO” and before “for”.</w:t>
      </w:r>
    </w:p>
    <w:p>
      <w:pPr>
        <w:spacing w:after="0" w:line="159" w:lineRule="exact"/>
        <w:rPr>
          <w:sz w:val="20"/>
          <w:szCs w:val="20"/>
          <w:color w:val="auto"/>
        </w:rPr>
      </w:pPr>
    </w:p>
    <w:p>
      <w:pPr>
        <w:ind w:left="760" w:right="20" w:hanging="179"/>
        <w:spacing w:after="0" w:line="269" w:lineRule="auto"/>
        <w:rPr>
          <w:sz w:val="20"/>
          <w:szCs w:val="20"/>
          <w:color w:val="auto"/>
        </w:rPr>
      </w:pPr>
      <w:r>
        <w:rPr>
          <w:rFonts w:ascii="Times New Roman" w:cs="Times New Roman" w:eastAsia="Times New Roman" w:hAnsi="Times New Roman"/>
          <w:sz w:val="20"/>
          <w:szCs w:val="20"/>
          <w:color w:val="auto"/>
        </w:rPr>
        <w:t>(k)In the first sentence of Section 5.3 of the Agreement the words “and a Collaboration Partner, if requested by REGENXBIO” are hereby added after “Parties” and before “, together”.</w:t>
      </w:r>
    </w:p>
    <w:p>
      <w:pPr>
        <w:spacing w:after="0" w:line="159" w:lineRule="exact"/>
        <w:rPr>
          <w:sz w:val="20"/>
          <w:szCs w:val="20"/>
          <w:color w:val="auto"/>
        </w:rPr>
      </w:pPr>
    </w:p>
    <w:p>
      <w:pPr>
        <w:ind w:left="760" w:hanging="179"/>
        <w:spacing w:after="0" w:line="269" w:lineRule="auto"/>
        <w:rPr>
          <w:sz w:val="20"/>
          <w:szCs w:val="20"/>
          <w:color w:val="auto"/>
        </w:rPr>
      </w:pPr>
      <w:r>
        <w:rPr>
          <w:rFonts w:ascii="Times New Roman" w:cs="Times New Roman" w:eastAsia="Times New Roman" w:hAnsi="Times New Roman"/>
          <w:sz w:val="20"/>
          <w:szCs w:val="20"/>
          <w:color w:val="auto"/>
        </w:rPr>
        <w:t>(l)In the preamble of Section 6.2.1 of the Agreement, the phrase “, or by a Collaboration Partner,” is hereby added after “REGENXBIO, an Affiliate, or a Sublicensee”.</w:t>
      </w:r>
    </w:p>
    <w:p>
      <w:pPr>
        <w:spacing w:after="0" w:line="159" w:lineRule="exact"/>
        <w:rPr>
          <w:sz w:val="20"/>
          <w:szCs w:val="20"/>
          <w:color w:val="auto"/>
        </w:rPr>
      </w:pPr>
    </w:p>
    <w:p>
      <w:pPr>
        <w:ind w:left="760" w:hanging="182"/>
        <w:spacing w:after="0" w:line="269" w:lineRule="auto"/>
        <w:rPr>
          <w:sz w:val="20"/>
          <w:szCs w:val="20"/>
          <w:color w:val="auto"/>
        </w:rPr>
      </w:pPr>
      <w:r>
        <w:rPr>
          <w:rFonts w:ascii="Times New Roman" w:cs="Times New Roman" w:eastAsia="Times New Roman" w:hAnsi="Times New Roman"/>
          <w:sz w:val="20"/>
          <w:szCs w:val="20"/>
          <w:color w:val="auto"/>
        </w:rPr>
        <w:t>(m)In the preamble of Section 6.3 of the Agreement, the phrase “, or a Sublicensee, and/or by a Collaboration Partner,” is hereby added after “whether such milestone is achieved by REGENXBIO, an Affiliate”.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(n)Section 6.4.1 is hereby deleted in its entirety and replaced with the following:</w:t>
      </w:r>
    </w:p>
    <w:p>
      <w:pPr>
        <w:spacing w:after="0" w:line="212" w:lineRule="exact"/>
        <w:rPr>
          <w:sz w:val="20"/>
          <w:szCs w:val="20"/>
          <w:color w:val="auto"/>
        </w:rPr>
      </w:pPr>
    </w:p>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“6.4.1. </w:t>
      </w:r>
      <w:r>
        <w:rPr>
          <w:rFonts w:ascii="Times New Roman" w:cs="Times New Roman" w:eastAsia="Times New Roman" w:hAnsi="Times New Roman"/>
          <w:sz w:val="20"/>
          <w:szCs w:val="20"/>
          <w:b w:val="1"/>
          <w:bCs w:val="1"/>
          <w:color w:val="auto"/>
        </w:rPr>
        <w:t>Royalty Rates.</w:t>
      </w:r>
      <w:r>
        <w:rPr>
          <w:rFonts w:ascii="Times New Roman" w:cs="Times New Roman" w:eastAsia="Times New Roman" w:hAnsi="Times New Roman"/>
          <w:sz w:val="20"/>
          <w:szCs w:val="20"/>
          <w:color w:val="auto"/>
        </w:rPr>
        <w:t xml:space="preserve"> As further consideration for the rights granted to REGENXBIO hereunder and subject to the terms and conditions of this Agreement, during the Royalty Term, REGENXBIO will pay to Clearside a royalty in the amount of [***] of Net Sales of Covered Products by REGENXBIO or its Affiliates or any Covered Product Seller (including but not limited to AbbVie pursuant to the AbbVie Collaboration), subject to the royalty reductions set forth below. For the avoidance of doubt, in no case shall REGENXBIO owe to Clearside more than one such royalty on a sale of a Covered Product. REGENXBIO will have no obligation to pay any royalty with respect to Net Sales of Covered Product in any country after the Royalty Term for such Covered Product in such country has expired. Following the expiration of the Royalty Term for Covered Product in a country, the grants in Section 3.1 will become full-paid, royalty-free, perpetual and irrevocable for such Covered Product in such country, and no further royalties will be payable. REGENXBIO will include any Covered Product Sellers’ sales in the reports described in Section 6.5 of the Agreement and use reasonable efforts to ensure that each Covered Product Seller retains accurate financial books and records as set forth in Section 6.8 of the Agreement.”</w:t>
      </w:r>
    </w:p>
    <w:p>
      <w:pPr>
        <w:spacing w:after="0" w:line="200" w:lineRule="exact"/>
        <w:rPr>
          <w:sz w:val="20"/>
          <w:szCs w:val="20"/>
          <w:color w:val="auto"/>
        </w:rPr>
      </w:pPr>
    </w:p>
    <w:p>
      <w:pPr>
        <w:spacing w:after="0" w:line="237" w:lineRule="exact"/>
        <w:rPr>
          <w:sz w:val="20"/>
          <w:szCs w:val="20"/>
          <w:color w:val="auto"/>
        </w:rPr>
      </w:pPr>
    </w:p>
    <w:p>
      <w:pPr>
        <w:ind w:left="760" w:hanging="179"/>
        <w:spacing w:after="0" w:line="269" w:lineRule="auto"/>
        <w:rPr>
          <w:sz w:val="20"/>
          <w:szCs w:val="20"/>
          <w:color w:val="auto"/>
        </w:rPr>
      </w:pPr>
      <w:r>
        <w:rPr>
          <w:rFonts w:ascii="Times New Roman" w:cs="Times New Roman" w:eastAsia="Times New Roman" w:hAnsi="Times New Roman"/>
          <w:sz w:val="20"/>
          <w:szCs w:val="20"/>
          <w:color w:val="auto"/>
        </w:rPr>
        <w:t>(o)In the last sentence of Section 6.5, the phrase “… attributable to its Affiliates and Sublicensees.” is hereby deleted in its entirety and replaced with the following phrase “attributable to its Affiliates, Sublicensees and other Covered Product Sellers.”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(p)The follow language is hereby added after the last sentence in Section 6.9:</w:t>
      </w:r>
    </w:p>
    <w:p>
      <w:pPr>
        <w:spacing w:after="0" w:line="216" w:lineRule="exact"/>
        <w:rPr>
          <w:sz w:val="20"/>
          <w:szCs w:val="20"/>
          <w:color w:val="auto"/>
        </w:rPr>
      </w:pPr>
    </w:p>
    <w:p>
      <w:pPr>
        <w:jc w:val="both"/>
        <w:ind w:left="760" w:hanging="179"/>
        <w:spacing w:after="0" w:line="245" w:lineRule="auto"/>
        <w:rPr>
          <w:sz w:val="20"/>
          <w:szCs w:val="20"/>
          <w:color w:val="auto"/>
        </w:rPr>
      </w:pPr>
      <w:r>
        <w:rPr>
          <w:rFonts w:ascii="Times New Roman" w:cs="Times New Roman" w:eastAsia="Times New Roman" w:hAnsi="Times New Roman"/>
          <w:sz w:val="20"/>
          <w:szCs w:val="20"/>
          <w:color w:val="auto"/>
        </w:rPr>
        <w:t>(q)“Upon Clearside’s or EGT Licensors’ written request, REGENXBIO shall provide Clearside or EGT Licensors with the portions relevant to the Net Sales of Covered Product of any audit report that REGENXBIO has received from an independent public accounting firm in connection with such firm’s audit of a Collaboration Partner, consistent with the audit rights afforded to REGENXBIO pursuant to its agreement with such Collaboration Partner (and, in the case of AbbVie, pursuant to the AbbVie Collaboration).In Section 9.4.3 of the Agreement, “and its Collaboration Partners” is hereby added after “(and with respect to REGENXBIO, its Sublicensees… ”.</w:t>
      </w:r>
    </w:p>
    <w:p>
      <w:pPr>
        <w:spacing w:after="0" w:line="180" w:lineRule="exact"/>
        <w:rPr>
          <w:sz w:val="20"/>
          <w:szCs w:val="20"/>
          <w:color w:val="auto"/>
        </w:rPr>
      </w:pPr>
    </w:p>
    <w:p>
      <w:pPr>
        <w:ind w:left="760" w:hanging="378"/>
        <w:spacing w:after="0" w:line="273" w:lineRule="auto"/>
        <w:tabs>
          <w:tab w:leader="none" w:pos="7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Conflicting Terms</w:t>
      </w:r>
      <w:r>
        <w:rPr>
          <w:rFonts w:ascii="Times New Roman" w:cs="Times New Roman" w:eastAsia="Times New Roman" w:hAnsi="Times New Roman"/>
          <w:sz w:val="20"/>
          <w:szCs w:val="20"/>
          <w:color w:val="auto"/>
        </w:rPr>
        <w:t>. In the event of a conflict between the terms of this Amendment and the terms of the Agreement,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prevail as to the subject matter hereof.</w:t>
      </w:r>
    </w:p>
    <w:p>
      <w:pPr>
        <w:spacing w:after="0" w:line="165"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Continuation</w:t>
      </w:r>
      <w:r>
        <w:rPr>
          <w:rFonts w:ascii="Times New Roman" w:cs="Times New Roman" w:eastAsia="Times New Roman" w:hAnsi="Times New Roman"/>
          <w:sz w:val="20"/>
          <w:szCs w:val="20"/>
          <w:color w:val="auto"/>
        </w:rPr>
        <w:t>. Except as expressly provided or modified in this Amendment, all of the terms and provisions of the Agreement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will remain in full force and effect, shall not be modified and are hereby ratified and confirmed by the Parties.</w:t>
      </w:r>
    </w:p>
    <w:p>
      <w:pPr>
        <w:spacing w:after="0" w:line="165"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two or more counterparts, each of which shall be deemed an original, but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together shall constitute one and the same instrument.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follow on next page]</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87"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by their authorized representatives have executed this Amendment as of the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Clearside Biomedical, Inc.</w:t>
            </w:r>
          </w:p>
        </w:tc>
        <w:tc>
          <w:tcPr>
            <w:tcW w:w="6820" w:type="dxa"/>
            <w:vAlign w:val="bottom"/>
          </w:tcPr>
          <w:p>
            <w:pPr>
              <w:ind w:left="1300"/>
              <w:spacing w:after="0"/>
              <w:rPr>
                <w:sz w:val="20"/>
                <w:szCs w:val="20"/>
                <w:color w:val="auto"/>
              </w:rPr>
            </w:pPr>
            <w:r>
              <w:rPr>
                <w:rFonts w:ascii="Times New Roman" w:cs="Times New Roman" w:eastAsia="Times New Roman" w:hAnsi="Times New Roman"/>
                <w:sz w:val="20"/>
                <w:szCs w:val="20"/>
                <w:b w:val="1"/>
                <w:bCs w:val="1"/>
                <w:color w:val="auto"/>
              </w:rPr>
              <w:t>REGENXBIO Inc.</w:t>
            </w:r>
          </w:p>
        </w:tc>
      </w:tr>
      <w:tr>
        <w:trPr>
          <w:trHeight w:val="490"/>
        </w:trPr>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George Lasezkay</w:t>
            </w:r>
          </w:p>
        </w:tc>
        <w:tc>
          <w:tcPr>
            <w:tcW w:w="68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20"/>
                <w:szCs w:val="20"/>
                <w:color w:val="auto"/>
              </w:rPr>
              <w:t>/s/ Patrick Christmas</w:t>
            </w:r>
          </w:p>
        </w:tc>
      </w:tr>
      <w:tr>
        <w:trPr>
          <w:trHeight w:val="256"/>
        </w:trPr>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Signature</w:t>
            </w:r>
          </w:p>
        </w:tc>
        <w:tc>
          <w:tcPr>
            <w:tcW w:w="6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Signature</w:t>
            </w:r>
          </w:p>
        </w:tc>
      </w:tr>
      <w:tr>
        <w:trPr>
          <w:trHeight w:val="480"/>
        </w:trPr>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George Lasezkay</w:t>
            </w:r>
          </w:p>
        </w:tc>
        <w:tc>
          <w:tcPr>
            <w:tcW w:w="68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20"/>
                <w:szCs w:val="20"/>
                <w:color w:val="auto"/>
              </w:rPr>
              <w:t>Patrick Christmas</w:t>
            </w:r>
          </w:p>
        </w:tc>
      </w:tr>
      <w:tr>
        <w:trPr>
          <w:trHeight w:val="256"/>
        </w:trPr>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 Name</w:t>
            </w:r>
          </w:p>
        </w:tc>
        <w:tc>
          <w:tcPr>
            <w:tcW w:w="6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 Name</w:t>
            </w:r>
          </w:p>
        </w:tc>
      </w:tr>
      <w:tr>
        <w:trPr>
          <w:trHeight w:val="480"/>
        </w:trPr>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68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20"/>
                <w:szCs w:val="20"/>
                <w:color w:val="auto"/>
              </w:rPr>
              <w:t>Chief Legal Officer</w:t>
            </w:r>
          </w:p>
        </w:tc>
      </w:tr>
      <w:tr>
        <w:trPr>
          <w:trHeight w:val="256"/>
        </w:trPr>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6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Title</w:t>
            </w:r>
          </w:p>
        </w:tc>
      </w:tr>
      <w:tr>
        <w:trPr>
          <w:trHeight w:val="480"/>
        </w:trPr>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January 14, 2023</w:t>
            </w:r>
          </w:p>
        </w:tc>
        <w:tc>
          <w:tcPr>
            <w:tcW w:w="68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20"/>
                <w:szCs w:val="20"/>
                <w:color w:val="auto"/>
              </w:rPr>
              <w:t>January 17, 2023</w:t>
            </w:r>
          </w:p>
        </w:tc>
      </w:tr>
      <w:tr>
        <w:trPr>
          <w:trHeight w:val="256"/>
        </w:trPr>
        <w:tc>
          <w:tcPr>
            <w:tcW w:w="4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6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Date</w:t>
            </w:r>
          </w:p>
        </w:tc>
      </w:tr>
      <w:tr>
        <w:trPr>
          <w:trHeight w:val="3218"/>
        </w:trPr>
        <w:tc>
          <w:tcPr>
            <w:tcW w:w="442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ind w:right="3260" w:firstLine="3251"/>
        <w:spacing w:after="0" w:line="506"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45" w:lineRule="exact"/>
        <w:rPr>
          <w:sz w:val="20"/>
          <w:szCs w:val="20"/>
          <w:color w:val="auto"/>
        </w:rPr>
      </w:pPr>
    </w:p>
    <w:p>
      <w:pPr>
        <w:ind w:left="1020" w:right="440" w:hanging="503"/>
        <w:spacing w:after="0" w:line="27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333-212014) pertaining to the 2011 Stock Incentive Plan, as amended, Stock Option Awards, 2016 Equity Incentive Plan, and 2016 Employee Stock Purchase Plan of Clearside Biomedical, Inc.,</w:t>
      </w:r>
    </w:p>
    <w:p>
      <w:pPr>
        <w:spacing w:after="0" w:line="140" w:lineRule="exact"/>
        <w:rPr>
          <w:rFonts w:ascii="Arial" w:cs="Arial" w:eastAsia="Arial" w:hAnsi="Arial"/>
          <w:sz w:val="18"/>
          <w:szCs w:val="18"/>
          <w:color w:val="auto"/>
        </w:rPr>
      </w:pPr>
    </w:p>
    <w:p>
      <w:pPr>
        <w:ind w:left="1020" w:right="460" w:hanging="503"/>
        <w:spacing w:after="0" w:line="27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333-216750) pertaining to the 2016 Equity Incentive Plan and 2016 Employee Stock Purchase Plan of Clearside Biomedical, Inc.,</w:t>
      </w:r>
    </w:p>
    <w:p>
      <w:pPr>
        <w:spacing w:after="0" w:line="140"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S-3 No. 333-238128) of Clearside Biomedical, Inc.,</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S-3 No. 333-235880) of Clearside Biomedical, Inc.,</w:t>
      </w:r>
    </w:p>
    <w:p>
      <w:pPr>
        <w:spacing w:after="0" w:line="198" w:lineRule="exact"/>
        <w:rPr>
          <w:rFonts w:ascii="Arial" w:cs="Arial" w:eastAsia="Arial" w:hAnsi="Arial"/>
          <w:sz w:val="18"/>
          <w:szCs w:val="18"/>
          <w:color w:val="auto"/>
        </w:rPr>
      </w:pPr>
    </w:p>
    <w:p>
      <w:pPr>
        <w:ind w:left="1020" w:right="460" w:hanging="503"/>
        <w:spacing w:after="0" w:line="27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333-224826) pertaining to the 2016 Equity Incentive Plan and 2016 Employee Stock Purchase Plan of Clearside Biomedical, Inc.,</w:t>
      </w:r>
    </w:p>
    <w:p>
      <w:pPr>
        <w:spacing w:after="0" w:line="140"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333-231383) pertaining to the 2016 Equity Incentive Plan of Clearside Biomedical, Inc.,</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333-238133) pertaining to the 2016 Equity Incentive Plan of Clearside Biomedical, Inc.,</w:t>
      </w:r>
    </w:p>
    <w:p>
      <w:pPr>
        <w:spacing w:after="0" w:line="198" w:lineRule="exact"/>
        <w:rPr>
          <w:rFonts w:ascii="Arial" w:cs="Arial" w:eastAsia="Arial" w:hAnsi="Arial"/>
          <w:sz w:val="18"/>
          <w:szCs w:val="18"/>
          <w:color w:val="auto"/>
        </w:rPr>
      </w:pPr>
    </w:p>
    <w:p>
      <w:pPr>
        <w:ind w:left="1020" w:right="220" w:hanging="503"/>
        <w:spacing w:after="0" w:line="27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333-256212) pertaining to the 2016 Equity Incentive Plan of Clearside Biomedical, Inc., and</w:t>
      </w:r>
    </w:p>
    <w:p>
      <w:pPr>
        <w:spacing w:after="0" w:line="140"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333-264885) pertaining to the 2016 Equity Incentive Plan of Clearside Biomedical, Inc.</w:t>
      </w:r>
    </w:p>
    <w:p>
      <w:pPr>
        <w:spacing w:after="0" w:line="200" w:lineRule="exact"/>
        <w:rPr>
          <w:sz w:val="20"/>
          <w:szCs w:val="20"/>
          <w:color w:val="auto"/>
        </w:rPr>
      </w:pPr>
    </w:p>
    <w:p>
      <w:pPr>
        <w:spacing w:after="0" w:line="20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of our report dated March 14, 2023, with respect to the financial statements of Clearside Biomedical, Inc. included in this Annual Report (Form 10-K) of Clearside Biomedical, Inc. for the year ended December 31, 2022.</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rPr>
          <w:sz w:val="20"/>
          <w:szCs w:val="20"/>
          <w:color w:val="auto"/>
        </w:rPr>
      </w:pPr>
      <w:r>
        <w:rPr>
          <w:rFonts w:ascii="Arial" w:cs="Arial" w:eastAsia="Arial" w:hAnsi="Arial"/>
          <w:sz w:val="18"/>
          <w:szCs w:val="18"/>
          <w:color w:val="auto"/>
        </w:rPr>
        <w:t>March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2023</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George Lasezkay, Pharm.D., J.D.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2023</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50" w:lineRule="exact"/>
        <w:rPr>
          <w:sz w:val="20"/>
          <w:szCs w:val="20"/>
          <w:color w:val="auto"/>
        </w:rPr>
      </w:pPr>
    </w:p>
    <w:p>
      <w:pPr>
        <w:ind w:left="520" w:right="340" w:hanging="512"/>
        <w:spacing w:after="0" w:line="282" w:lineRule="auto"/>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year ended December 31, 2022,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420" w:hanging="512"/>
        <w:spacing w:after="0" w:line="282" w:lineRule="auto"/>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14th day of March,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Lasezkay, Pharm.D.,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A. Deignan</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Lasezkay, Pharm.D., J.D.</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A. Deignan</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52" w:lineRule="exact"/>
        <w:rPr>
          <w:sz w:val="20"/>
          <w:szCs w:val="20"/>
          <w:color w:val="auto"/>
        </w:rPr>
      </w:pPr>
    </w:p>
    <w:p>
      <w:pPr>
        <w:ind w:right="40" w:firstLine="8"/>
        <w:spacing w:after="0" w:line="266" w:lineRule="auto"/>
        <w:tabs>
          <w:tab w:leader="none" w:pos="1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50"/>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lvl w:ilvl="1">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lvl w:ilvl="1">
      <w:lvlJc w:val="left"/>
      <w:lvlText w:val="•"/>
      <w:numFmt w:val="bullet"/>
      <w:start w:val="1"/>
    </w:lvl>
  </w:abstractNum>
  <w:abstractNum w:abstractNumId="24">
    <w:nsid w:val="3DC240FB"/>
    <w:multiLevelType w:val="hybridMultilevel"/>
    <w:lvl w:ilvl="0">
      <w:lvlJc w:val="left"/>
      <w:lvlText w:val="•"/>
      <w:numFmt w:val="bullet"/>
      <w:start w:val="1"/>
    </w:lvl>
    <w:lvl w:ilvl="1">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lvl w:ilvl="1">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lvl w:ilvl="1">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2"/>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upperLetter"/>
      <w:start w:val="68"/>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upperLetter"/>
      <w:start w:val="68"/>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7"/>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w"/>
      <w:numFmt w:val="bullet"/>
      <w:start w:val="1"/>
    </w:lvl>
  </w:abstractNum>
  <w:abstractNum w:abstractNumId="47">
    <w:nsid w:val="6157409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8">
    <w:nsid w:val="7E0C57B1"/>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9">
    <w:nsid w:val="77AE35EB"/>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50">
    <w:nsid w:val="579BE4F1"/>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51">
    <w:nsid w:val="310C50B3"/>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54">
    <w:nsid w:val="25A70BF7"/>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abstractNum>
  <w:abstractNum w:abstractNumId="55">
    <w:nsid w:val="1DBABF00"/>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56">
    <w:nsid w:val="4AD084E9"/>
    <w:multiLevelType w:val="hybridMultilevel"/>
    <w:lvl w:ilvl="0">
      <w:lvlJc w:val="left"/>
      <w:lvlText w:val="%1."/>
      <w:numFmt w:val="decimal"/>
      <w:start w:val="10"/>
    </w:lvl>
    <w:lvl w:ilvl="1">
      <w:lvlJc w:val="left"/>
      <w:lvlText w:val="(%2)"/>
      <w:numFmt w:val="lowerLetter"/>
      <w:start w:val="1"/>
    </w:lvl>
  </w:abstractNum>
  <w:abstractNum w:abstractNumId="57">
    <w:nsid w:val="1F48EAA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58">
    <w:nsid w:val="1381823A"/>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59">
    <w:nsid w:val="5DB70AE5"/>
    <w:multiLevelType w:val="hybridMultilevel"/>
    <w:lvl w:ilvl="0">
      <w:lvlJc w:val="left"/>
      <w:lvlText w:val="%1."/>
      <w:numFmt w:val="decimal"/>
      <w:start w:val="11"/>
    </w:lvl>
  </w:abstractNum>
  <w:abstractNum w:abstractNumId="60">
    <w:nsid w:val="100F8FCA"/>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abstractNum>
  <w:abstractNum w:abstractNumId="61">
    <w:nsid w:val="6590700B"/>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abstractNum>
  <w:abstractNum w:abstractNumId="62">
    <w:nsid w:val="15014ACB"/>
    <w:multiLevelType w:val="hybridMultilevel"/>
    <w:lvl w:ilvl="0">
      <w:lvlJc w:val="left"/>
      <w:lvlText w:val="(%1)"/>
      <w:numFmt w:val="decimal"/>
      <w:start w:val="52"/>
    </w:lvl>
    <w:lvl w:ilvl="1">
      <w:lvlJc w:val="left"/>
      <w:lvlText w:val="%2."/>
      <w:numFmt w:val="decimal"/>
      <w:start w:val="15"/>
    </w:lvl>
    <w:lvl w:ilvl="2">
      <w:lvlJc w:val="left"/>
      <w:lvlText w:val="%3"/>
      <w:numFmt w:val="decimal"/>
      <w:start w:val="1"/>
    </w:lvl>
  </w:abstractNum>
  <w:abstractNum w:abstractNumId="63">
    <w:nsid w:val="5F5E7FD0"/>
    <w:multiLevelType w:val="hybridMultilevel"/>
    <w:lvl w:ilvl="0">
      <w:lvlJc w:val="left"/>
      <w:lvlText w:val="%1"/>
      <w:numFmt w:val="decimal"/>
      <w:start w:val="1"/>
    </w:lvl>
    <w:lvl w:ilvl="1">
      <w:lvlJc w:val="left"/>
      <w:lvlText w:val="%2."/>
      <w:numFmt w:val="decimal"/>
      <w:start w:val="16"/>
    </w:lvl>
  </w:abstractNum>
  <w:abstractNum w:abstractNumId="64">
    <w:nsid w:val="98A3148"/>
    <w:multiLevelType w:val="hybridMultilevel"/>
    <w:lvl w:ilvl="0">
      <w:lvlJc w:val="left"/>
      <w:lvlText w:val="%1."/>
      <w:numFmt w:val="decimal"/>
      <w:start w:val="17"/>
    </w:lvl>
    <w:lvl w:ilvl="1">
      <w:lvlJc w:val="left"/>
      <w:lvlText w:val="%2"/>
      <w:numFmt w:val="decimal"/>
      <w:start w:val="1"/>
    </w:lvl>
  </w:abstractNum>
  <w:abstractNum w:abstractNumId="65">
    <w:nsid w:val="799D0247"/>
    <w:multiLevelType w:val="hybridMultilevel"/>
    <w:lvl w:ilvl="0">
      <w:lvlJc w:val="left"/>
      <w:lvlText w:val="%1."/>
      <w:numFmt w:val="decimal"/>
      <w:start w:val="19"/>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decimal"/>
      <w:start w:val="1"/>
    </w:lvl>
    <w:lvl w:ilvl="1">
      <w:lvlJc w:val="left"/>
      <w:lvlText w:val="(%2)"/>
      <w:numFmt w:val="lowerLetter"/>
      <w:start w:val="1"/>
    </w:lvl>
  </w:abstractNum>
  <w:abstractNum w:abstractNumId="68">
    <w:nsid w:val="168E121F"/>
    <w:multiLevelType w:val="hybridMultilevel"/>
    <w:lvl w:ilvl="0">
      <w:lvlJc w:val="left"/>
      <w:lvlText w:val="(%1)"/>
      <w:numFmt w:val="lowerLetter"/>
      <w:start w:val="4"/>
    </w:lvl>
    <w:lvl w:ilvl="1">
      <w:lvlJc w:val="left"/>
      <w:lvlText w:val="(%2)"/>
      <w:numFmt w:val="lowerRoman"/>
      <w:start w:val="1"/>
    </w:lvl>
  </w:abstractNum>
  <w:abstractNum w:abstractNumId="69">
    <w:nsid w:val="1EBA5D23"/>
    <w:multiLevelType w:val="hybridMultilevel"/>
    <w:lvl w:ilvl="0">
      <w:lvlJc w:val="left"/>
      <w:lvlText w:val="(%1)"/>
      <w:numFmt w:val="lowerLetter"/>
      <w:start w:val="8"/>
    </w:lvl>
  </w:abstractNum>
  <w:abstractNum w:abstractNumId="70">
    <w:nsid w:val="661E3F1E"/>
    <w:multiLevelType w:val="hybridMultilevel"/>
    <w:lvl w:ilvl="0">
      <w:lvlJc w:val="left"/>
      <w:lvlText w:val="%1."/>
      <w:numFmt w:val="decimal"/>
      <w:start w:val="3"/>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jpeg"/><Relationship Id="rId390" Type="http://schemas.openxmlformats.org/officeDocument/2006/relationships/image" Target="media/image347.jpe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334" Type="http://schemas.openxmlformats.org/officeDocument/2006/relationships/hyperlink" Target="https://www.sec.gov/Archives/edgar/data/1539029/000119312516615374/d208521dex31.htm" TargetMode="External"/><Relationship Id="rId335" Type="http://schemas.openxmlformats.org/officeDocument/2006/relationships/hyperlink" Target="https://www.sec.gov/Archives/edgar/data/1539029/000095017022012039/clsd-ex3_1.htm" TargetMode="External"/><Relationship Id="rId336" Type="http://schemas.openxmlformats.org/officeDocument/2006/relationships/hyperlink" Target="https://www.sec.gov/Archives/edgar/data/1539029/000119312516615374/d208521dex32.htm" TargetMode="External"/><Relationship Id="rId337" Type="http://schemas.openxmlformats.org/officeDocument/2006/relationships/hyperlink" Target="https://www.sec.gov/Archives/edgar/data/1539029/000119312516510413/d742552dex41.htm" TargetMode="External"/><Relationship Id="rId338" Type="http://schemas.openxmlformats.org/officeDocument/2006/relationships/hyperlink" Target="https://www.sec.gov/Archives/edgar/data/1539029/000119312516424684/d742552dex42.htm" TargetMode="External"/><Relationship Id="rId339" Type="http://schemas.openxmlformats.org/officeDocument/2006/relationships/hyperlink" Target="https://www.sec.gov/Archives/edgar/data/1539029/000119312516730463/d280787dex41.htm" TargetMode="External"/><Relationship Id="rId340" Type="http://schemas.openxmlformats.org/officeDocument/2006/relationships/hyperlink" Target="https://www.sec.gov/Archives/edgar/data/1539029/000156459020010810/clsd-ex44_474.htm" TargetMode="External"/><Relationship Id="rId341" Type="http://schemas.openxmlformats.org/officeDocument/2006/relationships/hyperlink" Target="https://www.sec.gov/Archives/edgar/data/1539029/000119312516424684/d742552dex101.htm" TargetMode="External"/><Relationship Id="rId342" Type="http://schemas.openxmlformats.org/officeDocument/2006/relationships/hyperlink" Target="https://www.sec.gov/Archives/edgar/data/1539029/000119312516424684/d742552dex103.htm" TargetMode="External"/><Relationship Id="rId343" Type="http://schemas.openxmlformats.org/officeDocument/2006/relationships/hyperlink" Target="https://www.sec.gov/Archives/edgar/data/1539029/000119312516424684/d742552dex104.htm" TargetMode="External"/><Relationship Id="rId344" Type="http://schemas.openxmlformats.org/officeDocument/2006/relationships/hyperlink" Target="https://www.sec.gov/Archives/edgar/data/1539029/000119312516424684/d742552dex105.htm" TargetMode="External"/><Relationship Id="rId345" Type="http://schemas.openxmlformats.org/officeDocument/2006/relationships/hyperlink" Target="https://www.sec.gov/Archives/edgar/data/1539029/000119312516621364/d196989dex47.htm" TargetMode="External"/><Relationship Id="rId346" Type="http://schemas.openxmlformats.org/officeDocument/2006/relationships/hyperlink" Target="https://www.sec.gov/Archives/edgar/data/1539029/000119312516510413/d742552dex107.htm" TargetMode="External"/><Relationship Id="rId347" Type="http://schemas.openxmlformats.org/officeDocument/2006/relationships/hyperlink" Target="https://www.sec.gov/Archives/edgar/data/1539029/000119312516510413/d742552dex108.htm" TargetMode="External"/><Relationship Id="rId350" Type="http://schemas.openxmlformats.org/officeDocument/2006/relationships/hyperlink" Target="https://www.sec.gov/Archives/edgar/data/1539029/000119312516424684/d742552dex109.htm" TargetMode="External"/><Relationship Id="rId351" Type="http://schemas.openxmlformats.org/officeDocument/2006/relationships/hyperlink" Target="https://www.sec.gov/Archives/edgar/data/1539029/000119312516510413/d742552dex1012.htm" TargetMode="External"/><Relationship Id="rId352" Type="http://schemas.openxmlformats.org/officeDocument/2006/relationships/hyperlink" Target="https://www.sec.gov/Archives/edgar/data/1539029/000119312516776461/d299560dex101.htm" TargetMode="External"/><Relationship Id="rId353" Type="http://schemas.openxmlformats.org/officeDocument/2006/relationships/hyperlink" Target="https://www.sec.gov/Archives/edgar/data/1539029/000156459017004643/clsd-ex1021_665.htm" TargetMode="External"/><Relationship Id="rId354" Type="http://schemas.openxmlformats.org/officeDocument/2006/relationships/hyperlink" Target="https://www.sec.gov/Archives/edgar/data/1539029/000119312517220267/d417455dex101.htm" TargetMode="External"/><Relationship Id="rId355" Type="http://schemas.openxmlformats.org/officeDocument/2006/relationships/hyperlink" Target="https://www.sec.gov/Archives/edgar/data/1539029/000156459017023267/clsd-ex102_69.htm" TargetMode="External"/><Relationship Id="rId356" Type="http://schemas.openxmlformats.org/officeDocument/2006/relationships/hyperlink" Target="https://www.sec.gov/Archives/edgar/data/1539029/000095017022017137/clsd-ex10_1.htm" TargetMode="External"/><Relationship Id="rId357" Type="http://schemas.openxmlformats.org/officeDocument/2006/relationships/hyperlink" Target="https://www.sec.gov/Archives/edgar/data/1539029/000156459018020519/clsd-ex101_147.htm" TargetMode="External"/><Relationship Id="rId358" Type="http://schemas.openxmlformats.org/officeDocument/2006/relationships/hyperlink" Target="https://www.sec.gov/Archives/edgar/data/1539029/000156459018020519/clsd-ex102_146.htm" TargetMode="External"/><Relationship Id="rId359" Type="http://schemas.openxmlformats.org/officeDocument/2006/relationships/hyperlink" Target="https://www.sec.gov/Archives/edgar/data/1539029/000156459019030795/clsd-ex101_131.htm" TargetMode="External"/><Relationship Id="rId360" Type="http://schemas.openxmlformats.org/officeDocument/2006/relationships/hyperlink" Target="https://www.sec.gov/Archives/edgar/data/1539029/000156459020010810/clsd-ex1026_501.htm" TargetMode="External"/><Relationship Id="rId361" Type="http://schemas.openxmlformats.org/officeDocument/2006/relationships/hyperlink" Target="https://www.sec.gov/Archives/edgar/data/1539029/000156459020038893/clsd-ex101_237.htm" TargetMode="External"/><Relationship Id="rId362" Type="http://schemas.openxmlformats.org/officeDocument/2006/relationships/hyperlink" Target="https://www.sec.gov/Archives/edgar/data/1539029/000156459019011832/clsd-ex101_6.htm" TargetMode="External"/><Relationship Id="rId363" Type="http://schemas.openxmlformats.org/officeDocument/2006/relationships/hyperlink" Target="https://www.sec.gov/Archives/edgar/data/1539029/000156459019030795/clsd-ex103_296.htm" TargetMode="External"/><Relationship Id="rId364" Type="http://schemas.openxmlformats.org/officeDocument/2006/relationships/hyperlink" Target="https://www.sec.gov/Archives/edgar/data/1539029/000156459020010810/clsd-ex1030_500.htm" TargetMode="External"/><Relationship Id="rId365" Type="http://schemas.openxmlformats.org/officeDocument/2006/relationships/hyperlink" Target="https://www.sec.gov/Archives/edgar/data/1539029/000156459020023620/clsd-ex102_178.htm" TargetMode="External"/><Relationship Id="rId366" Type="http://schemas.openxmlformats.org/officeDocument/2006/relationships/hyperlink" Target="https://www.sec.gov/Archives/edgar/data/1539029/000156459020038893/clsd-ex102_238.htm" TargetMode="External"/><Relationship Id="rId367" Type="http://schemas.openxmlformats.org/officeDocument/2006/relationships/hyperlink" Target="https://www.sec.gov/Archives/edgar/data/1539029/000095017021004115/clsd-ex10_1.htm" TargetMode="External"/><Relationship Id="rId371" Type="http://schemas.openxmlformats.org/officeDocument/2006/relationships/hyperlink" Target="https://www.sec.gov/Archives/edgar/data/1539029/000095017021004115/clsd-ex10_2.htm" TargetMode="External"/><Relationship Id="rId372" Type="http://schemas.openxmlformats.org/officeDocument/2006/relationships/hyperlink" Target="https://www.sec.gov/Archives/edgar/data/1539029/000095017021004115/clsd-ex10_3.htm" TargetMode="External"/><Relationship Id="rId373" Type="http://schemas.openxmlformats.org/officeDocument/2006/relationships/hyperlink" Target="https://www.sec.gov/Archives/edgar/data/1539029/000095017022023525/clsd-ex10_1.htm" TargetMode="External"/><Relationship Id="rId374" Type="http://schemas.openxmlformats.org/officeDocument/2006/relationships/hyperlink" Target="https://www.sec.gov/Archives/edgar/data/1539029/000095017023003293/clsd-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2023-03-14T08:28:10Z</dcterms:created>
  <dcterms:modified xsi:type="dcterms:W3CDTF">2023-03-14T08:28:10Z</dcterms:modified>
</cp:coreProperties>
</file>