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8"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2017</w:t>
      </w:r>
    </w:p>
    <w:p>
      <w:pPr>
        <w:spacing w:after="0" w:line="86"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spacing w:after="0" w:line="9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44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7" w:lineRule="exact"/>
        <w:rPr>
          <w:sz w:val="24"/>
          <w:szCs w:val="24"/>
          <w:color w:val="auto"/>
        </w:rPr>
      </w:pPr>
    </w:p>
    <w:tbl>
      <w:tblPr>
        <w:tblLayout w:type="fixed"/>
        <w:tblInd w:w="1620" w:type="dxa"/>
        <w:tblCellMar>
          <w:top w:w="0" w:type="dxa"/>
          <w:left w:w="0" w:type="dxa"/>
          <w:bottom w:w="0" w:type="dxa"/>
          <w:right w:w="0" w:type="dxa"/>
        </w:tblCellMar>
      </w:tblPr>
      <w:tr>
        <w:trPr>
          <w:trHeight w:val="392"/>
        </w:trPr>
        <w:tc>
          <w:tcPr>
            <w:tcW w:w="6180" w:type="dxa"/>
            <w:vAlign w:val="bottom"/>
            <w:gridSpan w:val="3"/>
          </w:tcPr>
          <w:p>
            <w:pPr>
              <w:jc w:val="center"/>
              <w:ind w:left="1932"/>
              <w:spacing w:after="0"/>
              <w:rPr>
                <w:sz w:val="20"/>
                <w:szCs w:val="20"/>
                <w:color w:val="auto"/>
              </w:rPr>
            </w:pPr>
            <w:r>
              <w:rPr>
                <w:rFonts w:ascii="Arial" w:cs="Arial" w:eastAsia="Arial" w:hAnsi="Arial"/>
                <w:sz w:val="32"/>
                <w:szCs w:val="32"/>
                <w:b w:val="1"/>
                <w:bCs w:val="1"/>
                <w:color w:val="auto"/>
                <w:w w:val="91"/>
              </w:rPr>
              <w:t>Clearside Biomedical, Inc.</w:t>
            </w:r>
          </w:p>
        </w:tc>
        <w:tc>
          <w:tcPr>
            <w:tcW w:w="1340" w:type="dxa"/>
            <w:vAlign w:val="bottom"/>
          </w:tcPr>
          <w:p>
            <w:pPr>
              <w:spacing w:after="0"/>
              <w:rPr>
                <w:sz w:val="24"/>
                <w:szCs w:val="24"/>
                <w:color w:val="auto"/>
              </w:rPr>
            </w:pPr>
          </w:p>
        </w:tc>
      </w:tr>
      <w:tr>
        <w:trPr>
          <w:trHeight w:val="210"/>
        </w:trPr>
        <w:tc>
          <w:tcPr>
            <w:tcW w:w="6180" w:type="dxa"/>
            <w:vAlign w:val="bottom"/>
            <w:gridSpan w:val="3"/>
          </w:tcPr>
          <w:p>
            <w:pPr>
              <w:jc w:val="center"/>
              <w:ind w:left="1932"/>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340" w:type="dxa"/>
            <w:vAlign w:val="bottom"/>
          </w:tcPr>
          <w:p>
            <w:pPr>
              <w:spacing w:after="0"/>
              <w:rPr>
                <w:sz w:val="18"/>
                <w:szCs w:val="18"/>
                <w:color w:val="auto"/>
              </w:rPr>
            </w:pPr>
          </w:p>
        </w:tc>
      </w:tr>
      <w:tr>
        <w:trPr>
          <w:trHeight w:val="114"/>
        </w:trPr>
        <w:tc>
          <w:tcPr>
            <w:tcW w:w="296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95"/>
        </w:trPr>
        <w:tc>
          <w:tcPr>
            <w:tcW w:w="6180" w:type="dxa"/>
            <w:vAlign w:val="bottom"/>
            <w:gridSpan w:val="3"/>
          </w:tcPr>
          <w:p>
            <w:pPr>
              <w:jc w:val="center"/>
              <w:ind w:right="3680"/>
              <w:spacing w:after="0"/>
              <w:rPr>
                <w:sz w:val="20"/>
                <w:szCs w:val="20"/>
                <w:color w:val="auto"/>
              </w:rPr>
            </w:pPr>
            <w:r>
              <w:rPr>
                <w:rFonts w:ascii="Arial" w:cs="Arial" w:eastAsia="Arial" w:hAnsi="Arial"/>
                <w:sz w:val="16"/>
                <w:szCs w:val="16"/>
                <w:b w:val="1"/>
                <w:bCs w:val="1"/>
                <w:color w:val="auto"/>
                <w:w w:val="93"/>
              </w:rPr>
              <w:t>Delaware</w:t>
            </w:r>
          </w:p>
        </w:tc>
        <w:tc>
          <w:tcPr>
            <w:tcW w:w="1340" w:type="dxa"/>
            <w:vAlign w:val="bottom"/>
          </w:tcPr>
          <w:p>
            <w:pPr>
              <w:jc w:val="right"/>
              <w:ind w:right="104"/>
              <w:spacing w:after="0"/>
              <w:rPr>
                <w:sz w:val="20"/>
                <w:szCs w:val="20"/>
                <w:color w:val="auto"/>
              </w:rPr>
            </w:pPr>
            <w:r>
              <w:rPr>
                <w:rFonts w:ascii="Arial" w:cs="Arial" w:eastAsia="Arial" w:hAnsi="Arial"/>
                <w:sz w:val="16"/>
                <w:szCs w:val="16"/>
                <w:b w:val="1"/>
                <w:bCs w:val="1"/>
                <w:color w:val="auto"/>
              </w:rPr>
              <w:t>45-2437375</w:t>
            </w:r>
          </w:p>
        </w:tc>
      </w:tr>
      <w:tr>
        <w:trPr>
          <w:trHeight w:val="149"/>
        </w:trPr>
        <w:tc>
          <w:tcPr>
            <w:tcW w:w="618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4"/>
              <w:spacing w:after="0"/>
              <w:rPr>
                <w:sz w:val="20"/>
                <w:szCs w:val="20"/>
                <w:color w:val="auto"/>
              </w:rPr>
            </w:pPr>
            <w:r>
              <w:rPr>
                <w:rFonts w:ascii="Arial" w:cs="Arial" w:eastAsia="Arial" w:hAnsi="Arial"/>
                <w:sz w:val="14"/>
                <w:szCs w:val="14"/>
                <w:b w:val="1"/>
                <w:bCs w:val="1"/>
                <w:color w:val="auto"/>
                <w:w w:val="96"/>
              </w:rPr>
              <w:t>Identification No.)</w:t>
            </w:r>
          </w:p>
        </w:tc>
      </w:tr>
      <w:tr>
        <w:trPr>
          <w:trHeight w:val="295"/>
        </w:trPr>
        <w:tc>
          <w:tcPr>
            <w:tcW w:w="61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2"/>
              </w:rPr>
              <w:t>900 North Point Parkway, Suite 200</w:t>
            </w:r>
          </w:p>
        </w:tc>
        <w:tc>
          <w:tcPr>
            <w:tcW w:w="1340" w:type="dxa"/>
            <w:vAlign w:val="bottom"/>
          </w:tcPr>
          <w:p>
            <w:pPr>
              <w:spacing w:after="0"/>
              <w:rPr>
                <w:sz w:val="24"/>
                <w:szCs w:val="24"/>
                <w:color w:val="auto"/>
              </w:rPr>
            </w:pPr>
          </w:p>
        </w:tc>
      </w:tr>
      <w:tr>
        <w:trPr>
          <w:trHeight w:val="194"/>
        </w:trPr>
        <w:tc>
          <w:tcPr>
            <w:tcW w:w="61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6"/>
              </w:rPr>
              <w:t>Alpharetta, GA</w:t>
            </w:r>
          </w:p>
        </w:tc>
        <w:tc>
          <w:tcPr>
            <w:tcW w:w="1340" w:type="dxa"/>
            <w:vAlign w:val="bottom"/>
          </w:tcPr>
          <w:p>
            <w:pPr>
              <w:jc w:val="right"/>
              <w:ind w:right="284"/>
              <w:spacing w:after="0"/>
              <w:rPr>
                <w:sz w:val="20"/>
                <w:szCs w:val="20"/>
                <w:color w:val="auto"/>
              </w:rPr>
            </w:pPr>
            <w:r>
              <w:rPr>
                <w:rFonts w:ascii="Arial" w:cs="Arial" w:eastAsia="Arial" w:hAnsi="Arial"/>
                <w:sz w:val="16"/>
                <w:szCs w:val="16"/>
                <w:b w:val="1"/>
                <w:bCs w:val="1"/>
                <w:color w:val="auto"/>
              </w:rPr>
              <w:t>30005</w:t>
            </w:r>
          </w:p>
        </w:tc>
      </w:tr>
      <w:tr>
        <w:trPr>
          <w:trHeight w:val="186"/>
        </w:trPr>
        <w:tc>
          <w:tcPr>
            <w:tcW w:w="618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4"/>
              <w:spacing w:after="0"/>
              <w:rPr>
                <w:sz w:val="20"/>
                <w:szCs w:val="20"/>
                <w:color w:val="auto"/>
              </w:rPr>
            </w:pPr>
            <w:r>
              <w:rPr>
                <w:rFonts w:ascii="Arial" w:cs="Arial" w:eastAsia="Arial" w:hAnsi="Arial"/>
                <w:sz w:val="14"/>
                <w:szCs w:val="14"/>
                <w:b w:val="1"/>
                <w:bCs w:val="1"/>
                <w:color w:val="auto"/>
                <w:w w:val="95"/>
              </w:rPr>
              <w:t>(Zip Code)</w:t>
            </w:r>
          </w:p>
        </w:tc>
      </w:tr>
    </w:tbl>
    <w:p>
      <w:pPr>
        <w:spacing w:after="0" w:line="233"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Title of Each Class</w:t>
            </w:r>
          </w:p>
        </w:tc>
        <w:tc>
          <w:tcPr>
            <w:tcW w:w="6060" w:type="dxa"/>
            <w:vAlign w:val="bottom"/>
          </w:tcPr>
          <w:p>
            <w:pPr>
              <w:ind w:left="6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6060" w:type="dxa"/>
            <w:vAlign w:val="bottom"/>
          </w:tcPr>
          <w:p>
            <w:pPr>
              <w:jc w:val="center"/>
              <w:ind w:left="3208"/>
              <w:spacing w:after="0" w:line="153" w:lineRule="exact"/>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6060" w:type="dxa"/>
            <w:vAlign w:val="bottom"/>
          </w:tcPr>
          <w:p>
            <w:pPr>
              <w:jc w:val="center"/>
              <w:ind w:left="3208"/>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ind w:left="520" w:right="2220"/>
        <w:spacing w:after="0" w:line="26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3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60" w:firstLine="518"/>
        <w:spacing w:after="0" w:line="210" w:lineRule="exact"/>
        <w:rPr>
          <w:sz w:val="20"/>
          <w:szCs w:val="20"/>
          <w:color w:val="auto"/>
        </w:rPr>
      </w:pPr>
      <w:r>
        <w:rPr>
          <w:rFonts w:ascii="Arial" w:cs="Arial" w:eastAsia="Arial" w:hAnsi="Arial"/>
          <w:sz w:val="16"/>
          <w:szCs w:val="16"/>
          <w:color w:val="211D1E"/>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000000"/>
        </w:rPr>
        <w:t>☐</w:t>
      </w:r>
    </w:p>
    <w:p>
      <w:pPr>
        <w:spacing w:after="0" w:line="47"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2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502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460" w:type="dxa"/>
            <w:vAlign w:val="bottom"/>
          </w:tcPr>
          <w:p>
            <w:pPr>
              <w:ind w:left="1300"/>
              <w:spacing w:after="0"/>
              <w:rPr>
                <w:sz w:val="20"/>
                <w:szCs w:val="20"/>
                <w:color w:val="auto"/>
              </w:rPr>
            </w:pPr>
            <w:r>
              <w:rPr>
                <w:rFonts w:ascii="Arial" w:cs="Arial" w:eastAsia="Arial" w:hAnsi="Arial"/>
                <w:sz w:val="16"/>
                <w:szCs w:val="16"/>
                <w:color w:val="auto"/>
              </w:rPr>
              <w:t>Small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46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7"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40" w:firstLine="518"/>
        <w:spacing w:after="0" w:line="352" w:lineRule="auto"/>
        <w:rPr>
          <w:sz w:val="20"/>
          <w:szCs w:val="20"/>
          <w:color w:val="auto"/>
        </w:rPr>
      </w:pPr>
      <w:r>
        <w:rPr>
          <w:rFonts w:ascii="Arial" w:cs="Arial" w:eastAsia="Arial" w:hAnsi="Arial"/>
          <w:sz w:val="14"/>
          <w:szCs w:val="14"/>
          <w:color w:val="auto"/>
        </w:rPr>
        <w:t>The aggregate market value of Clearside Biomedical, Inc. voting and non-voting common equity held by non-affiliates as of June 30, 2017 (the last business day of the registrant's most recently completed second fiscal quarter) based on the closing sale price of $9.11 as reported on the Nasdaq Global Market on that date was $153,311,000.</w:t>
      </w:r>
    </w:p>
    <w:p>
      <w:pPr>
        <w:ind w:left="520"/>
        <w:spacing w:after="0"/>
        <w:rPr>
          <w:sz w:val="20"/>
          <w:szCs w:val="20"/>
          <w:color w:val="auto"/>
        </w:rPr>
      </w:pPr>
      <w:r>
        <w:rPr>
          <w:rFonts w:ascii="Arial" w:cs="Arial" w:eastAsia="Arial" w:hAnsi="Arial"/>
          <w:sz w:val="16"/>
          <w:szCs w:val="16"/>
          <w:color w:val="auto"/>
        </w:rPr>
        <w:t>As of March 12, 2018, the registrant had 31,913,113 shares of common stock, $0.001 par value per share, outstanding.</w:t>
      </w:r>
    </w:p>
    <w:p>
      <w:pPr>
        <w:spacing w:after="0" w:line="82"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80" w:firstLine="518"/>
        <w:spacing w:after="0" w:line="293" w:lineRule="auto"/>
        <w:rPr>
          <w:sz w:val="20"/>
          <w:szCs w:val="20"/>
          <w:color w:val="auto"/>
        </w:rPr>
      </w:pPr>
      <w:r>
        <w:rPr>
          <w:rFonts w:ascii="Arial" w:cs="Arial" w:eastAsia="Arial" w:hAnsi="Arial"/>
          <w:sz w:val="16"/>
          <w:szCs w:val="16"/>
          <w:color w:val="auto"/>
        </w:rPr>
        <w:t>Portions of the Company’s definitive proxy statement, to be filed pursuant to Regulation 14A under the Securities Exchange Act of 1934, for its 2018 Annual Meeting of Stockholders are incorporated by reference in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120015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0"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75"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planned regulatory filings;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CLS-TA, if approved, would be the first drug specifically indicated for macular edema associated with non-infectious uveitis;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clinical utility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drug candidates with significant commercial potential that are compatible with suprachoroidal injection and which are consistent with our commercial objectives;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225" w:lineRule="exact"/>
        <w:rPr>
          <w:sz w:val="20"/>
          <w:szCs w:val="20"/>
          <w:color w:val="auto"/>
        </w:rPr>
      </w:pPr>
    </w:p>
    <w:p>
      <w:pPr>
        <w:ind w:right="140" w:firstLine="518"/>
        <w:spacing w:after="0" w:line="217" w:lineRule="exact"/>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As a result of these factors, we cannot assure you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will prove to be accurate. Furthermore, if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prove to be inaccurate, the inaccuracy may be material. In light of the significant uncertainties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11"/>
            <w:vMerge w:val="restart"/>
          </w:tcPr>
          <w:p>
            <w:pPr>
              <w:jc w:val="center"/>
              <w:ind w:right="47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11"/>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8"/>
                <w:szCs w:val="18"/>
                <w:color w:val="auto"/>
              </w:rPr>
            </w:pPr>
          </w:p>
        </w:tc>
        <w:tc>
          <w:tcPr>
            <w:tcW w:w="474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914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Unresolved Staff Comments</w:t>
              </w:r>
            </w:hyperlink>
          </w:p>
        </w:tc>
        <w:tc>
          <w:tcPr>
            <w:tcW w:w="800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Properties</w:t>
              </w:r>
            </w:hyperlink>
          </w:p>
        </w:tc>
        <w:tc>
          <w:tcPr>
            <w:tcW w:w="932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06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w:t>
              </w:r>
            </w:hyperlink>
          </w:p>
        </w:tc>
        <w:tc>
          <w:tcPr>
            <w:tcW w:w="470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1"/>
          </w:tcPr>
          <w:p>
            <w:pPr>
              <w:spacing w:after="0"/>
              <w:rPr>
                <w:sz w:val="17"/>
                <w:szCs w:val="17"/>
                <w:color w:val="auto"/>
              </w:rPr>
            </w:pPr>
          </w:p>
        </w:tc>
        <w:tc>
          <w:tcPr>
            <w:tcW w:w="19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06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70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10060" w:type="dxa"/>
            <w:vAlign w:val="bottom"/>
            <w:gridSpan w:val="2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8"/>
          </w:tcPr>
          <w:p>
            <w:pPr>
              <w:spacing w:after="0"/>
              <w:rPr>
                <w:sz w:val="17"/>
                <w:szCs w:val="17"/>
                <w:color w:val="auto"/>
              </w:rPr>
            </w:pPr>
          </w:p>
        </w:tc>
        <w:tc>
          <w:tcPr>
            <w:tcW w:w="35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060" w:type="dxa"/>
            <w:vAlign w:val="bottom"/>
            <w:gridSpan w:val="2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III</w:t>
              </w:r>
            </w:hyperlink>
          </w:p>
        </w:tc>
        <w:tc>
          <w:tcPr>
            <w:tcW w:w="466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100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Security Ownership of Certain Beneficial Owners and Management and Related Stockholder Matters</w:t>
              </w:r>
            </w:hyperlink>
          </w:p>
        </w:tc>
        <w:tc>
          <w:tcPr>
            <w:tcW w:w="27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Certain Relationships and Related Transactions, and Director Independence</w:t>
              </w:r>
            </w:hyperlink>
          </w:p>
        </w:tc>
        <w:tc>
          <w:tcPr>
            <w:tcW w:w="46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100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13"/>
          </w:tcPr>
          <w:p>
            <w:pPr>
              <w:jc w:val="center"/>
              <w:ind w:right="4660"/>
              <w:spacing w:after="0"/>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PART IV</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680" w:type="dxa"/>
            <w:vAlign w:val="bottom"/>
            <w:gridSpan w:val="1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468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Form 10-K Summary</w:t>
              </w:r>
            </w:hyperlink>
          </w:p>
        </w:tc>
        <w:tc>
          <w:tcPr>
            <w:tcW w:w="690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 late-stage clinical biopharmaceutical company developing first-in-class pharmacological therapies to treat blinding diseases of the eye. Our current product candidates focus on diseases affecting the retina, which is the tissue that lines the inside of the eye and is primarily responsible for vision, and the choroid, which is the layer adjacent to the retina that supplies the retina with blood, oxygen and nourishment. With our proprietary microinjector, drugs are injected into and spread through the suprachoroidal space, or SCS, which is the space located between the choroid and the outer protective layer of the eye known as the sclera. With the suprachoroidal injection, our product candidates are more directly administered to the retina and choroid as compared to other ocular drug administration techniques such as injections of drug into the vitreous, a jelly-like substance that occupies the central portion of the eye. Intravitreal injections rely on diffusion of drug outward from the vitreous to the retina and choroid. This diffusion can result in lower concentrations of drug in these targeted areas. At the same time, this diffusion can also result in drug spreading to unintended parts of the eye, where, for some drugs, it can cause significant side effects. We believe treatment of eye disease via suprachoroidal injection of product candidates may provide a number of benefits, including lower frequency of administration and faster onset of therapeutic effect. We hold the exclusive rights to develop and commercialize pharmacological agents for treatment of eye diseases via suprachoroidal injection. We estimate that there are nearly five million people in the United States diagnosed with our target therapeutic indications and that worldwide annual sales of drugs to treat these indications were over $7 billion in 2015.</w:t>
      </w:r>
    </w:p>
    <w:p>
      <w:pPr>
        <w:spacing w:after="0" w:line="16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most advanced product candidates are based on commonly used ophthalmic drugs, which we believe will allow us to more efficiently and predictably pursue the regulatory approval of these product candidates under Section 505(b)(2) of the U.S. Federal Food, Drug, and Cosmetic Act. Under Section 505(b)(2), if we can establish that reliance on the Food and Drug Administration’s, or FDA’s, previous findings of safety and effectiveness for an approved product is scientifically appropriate, or there is scientific literature to support the product’s safety or effectiveness, or both, it may eliminate the need for us to conduct some of the preclinical studies or clinical trials for a new product candidate that might otherwise have been required.</w:t>
      </w:r>
    </w:p>
    <w:p>
      <w:pPr>
        <w:spacing w:after="0" w:line="158"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Our current and planned development programs aim to restore or improve visual function primarily by reducing the macular edema associated with a number of diseases affecting vision. Macular edema is the build-up of fluid that can cause abnormal swelling of the macula, the portion of the retina responsible for central vision and color perception. This swelling can rapidly result in deterioration of vision and can eventually lead to blindness. We are developing suprachoroidal CLS-TA, a proprietary, preservative-free formulation of the corticosteroid triamcinolone acetonide, or TA, specifically designed to be administered suprachoroidally using our SCS Microinjector for the treatment of macular edema associated with non-infectious uveitis, a condition characterized by inflammation of the choroid and surrounding tissues not caused by an infectious agent. We estimate that non-infectious uveitis affects over 350,000 patients in the United States, approximately one third of whom develop macular edema. The most common treatment for uveitic macular edema involves the use of corticosteroids, such as TA, or other immunosuppressive agents that are administered either systemically or locally.</w:t>
      </w:r>
    </w:p>
    <w:p>
      <w:pPr>
        <w:spacing w:after="0" w:line="166"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On March 5, 2018, we announced positive topline results from our PEACHTREE Phase 3 clinical trial of CLS-TA for the treatment of macular edema associated with non-infectious uveitis. We enrolled 160 patients in the trial, of which 96 patients were randomized to the treatment arm to receive two 4.0 mg doses of suprachoroidal CLS-TA 12 weeks apart, and 64 patients were randomized to undergo a sham procedure at the same 12-week intervals. Patients were evaluated every four weeks for a total of 24 weeks, and a total of 155 patients, or 97% of those enrolled, completed the full evaluation period of the trial. The trial met the primary endpoint with 47% of patients who received suprachoroidal CLS-TA every 12 weeks gaining at least 15 letters in best corrected visual acuity, or BCVA, as measured using the Early Treatment of Diabetic Retinopathy Study, or ETDRS, scale, from baseline at week 24, compared to 16% of patients who underwent a sham procedure. This improvement was statistically significant, with a p-value of less than 0.001. P-value is a conventional statistical method for measuring the statistical significance of clinical results. A p-value of 0.05 or less represents statistical significance, meaning that there is a less than 1-in-20 likelihood that the observed results occurred by chance. The improvements in BCVA from baseline were better in the treatment arm than the sham arm at each monthly evaluation. The mean improvement from baseline was maintained throughout the evaluation period, with 9.6 letters gained at week 4 and 13.7 letters gained at week 24 in the active arm, compared to 1.2 letters gained at week 4 and 2.9 letters gained at week 24 in the control arm.</w:t>
      </w:r>
    </w:p>
    <w:p>
      <w:pPr>
        <w:spacing w:after="0" w:line="173"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Administration of suprachoroidal CLS-TA also resulted in a mean reduction from baseline of 157 microns in central subfield thickness at week 24 in the active arm compared to a 19 micron mean reduction in the sham arm, a result that was also statistically significant with a p-value of less than 0.001.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firstLine="518"/>
        <w:spacing w:after="0" w:line="264" w:lineRule="auto"/>
        <w:rPr>
          <w:sz w:val="20"/>
          <w:szCs w:val="20"/>
          <w:color w:val="auto"/>
        </w:rPr>
      </w:pPr>
      <w:r>
        <w:rPr>
          <w:rFonts w:ascii="Arial" w:cs="Arial" w:eastAsia="Arial" w:hAnsi="Arial"/>
          <w:sz w:val="18"/>
          <w:szCs w:val="18"/>
          <w:color w:val="auto"/>
        </w:rPr>
        <w:t>Suprachoroidal CLS-TA was generally well tolerated, with no treatment-related serious adverse events reported in the trial. Through 24 weeks, steroid-related elevated intraocular pressure, or IOP, adverse events were reported for approximately 11.5% of patients in the CLS-TA treatment group, compared to no patients in the sham group.</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Based in part on the results from PEACHTREE, we intend to submit a New Drug Application, or NDA, for CLS-TA for the treatment of patients with non-infectious uveitis by the end of 2018.</w:t>
      </w:r>
    </w:p>
    <w:p>
      <w:pPr>
        <w:spacing w:after="0" w:line="170"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In the first quarter of 2016, we received data from a Phase 2 clinical trial in 22 patients with macular edema associated with non-infectious uveitis. Patients in this trial achieved a statistically significant (p=0.0017) mean change from baseline in retinal thickness at eight weeks, which was the primary endpoint of the trial, as well as statistically significant (p=0.0004) mean improvement from baseline in BCVA at eight weeks, a secondary endpoint. At four and eight weeks, the average reductions in retinal thickness were 135 and 164 microns, respectively, from a mean baseline of 526 microns, and the average improvements in BCVA were 7.7 and 9.2 letters, respectively, from a mean baseline of 60 letters. In our previously completed Phase 1/2 clinical trial, we observed a range of improvements in BCVA of between one and five lines on a standard eye chart, with each line of improvement corresponding to five ETDRS letters. At the end of week 12, the average improvement in BCVA exceeded two lines, which is considered meaningful in standard clinical practice. At the end of week 26, four of the eight patients in the trial had still not required additional treatment. For those four patients, the average improvement in BCVA was nearly three lines at week 26.</w:t>
      </w:r>
    </w:p>
    <w:p>
      <w:pPr>
        <w:spacing w:after="0" w:line="18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are also developing CLS-TA along with an anti-vascular endothelial growth factor, or anti-VEGF, agent for the treatment of macular edema associated with retinal vein occlusion, or RVO, a sight-threatening disorder resulting from the blockage of a retinal vein, that we estimate affects 2.2 million patients in the United States. We are exploring whether suprachoroidal CLS-TA together with an anti-VEGF agent can provide improved visual acuity, reduced macular edema and reduced injection frequency as compared to administration of an intravitreal anti-VEGF agent alone. Corticosteroids and anti-VEGF agents each have known advantages in treating RVO.</w:t>
      </w:r>
    </w:p>
    <w:p>
      <w:pPr>
        <w:spacing w:after="0" w:line="18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We have completed a Phase 2 clinical trial, known as TANZANITE, in 46 patients with macular edema associated with RVO. In this trial, 23 patients in the active arm initially received suprachoroidal CLS-TA together with an intravitreal injection of the anti-VEGF agent Eylea, or intravitreal Eylea, and 23 patients in the control arm initially received only intravitreal Eylea. The objective of the trial was to determine whether patients receiving suprachoroidal CLS-TA together with intravitreal Eylea could sustain improvements in visual acuity and reductions in macular edema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 required additional intravitreal Eylea treatments. The primary endpoint of the trial was met, with patients in the active arm requiring an aggregate of 60% fewer additional Eylea treatments than patients in the control arm over three months, a result that was statistically significant (p=0.013). In addition, based on a post-hoc analysis, 18 of the 23 patients, or 78%, in the active arm of the trial did not require additional treatments during the three-month trial compared to 7 of the 23 patients, or 30%, in the control arm, a result that was also statistically significant (p=0.003). In the same Phase 2 trial, patients in the active arm experienced greater improvement in visual acuity than those in the control arm, with patients in the active arm experiencing mean BCVA improvements at months one, two and three of 16, 20 and 19 letters, respectively, compared to improvements of 11, 12 and 11 letters, respectively, in the control arm at the same time points. We also extended our evaluation of the patients who participated in the trial and did not receive any additional Eylea treatment during the initial three-month evaluation period to further assess the durability of suprachoroidal CLS-TA in combination with intravitreal Eylea for an additional six months following completion of the trial. Of the 32 eligible patients, the medical records of 31 patients were obtained for review. Based on combined data from the initial and extended evaluation periods, 17 of the 23 patients in the combination arm, or 74%, did not receive any additional treatment over the nine-month period, compared to only 4 of 23 patients, or 17%, in the control arm.</w:t>
      </w:r>
    </w:p>
    <w:p>
      <w:pPr>
        <w:spacing w:after="0" w:line="175"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Based on the results of TANZANITE and after incorporating feedback from an end-of-Phase 2 meeting with the FDA held in late 2016, we began to enroll patients in a Phase 3 clinical trial, which we refer to as SAPPHIRE, in the first quarter of 2017. We are continuing to enroll patients in SAPPHIRE, a multicenter, randomized, masked, controlled Phase 3 trial, to assess the efficacy and safety of suprachoroidal CLS-TA together with intravitreal Eylea in patients with RVO. Patients in the combination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intravitreal Eylea alone every four weeks through and including week 24. After 24 weeks, patients will be followed for approximately an additional six months with 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There will be several secondary efficacy and safety endpoints that will also be evaluated. We anticipate total enrollment of approximately 460 patients in the trial. We expect to report preliminary results from SAPPHIRE in the fourth quarter of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firstLine="518"/>
        <w:spacing w:after="0" w:line="288" w:lineRule="auto"/>
        <w:rPr>
          <w:sz w:val="20"/>
          <w:szCs w:val="20"/>
          <w:color w:val="auto"/>
        </w:rPr>
      </w:pPr>
      <w:r>
        <w:rPr>
          <w:rFonts w:ascii="Arial" w:cs="Arial" w:eastAsia="Arial" w:hAnsi="Arial"/>
          <w:sz w:val="16"/>
          <w:szCs w:val="16"/>
          <w:color w:val="auto"/>
        </w:rPr>
        <w:t>In addition, in the third quarter of 2017, we began the start-up activities for a second Phase 3 clinical trial in patients with RVO, which we refer to as TOPAZ. We enrolled the first patient in TOPAZ in March 2018. Similar to the SAPPHIRE trial, TOPAZ is a multicenter, randomized, masked, controlled Phase 3 trial, to assess the efficacy and safety of suprachoroidal CLS-TA together with an intravitreal anti-VEGF agent (either Lucentis or Avastin) in patients with RVO. Patients in the combination treatment arm will receive suprachoroidal CLS-TA together with an intravitreal anti-VEGF agent at the beginning of the trial, intravitreal anti-VEGF agent alone at week 4, and suprachoroidal CLS-TA together with intravitreal anti-VEGF agent at weeks 12 and 24. Patients in the control arm will receive intravitreal anti-VEGF agent alone at the beginning of the trial and follow-up intravitreal anti-VEGF agent alone every four weeks through and including week 24. After 24 weeks, patients will be followed for approximately an additional six months with 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Several secondary efficacy and safety endpoints will also be evaluated. We anticipate total enrollment of approximately 460 patients in the trial.</w:t>
      </w:r>
    </w:p>
    <w:p>
      <w:pPr>
        <w:spacing w:after="0" w:line="169"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We are also developing suprachoroidal CLS-TA for the treatment of diabetic macular edema, or DME. In April 2017, we completed enrollment of 20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In November 2017, we announced preliminary results from the HULK trial. In the trial, we observed a visual benefit for patients receiving CLS-TA, with a greater benefit in treatment naïve eyes. Anatomic improvement was observed in all treated eyes, with more than two-thirds of those eyes achieving a greater than 50% reduction in excess central retinal thickness based on monthly measurements through six months after initial treatment. In the treatment naïve group, 40% of patients did not require retreatment over the entire six months, with an additional 20% requiring only one retreatment. Suprachoroidal CLS-TA, including in patients who received as many as five injections, was well tolerated, with a low incidence of ocular side effects, including IOP elevations.</w:t>
      </w:r>
    </w:p>
    <w:p>
      <w:pPr>
        <w:spacing w:after="0" w:line="19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July 2017, we commenced a Phase 2 clinical trial, which we refer to as TYBEE, to evaluate the safety and efficacy of administering a combination of intravitreal Eylea and suprachoroidal CLS-TA to patients with DME, as compared to intravitreal Eylea alone. We completed enrollment of 71 patients in this trial in October 2017. Patient follow-up in TYBEE is six months after initial treatment and we expect to report preliminary data in the second quarter of 2018.</w:t>
      </w:r>
    </w:p>
    <w:p>
      <w:pPr>
        <w:spacing w:after="0" w:line="18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Finally, multiple nonclinical studies, both internally and with multiple collaborators, are underway in development areas such as gene therapy for inherited retinal disorders, neovascular age-related macular degeneration, also known as wet AMD, and other ocular diseases that may benefit from suprachoroidal administration of medication.</w:t>
      </w:r>
    </w:p>
    <w:p>
      <w:pPr>
        <w:spacing w:after="0" w:line="18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We believe administration of pharmacological agents via suprachoroidal injection may provide improved levels of those agents to the targeted retina and choroid, with a medication like CLS-TA, a corticosteroid, remaining more localized and away from other parts of the eye, where it could cause side effects. Corticosteroids are effective both at treating the inflammatory aspect of ocular disease and at reducing macular edema, but when delivered locally either topically as drops, intravitreally or by periocular injection, they have been associated with significant side effects, such as cataract formation or exacerbation and elevated IOP, which can lead to glaucoma. Anti-VEGF drugs, while highly effective in reducing macular edema, require frequent administration, in most cases either monthly or every other month after an initial period of monthly treatments</w:t>
      </w:r>
      <w:r>
        <w:rPr>
          <w:rFonts w:ascii="Arial" w:cs="Arial" w:eastAsia="Arial" w:hAnsi="Arial"/>
          <w:sz w:val="15"/>
          <w:szCs w:val="15"/>
          <w:color w:val="auto"/>
        </w:rPr>
        <w:t>.</w:t>
      </w:r>
      <w:r>
        <w:rPr>
          <w:rFonts w:ascii="Arial" w:cs="Arial" w:eastAsia="Arial" w:hAnsi="Arial"/>
          <w:sz w:val="17"/>
          <w:szCs w:val="17"/>
          <w:color w:val="auto"/>
        </w:rPr>
        <w:t xml:space="preserve"> We believe that our differentiated approach of injecting ocular drugs into the SCS may result in fewer side effects and improved amounts of drug at the diseased retina and choroid, as compared to intravitreal administration, a faster onset of therapeutic effect, a similar efficacy profile with lower drug amounts required, and longer duration of therapeutic effect with less frequent required injections. The procedure for suprachoroidal injection is conducted in an in-office setting and is similar in terms of patient preparation and duration to the procedure for intravitreal injection, and we therefore expect our products, if they achieve regulatory approval, to be incorporated into uveitis and retina specialists’ standard medical practice.</w:t>
      </w:r>
    </w:p>
    <w:p>
      <w:pPr>
        <w:spacing w:after="0" w:line="183"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Our drug candidates, SCS Microinjector and method of drug administration into the SCS are protected by 12 issued U.S. patents and three allowed U.S. applications broadly directed to methods of administering drugs into the SCS by injection, including one design patent. In addition, our patent estate includes 17 patent applications pending in the United States, 18 issued foreign patents, eight pending international PCT applications and 37 patent applications pending in major international markets, including the European Union, Canada, India, Japan, China and Australia, relating to our SCS delivery technology, as well as the formulations of our current therapeutic drug candidates and delivery device. Our issued patents are not scheduled to expire until 2027, 2029, 2033 and 2034, respectively. Our patent applications relate to suprachoroidal injection technology and methods, our current therapeutic drug candidates and formulations, various therapeutic uses, including treatment of specific indications such as non-infectious uveitis and RVO, as well as DME and wet AMD, and administration of classes of drugs to the SCS, including anti-inflammatory drugs and anti-VEGF drugs. Our pending patent applications are not projected to expire until between 2027 and 2035. If any of our product candidates are approved, we plan to build a specialized team of 30 to 40 sales and medical marketing support professionals to target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the approximately 1,900 uveitis and retina specialists in the United States, and we may also pursue collaborations with third parties to commercialize any of our drugs approved for marketing outside the United States.</w:t>
      </w:r>
    </w:p>
    <w:p>
      <w:pPr>
        <w:spacing w:after="0" w:line="170"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have proprietary rights to a number of trademarks used in this Annual Report which are important to our business, including Clearside, SCS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Clearside approach</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are developing product candidates for the treatment of back of the eye diseases to be administered via suprachoroidal injection using our proprietary SCS Microinjector. We believe that our novel approach to treatment of eye diseases, through patented suprachoroidal drug administration, may provide a number of potential benefits, including:</w:t>
      </w:r>
    </w:p>
    <w:p>
      <w:pPr>
        <w:spacing w:after="0" w:line="73" w:lineRule="exact"/>
        <w:rPr>
          <w:sz w:val="20"/>
          <w:szCs w:val="20"/>
          <w:color w:val="auto"/>
        </w:rPr>
      </w:pPr>
    </w:p>
    <w:p>
      <w:pPr>
        <w:ind w:left="1040" w:right="60" w:hanging="519"/>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Improved bioavailability at the site of disease and faster onset of therapeutic effect. </w:t>
      </w:r>
      <w:r>
        <w:rPr>
          <w:rFonts w:ascii="Arial" w:cs="Arial" w:eastAsia="Arial" w:hAnsi="Arial"/>
          <w:sz w:val="17"/>
          <w:szCs w:val="17"/>
          <w:color w:val="auto"/>
        </w:rPr>
        <w:t>In preclinical studies, we observed higher amounts of drug</w:t>
      </w:r>
      <w:r>
        <w:rPr>
          <w:rFonts w:ascii="Arial" w:cs="Arial" w:eastAsia="Arial" w:hAnsi="Arial"/>
          <w:sz w:val="17"/>
          <w:szCs w:val="17"/>
          <w:i w:val="1"/>
          <w:iCs w:val="1"/>
          <w:color w:val="auto"/>
        </w:rPr>
        <w:t xml:space="preserve"> </w:t>
      </w:r>
      <w:r>
        <w:rPr>
          <w:rFonts w:ascii="Arial" w:cs="Arial" w:eastAsia="Arial" w:hAnsi="Arial"/>
          <w:sz w:val="17"/>
          <w:szCs w:val="17"/>
          <w:color w:val="auto"/>
        </w:rPr>
        <w:t>present in the retina and choroid following suprachoroidal injection, both at early time points and over the course of the experimental timeframe, as compared to the amounts of the same drug present over time in the retina and choroid following intravitreal administration. We believe this suggests that treatment using suprachoroidal injection of a drug may have a faster onset of therapeutic effect as compared to intravitreal administration, along with similar or better efficacy, in diseases such as uveitis, RVO and DME.</w:t>
      </w:r>
    </w:p>
    <w:p>
      <w:pPr>
        <w:spacing w:after="0" w:line="64" w:lineRule="exact"/>
        <w:rPr>
          <w:rFonts w:ascii="Arial" w:cs="Arial" w:eastAsia="Arial" w:hAnsi="Arial"/>
          <w:sz w:val="17"/>
          <w:szCs w:val="17"/>
          <w:color w:val="auto"/>
        </w:rPr>
      </w:pPr>
    </w:p>
    <w:p>
      <w:pPr>
        <w:ind w:left="1040" w:right="6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Similar efficacy profile with lower drug amounts required. </w:t>
      </w:r>
      <w:r>
        <w:rPr>
          <w:rFonts w:ascii="Arial" w:cs="Arial" w:eastAsia="Arial" w:hAnsi="Arial"/>
          <w:sz w:val="16"/>
          <w:szCs w:val="16"/>
          <w:color w:val="auto"/>
        </w:rPr>
        <w:t>In a preclinical study in an animal model of uveitis, suprachoroidal injection of TA</w:t>
      </w:r>
      <w:r>
        <w:rPr>
          <w:rFonts w:ascii="Arial" w:cs="Arial" w:eastAsia="Arial" w:hAnsi="Arial"/>
          <w:sz w:val="16"/>
          <w:szCs w:val="16"/>
          <w:i w:val="1"/>
          <w:iCs w:val="1"/>
          <w:color w:val="auto"/>
        </w:rPr>
        <w:t xml:space="preserve"> </w:t>
      </w:r>
      <w:r>
        <w:rPr>
          <w:rFonts w:ascii="Arial" w:cs="Arial" w:eastAsia="Arial" w:hAnsi="Arial"/>
          <w:sz w:val="16"/>
          <w:szCs w:val="16"/>
          <w:color w:val="auto"/>
        </w:rPr>
        <w:t>achieved similar efficacy results with only 10% of the drug amount administered through intravitreal injection. We believe this suggests our approach may allow us to develop ocular therapies with similar efficacy, but with lower amounts of active drug, compared to current therapies.</w:t>
      </w:r>
    </w:p>
    <w:p>
      <w:pPr>
        <w:spacing w:after="0" w:line="38" w:lineRule="exact"/>
        <w:rPr>
          <w:rFonts w:ascii="Arial" w:cs="Arial" w:eastAsia="Arial" w:hAnsi="Arial"/>
          <w:sz w:val="16"/>
          <w:szCs w:val="16"/>
          <w:color w:val="auto"/>
        </w:rPr>
      </w:pPr>
    </w:p>
    <w:p>
      <w:pPr>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Less frequent injections. </w:t>
      </w:r>
      <w:r>
        <w:rPr>
          <w:rFonts w:ascii="Arial" w:cs="Arial" w:eastAsia="Arial" w:hAnsi="Arial"/>
          <w:sz w:val="18"/>
          <w:szCs w:val="18"/>
          <w:color w:val="auto"/>
        </w:rPr>
        <w:t>Current treatments for RVO require monthly intravitreal injections of anti-VEGF drugs. For RVO patients,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a combination of an intravitreal injection of an anti-VEGF drug that addresses the vascular aspect of the disease, together with suprachoroidal CLS-TA, which addresses the inflammatory aspect of RVO, may have efficacy similar to that of monthly intravitreal anti-VEGF injections but with a reduction in the frequency of treatment to once every 90 days.</w:t>
      </w:r>
    </w:p>
    <w:p>
      <w:pPr>
        <w:spacing w:after="0" w:line="78" w:lineRule="exact"/>
        <w:rPr>
          <w:rFonts w:ascii="Arial" w:cs="Arial" w:eastAsia="Arial" w:hAnsi="Arial"/>
          <w:sz w:val="18"/>
          <w:szCs w:val="18"/>
          <w:color w:val="auto"/>
        </w:rPr>
      </w:pPr>
    </w:p>
    <w:p>
      <w:pPr>
        <w:ind w:left="1040" w:right="40" w:hanging="519"/>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Enhanced safety profile. </w:t>
      </w:r>
      <w:r>
        <w:rPr>
          <w:rFonts w:ascii="Arial" w:cs="Arial" w:eastAsia="Arial" w:hAnsi="Arial"/>
          <w:sz w:val="17"/>
          <w:szCs w:val="17"/>
          <w:color w:val="auto"/>
        </w:rPr>
        <w:t>Intravitreal injections result in drugs diffusing throughout the eye, including to the lens, iris and ciliary body at the</w:t>
      </w:r>
      <w:r>
        <w:rPr>
          <w:rFonts w:ascii="Arial" w:cs="Arial" w:eastAsia="Arial" w:hAnsi="Arial"/>
          <w:sz w:val="17"/>
          <w:szCs w:val="17"/>
          <w:i w:val="1"/>
          <w:iCs w:val="1"/>
          <w:color w:val="auto"/>
        </w:rPr>
        <w:t xml:space="preserve"> </w:t>
      </w:r>
      <w:r>
        <w:rPr>
          <w:rFonts w:ascii="Arial" w:cs="Arial" w:eastAsia="Arial" w:hAnsi="Arial"/>
          <w:sz w:val="17"/>
          <w:szCs w:val="17"/>
          <w:color w:val="auto"/>
        </w:rPr>
        <w:t>front of the eye, which for some drugs, such as corticosteroids, has been associated with safety issues, such as cataract formation or exacerbation and elevated IOP levels, which can lead to glaucoma. Intravitreal administration of TA has been associated with cataracts and increases in IOP levels in 20% to 60% of patients. Because suprachoroidal injection of drugs in preclinical studies appeared to result in drug remaining mostly localized in the retina and choroid without substantial diffusion to the vitreous or the front portion of the eye, we believe suprachoroidal injection has the potential to reduce the incidence of these side effects. In our three clinical trials of CLS-TA, a total of 121 uveitis patients have been dosed, with follow-up evaluations for up to six months after initial treatment. No serious adverse events related to treatment were observed in these three trials. The incidence of IOP increase among these 121 uveitis patients administered with suprachoroidal injection of 4 mg of TA was 9%.</w:t>
      </w:r>
    </w:p>
    <w:p>
      <w:pPr>
        <w:spacing w:after="0" w:line="73" w:lineRule="exact"/>
        <w:rPr>
          <w:rFonts w:ascii="Arial" w:cs="Arial" w:eastAsia="Arial" w:hAnsi="Arial"/>
          <w:sz w:val="17"/>
          <w:szCs w:val="17"/>
          <w:color w:val="auto"/>
        </w:rPr>
      </w:pPr>
    </w:p>
    <w:p>
      <w:pPr>
        <w:jc w:val="both"/>
        <w:ind w:left="1040" w:right="160" w:hanging="519"/>
        <w:spacing w:after="0" w:line="30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Incorporated into standard medical practice. </w:t>
      </w:r>
      <w:r>
        <w:rPr>
          <w:rFonts w:ascii="Arial" w:cs="Arial" w:eastAsia="Arial" w:hAnsi="Arial"/>
          <w:sz w:val="16"/>
          <w:szCs w:val="16"/>
          <w:color w:val="auto"/>
        </w:rPr>
        <w:t>If approved for marketing, our drugs will be packaged together with our SCS Microinjector for</w:t>
      </w:r>
      <w:r>
        <w:rPr>
          <w:rFonts w:ascii="Arial" w:cs="Arial" w:eastAsia="Arial" w:hAnsi="Arial"/>
          <w:sz w:val="16"/>
          <w:szCs w:val="16"/>
          <w:i w:val="1"/>
          <w:iCs w:val="1"/>
          <w:color w:val="auto"/>
        </w:rPr>
        <w:t xml:space="preserve"> </w:t>
      </w:r>
      <w:r>
        <w:rPr>
          <w:rFonts w:ascii="Arial" w:cs="Arial" w:eastAsia="Arial" w:hAnsi="Arial"/>
          <w:sz w:val="16"/>
          <w:szCs w:val="16"/>
          <w:color w:val="auto"/>
        </w:rPr>
        <w:t>use by uveitis and retina specialists. The procedure for suprachoroidal injection with our SCS Microinjector is intended to be conducted in an in-office setting and is similar in terms of patient preparation and duration of the procedure for intravitreal injection, and we therefore expect our products, if they achieve regulatory approval, to be incorporated into uveitis and retina specialists’ standard medical practice.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 w:name="page8"/>
    <w:bookmarkEnd w:id="7"/>
    <w:p>
      <w:pPr>
        <w:ind w:left="520"/>
        <w:spacing w:after="0"/>
        <w:rPr>
          <w:sz w:val="20"/>
          <w:szCs w:val="20"/>
          <w:color w:val="auto"/>
        </w:rPr>
      </w:pPr>
      <w:r>
        <w:rPr>
          <w:rFonts w:ascii="Arial" w:cs="Arial" w:eastAsia="Arial" w:hAnsi="Arial"/>
          <w:sz w:val="16"/>
          <w:szCs w:val="16"/>
          <w:color w:val="auto"/>
        </w:rPr>
        <w:t>The current development status of our product candidates is summarized in the chart below:</w:t>
      </w:r>
    </w:p>
    <w:p>
      <w:pPr>
        <w:sectPr>
          <w:pgSz w:w="11900" w:h="16838" w:orient="portrait"/>
          <w:cols w:equalWidth="0" w:num="1">
            <w:col w:w="11400"/>
          </w:cols>
          <w:pgMar w:left="240" w:top="449" w:right="259" w:bottom="1440" w:gutter="0" w:footer="0" w:header="0"/>
        </w:sectPr>
      </w:pP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22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Proposed</w:t>
            </w:r>
          </w:p>
        </w:tc>
        <w:tc>
          <w:tcPr>
            <w:tcW w:w="2560" w:type="dxa"/>
            <w:vAlign w:val="bottom"/>
          </w:tcPr>
          <w:p>
            <w:pPr>
              <w:spacing w:after="0"/>
              <w:rPr>
                <w:sz w:val="17"/>
                <w:szCs w:val="17"/>
                <w:color w:val="auto"/>
              </w:rPr>
            </w:pPr>
          </w:p>
        </w:tc>
      </w:tr>
      <w:tr>
        <w:trPr>
          <w:trHeight w:val="213"/>
        </w:trPr>
        <w:tc>
          <w:tcPr>
            <w:tcW w:w="2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Indication</w:t>
            </w:r>
          </w:p>
        </w:tc>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Product Candidate</w:t>
            </w:r>
          </w:p>
        </w:tc>
      </w:tr>
      <w:tr>
        <w:trPr>
          <w:trHeight w:val="189"/>
        </w:trPr>
        <w:tc>
          <w:tcPr>
            <w:tcW w:w="2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Macular edema associated</w:t>
            </w:r>
          </w:p>
        </w:tc>
        <w:tc>
          <w:tcPr>
            <w:tcW w:w="200" w:type="dxa"/>
            <w:vAlign w:val="bottom"/>
          </w:tcPr>
          <w:p>
            <w:pPr>
              <w:spacing w:after="0"/>
              <w:rPr>
                <w:sz w:val="16"/>
                <w:szCs w:val="16"/>
                <w:color w:val="auto"/>
              </w:rPr>
            </w:pPr>
          </w:p>
        </w:tc>
        <w:tc>
          <w:tcPr>
            <w:tcW w:w="25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6"/>
                <w:szCs w:val="16"/>
                <w:color w:val="auto"/>
              </w:rPr>
              <w:t xml:space="preserve">Suprachoroidal </w:t>
            </w:r>
            <w:r>
              <w:rPr>
                <w:rFonts w:ascii="Arial" w:cs="Arial" w:eastAsia="Arial" w:hAnsi="Arial"/>
                <w:sz w:val="18"/>
                <w:szCs w:val="18"/>
                <w:color w:val="auto"/>
              </w:rPr>
              <w:t>CLS-TA</w:t>
            </w:r>
          </w:p>
        </w:tc>
      </w:tr>
      <w:tr>
        <w:trPr>
          <w:trHeight w:val="206"/>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with non-infectious uveitis</w:t>
            </w:r>
          </w:p>
        </w:tc>
        <w:tc>
          <w:tcPr>
            <w:tcW w:w="2560" w:type="dxa"/>
            <w:vAlign w:val="bottom"/>
          </w:tcPr>
          <w:p>
            <w:pPr>
              <w:spacing w:after="0"/>
              <w:rPr>
                <w:sz w:val="17"/>
                <w:szCs w:val="17"/>
                <w:color w:val="auto"/>
              </w:rPr>
            </w:pPr>
          </w:p>
        </w:tc>
      </w:tr>
      <w:tr>
        <w:trPr>
          <w:trHeight w:val="307"/>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Macular edema associated</w:t>
            </w:r>
          </w:p>
        </w:tc>
        <w:tc>
          <w:tcPr>
            <w:tcW w:w="2560" w:type="dxa"/>
            <w:vAlign w:val="bottom"/>
          </w:tcPr>
          <w:p>
            <w:pPr>
              <w:ind w:left="20"/>
              <w:spacing w:after="0"/>
              <w:rPr>
                <w:sz w:val="20"/>
                <w:szCs w:val="20"/>
                <w:color w:val="auto"/>
              </w:rPr>
            </w:pPr>
            <w:r>
              <w:rPr>
                <w:rFonts w:ascii="Arial" w:cs="Arial" w:eastAsia="Arial" w:hAnsi="Arial"/>
                <w:sz w:val="16"/>
                <w:szCs w:val="16"/>
                <w:color w:val="auto"/>
              </w:rPr>
              <w:t xml:space="preserve">Suprachoroidal </w:t>
            </w:r>
            <w:r>
              <w:rPr>
                <w:rFonts w:ascii="Arial" w:cs="Arial" w:eastAsia="Arial" w:hAnsi="Arial"/>
                <w:sz w:val="18"/>
                <w:szCs w:val="18"/>
                <w:color w:val="auto"/>
              </w:rPr>
              <w:t>CLS-TA</w:t>
            </w:r>
            <w:r>
              <w:rPr>
                <w:rFonts w:ascii="Arial" w:cs="Arial" w:eastAsia="Arial" w:hAnsi="Arial"/>
                <w:sz w:val="16"/>
                <w:szCs w:val="16"/>
                <w:color w:val="auto"/>
              </w:rPr>
              <w:t xml:space="preserve"> together</w:t>
            </w:r>
          </w:p>
        </w:tc>
      </w:tr>
      <w:tr>
        <w:trPr>
          <w:trHeight w:val="220"/>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with RVO</w:t>
            </w:r>
          </w:p>
        </w:tc>
        <w:tc>
          <w:tcPr>
            <w:tcW w:w="2560" w:type="dxa"/>
            <w:vAlign w:val="bottom"/>
          </w:tcPr>
          <w:p>
            <w:pPr>
              <w:ind w:left="20"/>
              <w:spacing w:after="0"/>
              <w:rPr>
                <w:sz w:val="20"/>
                <w:szCs w:val="20"/>
                <w:color w:val="auto"/>
              </w:rPr>
            </w:pPr>
            <w:r>
              <w:rPr>
                <w:rFonts w:ascii="Arial" w:cs="Arial" w:eastAsia="Arial" w:hAnsi="Arial"/>
                <w:sz w:val="16"/>
                <w:szCs w:val="16"/>
                <w:color w:val="auto"/>
                <w:w w:val="99"/>
              </w:rPr>
              <w:t>with an intravitreal anti-VEGF agent</w:t>
            </w:r>
          </w:p>
        </w:tc>
      </w:tr>
      <w:tr>
        <w:trPr>
          <w:trHeight w:val="712"/>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DME</w:t>
            </w:r>
          </w:p>
        </w:tc>
        <w:tc>
          <w:tcPr>
            <w:tcW w:w="2560" w:type="dxa"/>
            <w:vAlign w:val="bottom"/>
          </w:tcPr>
          <w:p>
            <w:pPr>
              <w:ind w:left="20"/>
              <w:spacing w:after="0"/>
              <w:rPr>
                <w:sz w:val="20"/>
                <w:szCs w:val="20"/>
                <w:color w:val="auto"/>
              </w:rPr>
            </w:pPr>
            <w:r>
              <w:rPr>
                <w:rFonts w:ascii="Arial" w:cs="Arial" w:eastAsia="Arial" w:hAnsi="Arial"/>
                <w:sz w:val="16"/>
                <w:szCs w:val="16"/>
                <w:color w:val="auto"/>
              </w:rPr>
              <w:t xml:space="preserve">Suprachoroidal </w:t>
            </w:r>
            <w:r>
              <w:rPr>
                <w:rFonts w:ascii="Arial" w:cs="Arial" w:eastAsia="Arial" w:hAnsi="Arial"/>
                <w:sz w:val="18"/>
                <w:szCs w:val="18"/>
                <w:color w:val="auto"/>
              </w:rPr>
              <w:t>CLS-TA</w:t>
            </w:r>
            <w:r>
              <w:rPr>
                <w:rFonts w:ascii="Arial" w:cs="Arial" w:eastAsia="Arial" w:hAnsi="Arial"/>
                <w:sz w:val="16"/>
                <w:szCs w:val="16"/>
                <w:color w:val="auto"/>
              </w:rPr>
              <w:t xml:space="preserve"> alone or</w:t>
            </w:r>
          </w:p>
        </w:tc>
      </w:tr>
      <w:tr>
        <w:trPr>
          <w:trHeight w:val="206"/>
        </w:trPr>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together with intravitreal Eylea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Status and Upcoming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20320</wp:posOffset>
            </wp:positionV>
            <wp:extent cx="675767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7670" cy="266065"/>
                    </a:xfrm>
                    <a:prstGeom prst="rect">
                      <a:avLst/>
                    </a:prstGeom>
                    <a:noFill/>
                  </pic:spPr>
                </pic:pic>
              </a:graphicData>
            </a:graphic>
          </wp:anchor>
        </w:drawing>
      </w:r>
    </w:p>
    <w:p>
      <w:pPr>
        <w:spacing w:after="0" w:line="16" w:lineRule="exact"/>
        <w:rPr>
          <w:sz w:val="20"/>
          <w:szCs w:val="20"/>
          <w:color w:val="auto"/>
        </w:rPr>
      </w:pPr>
    </w:p>
    <w:p>
      <w:pPr>
        <w:ind w:left="105" w:hanging="105"/>
        <w:spacing w:after="0"/>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Completed PEACHTREE with preliminary results reported in March 2018</w:t>
      </w:r>
    </w:p>
    <w:p>
      <w:pPr>
        <w:spacing w:after="0" w:line="22" w:lineRule="exact"/>
        <w:rPr>
          <w:rFonts w:ascii="Arial" w:cs="Arial" w:eastAsia="Arial" w:hAnsi="Arial"/>
          <w:sz w:val="16"/>
          <w:szCs w:val="16"/>
          <w:color w:val="auto"/>
        </w:rPr>
      </w:pPr>
    </w:p>
    <w:p>
      <w:pPr>
        <w:ind w:left="105" w:hanging="105"/>
        <w:spacing w:after="0"/>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Intend to submit NDA by end of 2018</w:t>
      </w:r>
    </w:p>
    <w:p>
      <w:pPr>
        <w:spacing w:after="0" w:line="122" w:lineRule="exact"/>
        <w:rPr>
          <w:rFonts w:ascii="Arial" w:cs="Arial" w:eastAsia="Arial" w:hAnsi="Arial"/>
          <w:sz w:val="16"/>
          <w:szCs w:val="16"/>
          <w:color w:val="auto"/>
        </w:rPr>
      </w:pPr>
    </w:p>
    <w:p>
      <w:pPr>
        <w:ind w:left="205" w:right="520" w:hanging="205"/>
        <w:spacing w:after="0" w:line="293"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Recruitment ongoing in SAPPHIRE with preliminary results expected in the fourth quarter of 2018</w:t>
      </w:r>
    </w:p>
    <w:p>
      <w:pPr>
        <w:spacing w:after="0" w:line="158" w:lineRule="exact"/>
        <w:rPr>
          <w:rFonts w:ascii="Arial" w:cs="Arial" w:eastAsia="Arial" w:hAnsi="Arial"/>
          <w:sz w:val="16"/>
          <w:szCs w:val="16"/>
          <w:color w:val="auto"/>
        </w:rPr>
      </w:pPr>
    </w:p>
    <w:p>
      <w:pPr>
        <w:ind w:left="105" w:hanging="105"/>
        <w:spacing w:after="0"/>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Initiated TOPAZ in first quarter of 2018</w:t>
      </w:r>
    </w:p>
    <w:p>
      <w:pPr>
        <w:spacing w:after="0" w:line="126" w:lineRule="exact"/>
        <w:rPr>
          <w:rFonts w:ascii="Arial" w:cs="Arial" w:eastAsia="Arial" w:hAnsi="Arial"/>
          <w:sz w:val="16"/>
          <w:szCs w:val="16"/>
          <w:color w:val="auto"/>
        </w:rPr>
      </w:pPr>
    </w:p>
    <w:p>
      <w:pPr>
        <w:ind w:left="105" w:hanging="105"/>
        <w:spacing w:after="0"/>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Completed HULK, with preliminary results reported in fourth quarter 2017</w:t>
      </w:r>
    </w:p>
    <w:p>
      <w:pPr>
        <w:spacing w:after="0" w:line="140" w:lineRule="exact"/>
        <w:rPr>
          <w:rFonts w:ascii="Arial" w:cs="Arial" w:eastAsia="Arial" w:hAnsi="Arial"/>
          <w:sz w:val="16"/>
          <w:szCs w:val="16"/>
          <w:color w:val="auto"/>
        </w:rPr>
      </w:pPr>
    </w:p>
    <w:p>
      <w:pPr>
        <w:ind w:left="205" w:right="440" w:hanging="205"/>
        <w:spacing w:after="0" w:line="293"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Commenced TYBEE in July 2017, with preliminary data expected in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-484505</wp:posOffset>
            </wp:positionV>
            <wp:extent cx="675767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46291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5180" w:space="215"/>
            <w:col w:w="6005"/>
          </w:cols>
          <w:pgMar w:left="240" w:top="449" w:right="259" w:bottom="1440" w:gutter="0" w:footer="0" w:header="0"/>
          <w:type w:val="continuous"/>
        </w:sectPr>
      </w:pPr>
    </w:p>
    <w:p>
      <w:pPr>
        <w:ind w:right="200" w:firstLine="518"/>
        <w:spacing w:after="0" w:line="277" w:lineRule="auto"/>
        <w:rPr>
          <w:sz w:val="20"/>
          <w:szCs w:val="20"/>
          <w:color w:val="auto"/>
        </w:rPr>
      </w:pPr>
      <w:r>
        <w:rPr>
          <w:rFonts w:ascii="Arial" w:cs="Arial" w:eastAsia="Arial" w:hAnsi="Arial"/>
          <w:sz w:val="18"/>
          <w:szCs w:val="18"/>
          <w:color w:val="auto"/>
        </w:rPr>
        <w:t>We have discussed our proposed development programs with the FDA for our uveitis and RVO programs, but we have not yet done so for our DME development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CLS-TA for macular edema associated with non-infectious uveitis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most common treatment for non-infectious uveitis, a condition characterized by inflammation of the choroid and surrounding tissues, involves the use of corticosteroids, such as TA. CLS-TA is our formulation of TA, and TA is known to be effective in treating uveitis when administered to the eye by other routes of administration. We believe that our product candidate will be at least as effective as commonly used formulations of TA in treating complications of uveitis, including the associated macular edema. If approved, CLS-TA would be the first drug specifically indicated for macular edema associated with non-infectious uveitis. In August 2017, we completed enrollment of 160 patients with macular edema associated with non-infectious uveitis in PEACHTREE, a pivotal Phase 3 clinical trial in which CLS-TA was injected into the SCS with our SCS Microinjector. In PEACHTREE, we met the primary and secondary endpoints of the trial. The administration of suprachoroidal CLS-TA was generally well tolerated, with no treatment-related serious adverse events reported in the trial. Based on the results from PEACHTREE, we intend to submit an NDA for CLS-TA for the treatment of patients with non-infectious uveitis by the end of 2018.</w:t>
      </w:r>
    </w:p>
    <w:p>
      <w:pPr>
        <w:spacing w:after="0" w:line="19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have also completed a Phase 2 clinical trial and a Phase 1/2 clinical trial for this indication that we conducted with CLS-TA, the results of which are described below. We believe that CLS-TA will be at least as effective in treating uveitis, including the associated macular edema, as commonly used local treatments with corticosteroids. However, we believe that our suprachoroidal based local treatment may provide improved bioavailability of drug at the diseased retina and choroid, which may result in faster onset of therapeutic effect, a similar efficacy profile with lower drug amounts required, and longer duration of therapeutic effect, potentially resulting in a reduced frequency of necessary injections. We also believe that CLS-TA may result in fewer side effects compared to commonly used corticosteroid treatments.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development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consultation with the FDA, we have conducted or are conducting the following clinical trials, in each case using TA injected using a prototype of our SCS Microinjector, as part of our uveitis development program:</w:t>
      </w:r>
    </w:p>
    <w:p>
      <w:pPr>
        <w:spacing w:after="0" w:line="62" w:lineRule="exact"/>
        <w:rPr>
          <w:sz w:val="20"/>
          <w:szCs w:val="20"/>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completed Phase 3 clinical trial in patients with macular edema associated with non-infectious uveitis evaluating suprachoroidal CLS-TA with our SCS Microinjector, from which we reported preliminary data in March 2018; and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completed 22-patient Phase 2 clinical trial in patients with macular edema associated with non-infectious uveitis evaluating suprachoroidal CLS-TA with our SCS Microinjector, from which we reported data in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clinical trials are summarized below.</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Pivotal Phase 3 clinical trial</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have completed PEACHTREE, a pivotal Phase 3 randomized, controlled, multi-center clinical trial designed to evaluate the safety and efficacy of CLS-TA administered through the SCS in patients with macular edema associated with non-infectious uveitis.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Based on feedback from our end-of-Phase 2 meeting with the FDA held in May 2015, we believe that this trial will be the only pivotal clinical trial necessary to support a filing of a Section 505(b)(2) NDA for this indication.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Trial Design</w:t>
      </w:r>
      <w:r>
        <w:rPr>
          <w:rFonts w:ascii="Arial" w:cs="Arial" w:eastAsia="Arial" w:hAnsi="Arial"/>
          <w:sz w:val="18"/>
          <w:szCs w:val="18"/>
          <w:color w:val="auto"/>
        </w:rPr>
        <w:t>.</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PEACHTREE was conducted at approximately 60 investigational sites and enrolled 160 patients with macular edema associated with non-infectious uveitis, randomized either to a treatment arm consisting of approximately 90 patients who received a 4.0 mg dose of suprachoroidal CLS-TA or to a sham injection procedure arm consisting of approximately 60 patients. We used a sham injection procedure as a comparator for suprachoroidal CLS-TA, as opposed to an active drug, because there are no approved therapies for macular edema associated with non-infectious uveitis against which to compare CLS-TA, and there are no controlled, randomized trials with data in patients who can be used as an appropriate comparator arm. In order to simulate an injection to maintain masking, the sham injection procedure included all steps involved in the suprachoroidal injection procedure, except that a syringe with a needleless hub was used to apply pressure to the eye. Patients in each arm received their designated procedure at the beginning of the trial and a second procedure of the same type at week 12. All patients were followed and evaluated for a period of six months following the initial procedure.</w:t>
      </w:r>
    </w:p>
    <w:p>
      <w:pPr>
        <w:spacing w:after="0" w:line="166"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i w:val="1"/>
          <w:iCs w:val="1"/>
          <w:color w:val="auto"/>
        </w:rPr>
        <w:t>Endpoints</w:t>
      </w:r>
      <w:r>
        <w:rPr>
          <w:rFonts w:ascii="Arial" w:cs="Arial" w:eastAsia="Arial" w:hAnsi="Arial"/>
          <w:sz w:val="18"/>
          <w:szCs w:val="18"/>
          <w:color w:val="auto"/>
        </w:rPr>
        <w:t>. The primary efficacy outcome of the trial was the percentage of patients who experienced an improvement of at least 15 letters in BCVA</w:t>
      </w:r>
      <w:r>
        <w:rPr>
          <w:rFonts w:ascii="Arial" w:cs="Arial" w:eastAsia="Arial" w:hAnsi="Arial"/>
          <w:sz w:val="18"/>
          <w:szCs w:val="18"/>
          <w:i w:val="1"/>
          <w:iCs w:val="1"/>
          <w:color w:val="auto"/>
        </w:rPr>
        <w:t xml:space="preserve"> </w:t>
      </w:r>
      <w:r>
        <w:rPr>
          <w:rFonts w:ascii="Arial" w:cs="Arial" w:eastAsia="Arial" w:hAnsi="Arial"/>
          <w:sz w:val="18"/>
          <w:szCs w:val="18"/>
          <w:color w:val="auto"/>
        </w:rPr>
        <w:t>from baseline at week 24. Secondary efficacy outcomes included additional measures of changes in BCVA and reductions in retinal thickness from baseline. Safety measures were monitored over the 24-week observation period and included the incidence of treatment emergent adverse events and serious adverse events, including cataracts and increases in IOP.</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 xml:space="preserve">Efficacy results. </w:t>
      </w:r>
      <w:r>
        <w:rPr>
          <w:rFonts w:ascii="Arial" w:cs="Arial" w:eastAsia="Arial" w:hAnsi="Arial"/>
          <w:sz w:val="18"/>
          <w:szCs w:val="18"/>
          <w:color w:val="auto"/>
        </w:rPr>
        <w:t>In PEACHTREE, 45 of the 96 patients, or 47%, who received suprachoroidal CLS-TA at baseline and at 12 weeks gained at least 15</w:t>
      </w:r>
      <w:r>
        <w:rPr>
          <w:rFonts w:ascii="Arial" w:cs="Arial" w:eastAsia="Arial" w:hAnsi="Arial"/>
          <w:sz w:val="18"/>
          <w:szCs w:val="18"/>
          <w:i w:val="1"/>
          <w:iCs w:val="1"/>
          <w:color w:val="auto"/>
        </w:rPr>
        <w:t xml:space="preserve"> </w:t>
      </w:r>
      <w:r>
        <w:rPr>
          <w:rFonts w:ascii="Arial" w:cs="Arial" w:eastAsia="Arial" w:hAnsi="Arial"/>
          <w:sz w:val="18"/>
          <w:szCs w:val="18"/>
          <w:color w:val="auto"/>
        </w:rPr>
        <w:t>ETDRS letters in BCVA from baseline at week 24, compared to 10 of the 64 patients, or 16%, who underwent sham procedures at baseline and at week 12. This improvement, which was the primary endpoint of the trial, was statistically significant with a p-value of less than 0.001. These results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127635</wp:posOffset>
            </wp:positionV>
            <wp:extent cx="3747770" cy="258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4777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in terms of improvements in BCVA, the mean change from baseline was better in the treatment arm than the sham arm at each monthly evaluation. The mean improvement from baseline was also maintained throughout the evaluation period, with 9.6 letters gained at week 4 and 13.7 letters at week 24 in the active arm, compared to 1.2 letters at week 4 and 2.9 letters at week 24 in the control arm. The mean improvements in BCVA were statistically significant at each 4-week evaluation point, each with a p-value of less than 0.001. The mean improvement from baseline at each 4-week evaluation point is shown in the figure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1932940</wp:posOffset>
            </wp:positionH>
            <wp:positionV relativeFrom="page">
              <wp:posOffset>637540</wp:posOffset>
            </wp:positionV>
            <wp:extent cx="4022090" cy="2693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2209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For the other key secondary endpoint, administration of suprachoroidal CLS-TA resulted in a mean reduction from baseline of 157 microns in central subfield thickness at week 24 in the active arm compared to a 19 micron mean reduction in the sham arm, a result that was also statistically significant with a p-value of less than 0.001. These results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124460</wp:posOffset>
            </wp:positionV>
            <wp:extent cx="3978910" cy="2521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789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Safety results. </w:t>
      </w:r>
      <w:r>
        <w:rPr>
          <w:rFonts w:ascii="Arial" w:cs="Arial" w:eastAsia="Arial" w:hAnsi="Arial"/>
          <w:sz w:val="18"/>
          <w:szCs w:val="18"/>
          <w:color w:val="auto"/>
        </w:rPr>
        <w:t>Suprachoroidal CLS-TA was generally well tolerated, with no treatment-related serious adverse events reported in the trial. Through 24</w:t>
      </w:r>
      <w:r>
        <w:rPr>
          <w:rFonts w:ascii="Arial" w:cs="Arial" w:eastAsia="Arial" w:hAnsi="Arial"/>
          <w:sz w:val="18"/>
          <w:szCs w:val="18"/>
          <w:i w:val="1"/>
          <w:iCs w:val="1"/>
          <w:color w:val="auto"/>
        </w:rPr>
        <w:t xml:space="preserve"> </w:t>
      </w:r>
      <w:r>
        <w:rPr>
          <w:rFonts w:ascii="Arial" w:cs="Arial" w:eastAsia="Arial" w:hAnsi="Arial"/>
          <w:sz w:val="18"/>
          <w:szCs w:val="18"/>
          <w:color w:val="auto"/>
        </w:rPr>
        <w:t>weeks, corticosteroid-related elevated IOP adverse events were reported for 11.5% of patients in the CLS-TA treatment group, compared to no patients in the sham group.</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 xml:space="preserve">Additional trials. </w:t>
      </w:r>
      <w:r>
        <w:rPr>
          <w:rFonts w:ascii="Arial" w:cs="Arial" w:eastAsia="Arial" w:hAnsi="Arial"/>
          <w:sz w:val="18"/>
          <w:szCs w:val="18"/>
          <w:color w:val="auto"/>
        </w:rPr>
        <w:t>Patients from PEACHTREE will be followed in an extension trial to obtain additional information on the duration of action of CLS-TA. In this extension trial, patients from selected sites from the Phase 3 trial who have not received any other therapy will have the opportunity to be enrolled and will receive no further treatments for their uveitis. Since the last treatment in the Phase 3 trial would have occurred at week 12 following the initial procedure, we expect to enroll patients starting at their week 24 exit visit and to follow eligible patients for an additional 24 weeks or until they receive additional treatment at the election of the evaluating physician in the trial.</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0" w:name="page11"/>
    <w:bookmarkEnd w:id="10"/>
    <w:p>
      <w:pPr>
        <w:ind w:firstLine="518"/>
        <w:spacing w:after="0" w:line="259" w:lineRule="auto"/>
        <w:rPr>
          <w:sz w:val="20"/>
          <w:szCs w:val="20"/>
          <w:color w:val="auto"/>
        </w:rPr>
      </w:pPr>
      <w:r>
        <w:rPr>
          <w:rFonts w:ascii="Arial" w:cs="Arial" w:eastAsia="Arial" w:hAnsi="Arial"/>
          <w:sz w:val="18"/>
          <w:szCs w:val="18"/>
          <w:color w:val="auto"/>
        </w:rPr>
        <w:t>An additional 38 patients, with a diagnosis of non-infectious uveitis, were enrolled in a separate clinical trial in order to collect additional safety information to add to our overall safety database to reach the number required for our planned NDA submission. These additional patients will be administered suprachoroidal CLS-TA at baseline and at week 12, and they will be observed and evaluated at visits every 4 weeks after initial treatment, with a final evaluation at week 24.</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Phase 2 clinical trial</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In addition to PEACHTREE, we completed a Phase 2 multi-center, masked, randomized, dose controlled clinical trial designed to evaluate the safety and efficacy of a single 4.0 mg or a single 0.8 mg dose of CLS-TA administered through the SCS.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Clinical Trial Design</w:t>
      </w:r>
      <w:r>
        <w:rPr>
          <w:rFonts w:ascii="Arial" w:cs="Arial" w:eastAsia="Arial" w:hAnsi="Arial"/>
          <w:sz w:val="18"/>
          <w:szCs w:val="18"/>
          <w:color w:val="auto"/>
        </w:rPr>
        <w:t>. We enrolled 22 patients at 14 sites in this trial. Eligibility criteria included males and non-pregnant females over the age of 18 with</w:t>
      </w:r>
      <w:r>
        <w:rPr>
          <w:rFonts w:ascii="Arial" w:cs="Arial" w:eastAsia="Arial" w:hAnsi="Arial"/>
          <w:sz w:val="18"/>
          <w:szCs w:val="18"/>
          <w:i w:val="1"/>
          <w:iCs w:val="1"/>
          <w:color w:val="auto"/>
        </w:rPr>
        <w:t xml:space="preserve"> </w:t>
      </w:r>
      <w:r>
        <w:rPr>
          <w:rFonts w:ascii="Arial" w:cs="Arial" w:eastAsia="Arial" w:hAnsi="Arial"/>
          <w:sz w:val="18"/>
          <w:szCs w:val="18"/>
          <w:color w:val="auto"/>
        </w:rPr>
        <w:t>macular edema associated with non-infectious uveitis, with fluid in the retina and retinal thickness above 310 microns and a visual acuity reading better than 20/400 in the study eye, which corresponds to the ability to read 20 or more ETDRS letters of BCVA. Patients were excluded if they had other ocular conditions in the study eye. Patients were randomized to receive a single suprachoroidal injection of one of two doses of CLS-TA, with 17 patients receiving a 4.0 mg dose and five patients receiving a 0.8 mg dose. Patients returned for follow-up examinations between seven days and 11 days, at four weeks and at eight weeks following dosing.</w:t>
      </w:r>
    </w:p>
    <w:p>
      <w:pPr>
        <w:spacing w:after="0" w:line="19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Patients enrolled in the trial ranged in age between 20 years and 83 years, with a median age of 53. Of the 22 patients enrolled, 12 were female and 10 were male; 18 were Caucasian and four were African-American.</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Of the 17 patients in the 4.0 mg treatment group, two patients had anterior uveitis, meaning that the primary site of inflammation is the anterior chamber of the eye; five patients had intermediate uveitis, meaning that the primary site of inflammation is the ciliary body and the vitreous; one patient had posterior uveitis, meaning that the primary site of inflammation is the retina and choroid; and nine patients had pan-uveitis, meaning that the primary site of inflammation involves both the anterior and posterior regions.</w:t>
      </w:r>
    </w:p>
    <w:p>
      <w:pPr>
        <w:spacing w:after="0" w:line="18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Endpoints</w:t>
      </w:r>
      <w:r>
        <w:rPr>
          <w:rFonts w:ascii="Arial" w:cs="Arial" w:eastAsia="Arial" w:hAnsi="Arial"/>
          <w:sz w:val="16"/>
          <w:szCs w:val="16"/>
          <w:color w:val="auto"/>
        </w:rPr>
        <w:t>. The primary endpoint in this trial was mean change in retinal thickness from baseline at eight weeks following the suprachoroidal injection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4.0 mg dose of CLS-TA. Secondary endpoints included evaluation of changes in BCVA. Only the 17 patients who received the 4.0 mg dose of CLS-TA were evaluated for achievement of these endpoints. The efficacy data from the patients on the 0.8 mg dose is considered exploratory, and therefore was not considered in determining achievement of endpoints. We also evaluated safety endpoints in all 22 patients, including changes in IOP, in this trial.</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Efficacy results—retinal thickness</w:t>
      </w:r>
      <w:r>
        <w:rPr>
          <w:rFonts w:ascii="Arial" w:cs="Arial" w:eastAsia="Arial" w:hAnsi="Arial"/>
          <w:sz w:val="18"/>
          <w:szCs w:val="18"/>
          <w:color w:val="auto"/>
        </w:rPr>
        <w:t>. Of the 17 patients who received the 4.0 mg dose of CLS-TA, 16 were evaluated for changes in retinal thickness. At</w:t>
      </w:r>
      <w:r>
        <w:rPr>
          <w:rFonts w:ascii="Arial" w:cs="Arial" w:eastAsia="Arial" w:hAnsi="Arial"/>
          <w:sz w:val="18"/>
          <w:szCs w:val="18"/>
          <w:i w:val="1"/>
          <w:iCs w:val="1"/>
          <w:color w:val="auto"/>
        </w:rPr>
        <w:t xml:space="preserve"> </w:t>
      </w:r>
      <w:r>
        <w:rPr>
          <w:rFonts w:ascii="Arial" w:cs="Arial" w:eastAsia="Arial" w:hAnsi="Arial"/>
          <w:sz w:val="18"/>
          <w:szCs w:val="18"/>
          <w:color w:val="auto"/>
        </w:rPr>
        <w:t>four and eight weeks, the average reduction in retinal thickness was 135 and 164 microns, respectively, with p-values of 0.0056 and 0.0017, respectively. These results are summarized in the chart below.</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reduction in retinal thickness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94615</wp:posOffset>
            </wp:positionV>
            <wp:extent cx="2564130" cy="2298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Of these 16 patients evaluated for changes in retinal thickness, nine patients achieved a reduction in retinal thickness to below 310 microns, which represents the maximum retinal thickness for approximately 95% of the population with normal retinas, at both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week 4 and week 8. In addition, nine patients had reductions in thickness of at least 20% from their baseline levels at week 4, while 11 patients achieved this level of reduction at week 8.</w:t>
      </w:r>
    </w:p>
    <w:p>
      <w:pPr>
        <w:spacing w:after="0" w:line="170"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i w:val="1"/>
          <w:iCs w:val="1"/>
          <w:color w:val="auto"/>
        </w:rPr>
        <w:t xml:space="preserve">Efficacy results—visual acuity. </w:t>
      </w:r>
      <w:r>
        <w:rPr>
          <w:rFonts w:ascii="Arial" w:cs="Arial" w:eastAsia="Arial" w:hAnsi="Arial"/>
          <w:sz w:val="18"/>
          <w:szCs w:val="18"/>
          <w:color w:val="auto"/>
        </w:rPr>
        <w:t>All 17 patients who received the 4.0 mg dose of CLS-TA were evaluated for changes in BCVA, measured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 Treatment of Diabetic Retinopathy Study chart, or the ETDRS chart, a standard visual acuity measurement. At four and eight weeks, the average improvement in BCVA was 7.7 and 9.2 letters, respectively, with p-values of 0.0001 and 0.0004, respectively. These results are summarized in the chart below.</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Improvement in best corrected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400935" cy="234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93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Of the 12 patients evaluated with worse than 20/40 vision, 92% of patients improved by at least five letters, 50% of patients improved by at least 10 letters, 33% of patients improved by at least 15 letters and 8% of patients improved by more than 25 letters.</w:t>
      </w:r>
    </w:p>
    <w:p>
      <w:pPr>
        <w:spacing w:after="0" w:line="17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to the improvements in retinal thickness and visual acuity, we also observed improvements in other clinical signs of uveitis in the Phase 2 clinical trial. These included reductions in anterior chamber cells and reductions in anterior chamber flare, as well as improvements in the level of vitreous haze. In each case, the relevant severity scores decreased to zero or near zero or remained close to zero both for the overall average for all the patients as well as individually for a majority of the patients as measured by these markers of inflammation.</w:t>
      </w:r>
    </w:p>
    <w:p>
      <w:pPr>
        <w:spacing w:after="0" w:line="171"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i w:val="1"/>
          <w:iCs w:val="1"/>
          <w:color w:val="auto"/>
        </w:rPr>
        <w:t xml:space="preserve">Safety results. </w:t>
      </w:r>
      <w:r>
        <w:rPr>
          <w:rFonts w:ascii="Arial" w:cs="Arial" w:eastAsia="Arial" w:hAnsi="Arial"/>
          <w:sz w:val="17"/>
          <w:szCs w:val="17"/>
          <w:color w:val="auto"/>
        </w:rPr>
        <w:t>All 22 patients completed the full observation period of the trial, and CLS-TA was generally well tolerated. One patient experienced</w:t>
      </w:r>
      <w:r>
        <w:rPr>
          <w:rFonts w:ascii="Arial" w:cs="Arial" w:eastAsia="Arial" w:hAnsi="Arial"/>
          <w:sz w:val="17"/>
          <w:szCs w:val="17"/>
          <w:i w:val="1"/>
          <w:iCs w:val="1"/>
          <w:color w:val="auto"/>
        </w:rPr>
        <w:t xml:space="preserve"> </w:t>
      </w:r>
      <w:r>
        <w:rPr>
          <w:rFonts w:ascii="Arial" w:cs="Arial" w:eastAsia="Arial" w:hAnsi="Arial"/>
          <w:sz w:val="17"/>
          <w:szCs w:val="17"/>
          <w:color w:val="auto"/>
        </w:rPr>
        <w:t>atrial fibrillation, a condition that resolved in one day. The principal investigator considered this serious adverse event to be unrelated to the treatment, an assessment that was reviewed and approved by an independent medical monitor. There were no serious adverse events related to study treatment and no corticosteroid-related increases in IOP observed in this trial and none of the patients experienced cataracts.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Regulatory approval pathway</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the results from PEACHTREE, we intend to submit an NDA for CLS-TA for the treatment of patients with non-infectious uveitis by the end of 2018. We intend to utilize Section 505(b)(2) of the Food, Drug and Cosmetic Act, or FDCA. As part of our NDA submission under Section 505(b)(2), We intend to rely on the results from all of our clinical trials, as well as the FDA’s previous findings of safety and efficacy for TA and an analysis of available data from clinical literature, in our planned NDA submission.</w:t>
      </w:r>
    </w:p>
    <w:p>
      <w:pPr>
        <w:spacing w:after="0" w:line="18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are also evaluating a number of options for potential submissions to regulatory agencies in additional territories outside of the United States for CLS-TA for the treatment of patients with non-infectious uveitis. We intend to base any marketing applications in jurisdictions outside the United States, in part, on data obtained through these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CLS-TA for macular edema associated with retinal vein occlusion</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are developing CLS-TA for treatment of macular edema associated with RVO, a sight-threatening disorder resulting from the blockage of a retinal vein. In this program, we are using suprachoroidal CLS-TA together with intravitreal Eylea. We believe that we may provide a differentiated therapeutic benefit for RVO patients with our combination treatment that potentially couples the advantages of visual acuity gain and macular edema reduction along with a quarterly, rather than monthly, dosing schedule, compared to currently used intravitreal anti-VEGF injections alone.</w:t>
      </w:r>
    </w:p>
    <w:p>
      <w:pPr>
        <w:spacing w:after="0" w:line="17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completed a 46-patient Phase 2 clinical trial with suprachoroidal CLS-TA together with intravitreal Eylea for the treatment of macular edema associated with RVO. Based on feedback from a meeting with the FDA in late 2016, we initiated a Phase 3 clinical trial in the first quarter of 2017 and a second Phase 3 clinical trial in the first quarter of 2018.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TANZANITE</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completed a Phase 2 clinical trial in which the goal was to confirm that patients treated with suprachoroidal CLS-TA together with intravitreal Eylea would require less frequent treatments than monotherapy of intravitreal Eylea. We enrolled 46 patients at 14 sites in the United States in this trial. All patients in the trial were randomized to receive one intravitreal injection of 2.0 mg of Eylea, in a total volume of 50 microliters, and a single suprachoroidal injection of 4.0 mg of CLS-TA, in a total volume of 100 microliters, or one intravitreal injection of Eylea and a sham SCS procedure in the same visit. After randomization, patients were seen in the clinic once per month for three months. The 23 patients in each of the two treatment arms were evaluated for the need to receive additional intravitreal Eylea alone at months one, two and three after the initial injection using specified criteria to determine if they continued to experience macular edema or reductions in visual acuity, as determined by a masked, centralized reading center.</w:t>
      </w:r>
    </w:p>
    <w:p>
      <w:pPr>
        <w:spacing w:after="0" w:line="167" w:lineRule="exact"/>
        <w:rPr>
          <w:sz w:val="20"/>
          <w:szCs w:val="20"/>
          <w:color w:val="auto"/>
        </w:rPr>
      </w:pPr>
    </w:p>
    <w:p>
      <w:pPr>
        <w:jc w:val="both"/>
        <w:ind w:right="60" w:firstLine="518"/>
        <w:spacing w:after="0" w:line="297" w:lineRule="auto"/>
        <w:rPr>
          <w:sz w:val="20"/>
          <w:szCs w:val="20"/>
          <w:color w:val="auto"/>
        </w:rPr>
      </w:pPr>
      <w:r>
        <w:rPr>
          <w:rFonts w:ascii="Arial" w:cs="Arial" w:eastAsia="Arial" w:hAnsi="Arial"/>
          <w:sz w:val="16"/>
          <w:szCs w:val="16"/>
          <w:color w:val="auto"/>
        </w:rPr>
        <w:t>The primary objective of the trial was to evaluate the safety and efficacy of suprachoroidal CLS-TA together with intravitreal Eylea, compared to the control group initially receiving only intravitreal Eylea. The primary efficacy endpoint in the trial was determining the number of follow-up Eylea treatments for which patients met the criteria, which we believe provides an indication of whether concomitant therapy provides any advantage to the patient in reducing the number of required additional intravitreal Eylea treatments. Secondary efficacy endpoints included measures of change in BCVA and reductions in retinal thickness from baseline. The safety endpoints were the incidence of adverse events and serious adverse events, including increases in IOP.</w:t>
      </w:r>
    </w:p>
    <w:p>
      <w:pPr>
        <w:spacing w:after="0" w:line="15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For the primary endpoint, patients in the active arm, who initially received concomitant injections of CLS-TA into the SCS and Eylea into the vitreous, met the criteria for an aggregate of nine intravitreal Eylea follow-up injections over three months, while patients in the control arm, who initially received only intravitreal Eylea, met the criteria for an aggregate of 23 intravitreal Eylea follow-up injections. These results met the primary endpoint of the trial and were statistically significant, with a p-value of 0.013. In addition, based on a post-hoc analysis, 18 of the 23 patients, or 78%, in the active arm of the trial did not require additional treatments during the three-month trial compared to 7 of the 23 patients, or 30%, in the control arm, a result that was also statistically significant, with a p-value of 0.003. We also extended our evaluation of the patients who participated in the trial and did not receive any additional Eylea treatment during its initial three-month evaluation period to further assess the durability of suprachoroidal CLS-TA in combination with intravitreal Eylea for an additional six months following completion of the trial. Of the 32 eligible patients, the medical records of 31 patients were obtained for review. Based on combined data from the initial and extended evaluation periods, 17 of the 23 patients in the combination arm, or 74%, did not receive any additional treatment over the nine-month period, compared to only 4 of 23 patients, or 17%, in the control arm.</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For the BCVA secondary endpoint, patients in the active arm experienced greater improvement in visual acuity than those in the control arm, with patients in the active arm experiencing mean BCVA improvements at months one, two and three of 16, 20 and 19 letters, respectively, from a baseline of 49 letters, compared to improvements of 11, 12 and 11 letters, respectively, in the control arm, at the same time points and also from a baseline of 49 letters. The greater improvement in BCVA observed in the active arm, when compared to the control arm, of 4.7, 8.5 and 7.6 letters, was statistically significant at month two, but was not statistically significant at months one or three. For the retinal thickness endpoint, patients in the active arm had mean levels of reduction of approximately 450 microns after each of one, two and three months. Patients in the control arm achieved a mean reduction of approximately 400 microns after one month, which reduction then declined to approximately 340 microns at months two and three. The trial was not powered to show statistical significance on the secondary endpoints. There were no serious adverse events reported in the trial and the treatment was generally well tolerated. Based on these results, we believe that the combination of suprachoroidal CLS-TA and intravitreal Eylea may provide the benefits of improved visual acuity, reduced macular edema and reduced injection frequency.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also completed a Good Laboratory Practices, or GLP, toxicology study in rabbits with suprachoroidal CLS-TA together with intravitreal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Eylea.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SAPPHIRE AND TOPAZ</w:t>
      </w:r>
    </w:p>
    <w:p>
      <w:pPr>
        <w:spacing w:after="0" w:line="22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held an end-of-Phase 2 meeting with the FDA in the second half of 2016 to discuss the details of the regulatory approval pathway for CLS-TA along with Eylea for the treatment of macular edema associated with RVO. Incorporating feedback from the FDA, we expect to be able to follow a 505(b)(2) NDA regulatory approval pathway, and in the first quarter of 2017 we initiated a Phase 3 clinical program in order to support an NDA submission for CLS-TA in macular edema associated with RVO. In pursuing the 505(b)(2) regulatory pathway, we intend to rely on the results from our RVO development program as well as the FDA’s previous findings of safety and efficacy for both TA and anti-VEGF agents.</w:t>
      </w:r>
    </w:p>
    <w:p>
      <w:pPr>
        <w:spacing w:after="0" w:line="17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initiated our first randomized, controlled, double-masked Phase 3 clinical trial, SAPPHIRE, with suprachoroidal CLS-TA and intravitreal Eylea for the treatment of RVO in the first quarter of 2017. We intend to conduct this trial at approximately 150 investigational sites and to enroll approximately 460 patients with macular edema associated with RVO, randomized either to a treatment arm consisting of approximately 230 patients or a control arm consisting of approximately 230 patients. Patients in the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treatments of intravitreal Eylea alone every four weeks through week 24. After 24 weeks, patients will be followed for approximately an additional six months. The primary objective of this trial will be to determine the proportion of patients in each arm with a BCVA improvement of at least 15 letters from baseline at eight weeks after initial treatment. There will be several secondary efficacy and safety endpoints that will also be evaluated. We expect to report preliminary results from SAPPHIRE in the fourth quarter of 2018.</w:t>
      </w:r>
    </w:p>
    <w:p>
      <w:pPr>
        <w:spacing w:after="0" w:line="16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in the first quarter of 2018, we enrolled the first patient in a second Phase 3 clinical trial in patients with RVO, which we refer to as TOPAZ. We intend to enroll approximately 460 patients in TOPAZ, a multicenter, randomized, masked, controlled Phase 3 trial, to assess the efficacy and safety of suprachoroidal CLS-TA together with an intravitreal anti-VEGF agent, which will be either Lucentis or Avastin, in patients with RVO. Patients in the combination treatment arm will receive suprachoroidal CLS-TA together with the intravitreal anti-VEGF agent at the beginning of the trial, the intravitreal anti-VEGF agent alone at week 4, and suprachoroidal CLS-TA together with the intravitreal anti-VEGF agent at weeks 12 and 24. Patients in the control arm will receive the intravitreal anti-VEGF agent alone at the beginning of the trial and follow-up intravitreal anti-VEGF agent injections alone every four weeks through and including week 24. After 24 weeks, patients will be followed for approximately an additional six months with 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There will be several secondary efficacy and safety endpoints that will also be evaluated.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approval pathway</w:t>
      </w:r>
    </w:p>
    <w:p>
      <w:pPr>
        <w:spacing w:after="0" w:line="11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Depending on the results of SAPPHIRE and TOPAZ, we intend to seek regulatory approval of CLS-TA for macular edema associated with RVO by utilizing Section 505(b)(2) of the FDCA. We intend to rely on the results from all of our clinical trials, as well as the FDA’s previous findings of safety and efficacy for TA and an analysis of available data from clinical literature, in our planned NDA submission.</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also evaluating a number of options for potential submissions to regulatory agencies in additional territories outside of the United States for CLS-TA for the treatment of patients with non-infectious uveitis. We intend to base any marketing applications in jurisdictions outside the United States, in part, on data obtained through these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CLS-TA for diabetic macular edema</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are developing CLS-TA, alone or with an anti-VEGF agent, for treatment for DME, a common ocular complication of diabetes that results in swelling in the macula and is the primary cause of vision loss associated with diabetes.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HULK and TYBEE</w:t>
      </w:r>
    </w:p>
    <w:p>
      <w:pPr>
        <w:spacing w:after="0" w:line="225"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auto"/>
        </w:rPr>
        <w:t>Our development program for DME is modeled on our approach for the treatment of RVO. We have conducted a multi-center, open-label Phase 1/2 clinical trial, HULK, to evaluate safety data, and to collect efficacy observations, for the administration of CLS-TA, administered suprachoroidally, both alone and in combination with intravitreal Eylea, in patients with DME over a six-month evaluation period. We enrolled 20 patients in this trial. Efficacy observations included changes in retinal thickness and BCVA. In November 2017, we announced preliminary results from the HULK trial. In the trial, we observed a visual benefit for patients receiving CLS-TA, with a greater benefit in treatment naïve eyes. Anatomic improvement was observed in all treated eyes, with more than two-thirds of those eyes achieving a greater than 50% reduction in excess central retinal thickness based on monthly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right="340"/>
        <w:spacing w:after="0" w:line="264" w:lineRule="auto"/>
        <w:rPr>
          <w:sz w:val="20"/>
          <w:szCs w:val="20"/>
          <w:color w:val="auto"/>
        </w:rPr>
      </w:pPr>
      <w:r>
        <w:rPr>
          <w:rFonts w:ascii="Arial" w:cs="Arial" w:eastAsia="Arial" w:hAnsi="Arial"/>
          <w:sz w:val="18"/>
          <w:szCs w:val="18"/>
          <w:color w:val="auto"/>
        </w:rPr>
        <w:t>measurements through 6 months after initial treatment. In the treatment naïve group, 40% of patients did not require retreatment over the entire 6 months, with an additional 20% requiring only one retreatment. Suprachoroidal CLS-TA, including in patients who received as many as five injections, was well tolerated, with a low incidence of ocular side effects, including IOP elevations.</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in July 2017, we commenced a Phase 2 clinical trial, TYBEE, to evaluate the safety and efficacy of CLS-TA administered suprachoroidally together with intravitreal Eylea as compared to intravitreal Eylea only, in patients with DME over a nine-month evaluation period. We enrolled 71 patients in this trial. The primary endpoint is the change in BCVA from baseline. Patient follow-up in TYBEE is six months after initial treatment and we expect to report preliminary data in the second quarter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potential product candidates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believe that our SCS-focused approach has the potential to become more broadly used for the treatment of other back of the eye diseases, and we intend to develop additional product candidates for suprachoroidal injection based on the results of our current and planned clinical trials. We will then seek to secure appropriate regulatory authorizations to begin additional clinical testing for any such product candidates. In addition to uveitis, RVO and DME, there are a number of ophthalmic conditions affecting the retina and choroid with unmet medical need for which suprachoroidal injection of medication may be beneficial and for which we may seek marketing authorization, including:</w:t>
      </w:r>
    </w:p>
    <w:p>
      <w:pPr>
        <w:spacing w:after="0" w:line="80" w:lineRule="exact"/>
        <w:rPr>
          <w:sz w:val="20"/>
          <w:szCs w:val="20"/>
          <w:color w:val="auto"/>
        </w:rPr>
      </w:pPr>
    </w:p>
    <w:p>
      <w:pPr>
        <w:ind w:left="1040" w:right="3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Wet age-related macular degeneration</w:t>
      </w:r>
      <w:r>
        <w:rPr>
          <w:rFonts w:ascii="Arial" w:cs="Arial" w:eastAsia="Arial" w:hAnsi="Arial"/>
          <w:sz w:val="18"/>
          <w:szCs w:val="18"/>
          <w:color w:val="auto"/>
        </w:rPr>
        <w:t>, or wet AMD, a condition involving the abnormal formation and growth of new blood vessels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choroid, their intrusion into the outer layers of the retina and the leakage of blood and fluid into the retina;</w:t>
      </w:r>
    </w:p>
    <w:p>
      <w:pPr>
        <w:spacing w:after="0" w:line="62" w:lineRule="exact"/>
        <w:rPr>
          <w:rFonts w:ascii="Arial" w:cs="Arial" w:eastAsia="Arial" w:hAnsi="Arial"/>
          <w:sz w:val="18"/>
          <w:szCs w:val="18"/>
          <w:color w:val="auto"/>
        </w:rPr>
      </w:pPr>
    </w:p>
    <w:p>
      <w:pPr>
        <w:ind w:left="1040" w:right="14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Polypoidal choroidal vasculopathy</w:t>
      </w:r>
      <w:r>
        <w:rPr>
          <w:rFonts w:ascii="Arial" w:cs="Arial" w:eastAsia="Arial" w:hAnsi="Arial"/>
          <w:sz w:val="16"/>
          <w:szCs w:val="16"/>
          <w:color w:val="auto"/>
        </w:rPr>
        <w:t>, or PCV, a disorder resulting from the abnormal growth of new blood vessels in the choroid adjacent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macula. PCV is characterized by dilated and branching blood vessels in “polyp like” groups in the choroid that could lead to leakage;</w:t>
      </w:r>
    </w:p>
    <w:p>
      <w:pPr>
        <w:spacing w:after="0" w:line="15" w:lineRule="exact"/>
        <w:rPr>
          <w:rFonts w:ascii="Arial" w:cs="Arial" w:eastAsia="Arial" w:hAnsi="Arial"/>
          <w:sz w:val="16"/>
          <w:szCs w:val="16"/>
          <w:color w:val="auto"/>
        </w:rPr>
      </w:pPr>
    </w:p>
    <w:p>
      <w:pPr>
        <w:ind w:left="1040" w:right="36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Geographic atrophy</w:t>
      </w:r>
      <w:r>
        <w:rPr>
          <w:rFonts w:ascii="Arial" w:cs="Arial" w:eastAsia="Arial" w:hAnsi="Arial"/>
          <w:sz w:val="16"/>
          <w:szCs w:val="16"/>
          <w:color w:val="auto"/>
        </w:rPr>
        <w:t>, an advanced form of AMD, is characterized by a loss of the layers of cells in the retina next to the choroid, eventually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photoreceptor cells in the macula, leading to gradual irreversible loss of central vision and eventually blindness;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Pseudophakic cystoid macular edema</w:t>
      </w:r>
      <w:r>
        <w:rPr>
          <w:rFonts w:ascii="Arial" w:cs="Arial" w:eastAsia="Arial" w:hAnsi="Arial"/>
          <w:sz w:val="16"/>
          <w:szCs w:val="16"/>
          <w:color w:val="auto"/>
        </w:rPr>
        <w:t>, also known as Irvine-Gass syndrome, a common cause of visual impairment after cataract surgery.</w:t>
      </w:r>
    </w:p>
    <w:p>
      <w:pPr>
        <w:spacing w:after="0" w:line="24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evaluating the use of our SCS Microinjector to administer sustained-release formulations of known glaucoma drugs. Glaucoma is a progressive eye disease in which elevated levels of IOP are associated with damage to the optic nerve, which results in irreversible vision loss and potentially blindness. The National Eye Institute estimates that 2.7 million Americans suffered from glaucoma in 2010. Glaucoma is treated by the reduction of elevated IOP, which has been shown to slow the progression of vision loss. Once glaucoma develops, it is a chronic condition that requires life-long treatment. The treatment of glaucoma, if successful, would be through the suprachoroidal administration of latanoprost or other drugs known to lower elevated IOP associated with glaucoma.</w:t>
      </w:r>
    </w:p>
    <w:p>
      <w:pPr>
        <w:spacing w:after="0" w:line="193" w:lineRule="exact"/>
        <w:rPr>
          <w:sz w:val="20"/>
          <w:szCs w:val="20"/>
          <w:color w:val="auto"/>
        </w:rPr>
      </w:pPr>
    </w:p>
    <w:p>
      <w:pPr>
        <w:jc w:val="both"/>
        <w:ind w:right="180" w:firstLine="518"/>
        <w:spacing w:after="0" w:line="342" w:lineRule="auto"/>
        <w:rPr>
          <w:sz w:val="20"/>
          <w:szCs w:val="20"/>
          <w:color w:val="auto"/>
        </w:rPr>
      </w:pPr>
      <w:r>
        <w:rPr>
          <w:rFonts w:ascii="Arial" w:cs="Arial" w:eastAsia="Arial" w:hAnsi="Arial"/>
          <w:sz w:val="16"/>
          <w:szCs w:val="16"/>
          <w:color w:val="auto"/>
        </w:rPr>
        <w:t>We are also evaluating the potential use of our SCS Microinjector to inject sustained-release formulations of other ocular therapies. We believe these formulations could include hydrogels, emulsions and liposomes, as well as treatments containing agents such as hyaluronic acid or micro- or nanoparticles.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SCS Microinjector</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drug candidates have been and will be specifically formulated to be injected with our SCS Microinjector via suprachoroidal injection in order to spread around to the back of the eye. The single-use microinjector is intended to consistently inject drug into the SCS, in volumes similar to the amount of drug commonly used in intravitreal injections. If our products are approved for marketing by applicable regulatory authorities, we will package the drug along with the SCS Microinjector and two 30-gauge hollow microneedles of varying lengths, each less than 1.2 millimeters, within a custom-designed hub that optimizes insertion and suprachoroidal administration of drugs.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Our proprietary SCS Microinjector, shown below, can be used to inject a wide variety of drugs into the 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92075</wp:posOffset>
            </wp:positionV>
            <wp:extent cx="3310255" cy="2238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025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suprachoroidal injection is designed to be carried out perpendicular to the sclera, at a site similar to an intravitreal injection, under local anesthesia. Once the microneedle penetrates the sclera and reaches the SCS, the boundary between the sclera and the choroid, the open bevel of the needle releases the drug between these two layers. Once drug is injected into the SCS, it spreads within the SCS to the back of the eye, where diseases manifest. The preparation and injection will require minimal training for the administering retinal specialist and can be accomplished in an in-office setting.</w:t>
      </w:r>
    </w:p>
    <w:p>
      <w:pPr>
        <w:spacing w:after="0" w:line="154"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where the precise spatial location of the needle is not as important as when injecting into the SCS. Intravitreal injections are typically performed using a needle that is approximately five millimeters in length, or four times the length of our microneedle. Using a needle of this length, the physician penetrates past the sclera, choroid and retina until reaching the vitreous and does not receive any tactile feedback as to when the needle had reached one of the layers between the sclera and the vitreous. By contrast, our SCS Microinjector is designed to inject drug into the SCS.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do not own any manufacturing facilities. We utilize contract manufacturers to formulate and produce our drug candidates and to produce our SCS Microinjector used for our clinical trials. We procure the active pharmaceutical ingredient for our drugs from a third-party supplier. We expect to utilize third-party manufacturers to produce commercial quantities of our drugs and SCS Microinjector, if approved. We anticipate entering into commercial supply agreements with these or other manufacturers at a later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intend to develop and, if approved by the FDA, to commercialize our product candidates in the United States, and we may enter into distribution or licensing arrangements for commercialization rights for other regions. Our management team, who will lead the commercialization of our lead product candidates, has substantial experience in sales and marketing based on their participation in the commercialization of ophthalmic drugs at large pharmaceutical companies including Genentech, Alcon, Allergan, CIBA Vision and Novartis.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are approximately 1,900 uveitis and retina specialists in the United States. We believe we will be able to reach this concentrated set of specialists efficiently, limiting the size of our sales force and other field team members required.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governmental agencies and public and private research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institutions. Any product candidate that we successfully develop and commercialize will compete with existing therapies and new therapies that may become available in the future.</w:t>
      </w:r>
    </w:p>
    <w:p>
      <w:pPr>
        <w:spacing w:after="0" w:line="17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With respect to CLS-TA, we face competition from other commercially available forms of TA and other injectable and implantable corticosteroids. Bristol-Myers Squibb markets TA under the brand name Kenalog. Kenalog is indicated only for intramuscular or intraarticular injection; however, it is used off-label for intraocular inflammation.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or DME.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and received approval from the FDA to treat DME. Bausch + Lomb markets Retisert, an intravitreal implant of the corticosteroid fluocinolone acetonide for the treatment of non-infectious uveitis. Iluvien, an injectable form of fluocinolone acetonide marketed by Alimera Sciences, has been approved in both the United States and the European Union for the treatment of DME.</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Our product candidates will also compete with anti-VEGF drugs, which are the current standard of care for RVO, wet AMD and DME. Genentech’s products Lucentis and Avastin are both anti-VEGF antibodies. Lucentis is currently approved in the United States and European Union for the treatment of wet AMD, macular edema following RVO, DME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DME and diabetic retinopathy. In the European Union, Eylea is approved for the treatment of wet AMD, DME and RVO.</w:t>
      </w:r>
    </w:p>
    <w:p>
      <w:pPr>
        <w:spacing w:after="0" w:line="16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conducting clinical trials, obtaining regulatory approvals and marketing approved drugs than we do. These competitors also compete with us in recruiting and retaining qualified scientific and management personnel and establishing clinical trial sites and patient recruitment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may also obtain FDA or other regulatory approval for their drugs more rapidly than we may obtain approval for ours, which could result in our competitors establishing a strong market position before we are able to enter the market or obtaining FDA market exclusivity, thereby delaying our product approvals. Competitors’ patent protection could also potentially delay FDA approval of our product candidates for up to 30 months, and we will still be subject to potential patent litigation that might arise beyond the 30 months. The key competitive factors affecting the success of our product candidates, if approved for marketing, are likely to be their efficacy, safety, method of administration, convenience, price and the availability of coverage and reimbursement from government and other third-party payors.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patent estate, on a worldwide basis, includes 12 granted U.S. patents and three allowed U.S. applications broadly directed to methods of administering drugs into the SCS by injection, including one design patent. In addition, our patent estate includes 17 patent applications pending in the United States, 18 issued foreign patents, three pending international PCT applications and 37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five of the 12 issued U.S. patents, three pending U.S. applications, nine of the issued foreign patents, and eight foreign patent applications in major international markets, each relating to methods of delivering drugs to the eye by microneedle administration, pursuant to a license agreement with Georgia Tech Research Corporation and Emory University that is described below. With respect to the in-licensed international PCT applications, according to the terms of the license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non-infectious uveitis and RVO, wet AMD as well as DME and improvement of specified clinical parameters, are expected to expire between 2027 and 2037, without taking into account possible patent term adjustments or extensions.</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89" w:lineRule="exact"/>
        <w:rPr>
          <w:sz w:val="20"/>
          <w:szCs w:val="20"/>
          <w:color w:val="auto"/>
        </w:rPr>
      </w:pPr>
    </w:p>
    <w:p>
      <w:pPr>
        <w:jc w:val="both"/>
        <w:ind w:right="240" w:firstLine="518"/>
        <w:spacing w:after="0" w:line="259" w:lineRule="auto"/>
        <w:rPr>
          <w:sz w:val="20"/>
          <w:szCs w:val="20"/>
          <w:color w:val="auto"/>
        </w:rPr>
      </w:pPr>
      <w:r>
        <w:rPr>
          <w:rFonts w:ascii="Arial" w:cs="Arial" w:eastAsia="Arial" w:hAnsi="Arial"/>
          <w:sz w:val="18"/>
          <w:szCs w:val="18"/>
          <w:color w:val="auto"/>
        </w:rPr>
        <w:t>Our product candidates are protected against genericization through several levels of patents, including the patented approach of administration into the SCS. In the case of CLS-TA injected into the SCS, an applicant who files a paragraph 4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patent filings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and Georgia Tech</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July 2012, we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54"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Under this license agreement, we made an initial $30,000 upfront payment and a $35,000 milestone payment upon dosing of the first human patient in a clinical trial. This license agreement requires us to make a $75,000 milestone payment upon the occurrence of a specified event relating to the commercialization of a drug developed using the licensed patents. We are obligated to pay an annual license maintenance fee of $25,000, which will continue until the first commercial sale of a product covered by the licensed patents. Additionally, we will owe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6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may also terminate this license agreement in the event of a material breach by us. This license agreement will immediately terminate if we challenge the validity or enforceability of any of the licensed patents in a court or other governmental agency of competent jurisdiction.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option and license agreement with Spark Therapeutics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April 2015, we entered into a research, option and license agreement with Spark Therapeutics, Inc., or Spark, under which we granted Spark the option to license exclusive rights to our SCS Microinjector technology and related intellectual property for use in delivering gene therapies to the back of the eye. Under this agreement, we and Spark explored the feasibility of using our SCS Microinjector to deliver gene therapies to the choroid and the retina through the SCS for the treatment of several orphan diseases of the back of the eye.</w:t>
      </w:r>
    </w:p>
    <w:p>
      <w:pPr>
        <w:spacing w:after="0" w:line="18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Under the agreement, Spark made a $500,000 upfront payment to us. In February 2016, the initial study under the agreement was completed and Spark elected not to extend the arrangement or license the technology. Accordingly, the agreement expired in accordance with its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trade secrets and know-how</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trademark portfolio currently consists of one trademark registered in the European Union, one trademark registered in the European Union and New Zealand, and three pending U.S. trademark applications, as well as pending trademark applications in the European Union, Canada, Mexico, Brazil, Australia, China, India, Israel, Japan, New Zealand, Russia, Singapore, South Africa and South Korea.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employees. These and other agreements, such as invention assignment agreements, grant us ownership of technologies that are developed through a relationship with a third party.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the United States, the FDA regulates drug and device products under the FDCA and its implementing regulations. While it may be the case that when a drug and a device are used together, which is called a combination product, the FDA typically regulates the dispenser of a drug, such as a syringe co-packaged with a drug, as a drug itself. Based on our pre-IND meeting with the FDA, we believe that CLS-TA and our SCS Microinjector will be subject to regulation as drugs, as the SCS Microinjector used to dispense the drug will be packaged together with the CLS-TA.</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 We have been advised that, within CDER, the division responsible for ophthalmology, which will have primary jurisdiction, views our product candidate as a drug. Accordingly, we plan to investigate our products through the IND framework and seek approval through the NDA pathway. Based on our discussions with the FDA to date, we do not anticipate that the FDA will require changes to this approach, although the FDA could change its position during the course of its review of any marketing application that we may submit.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79"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GLP;</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trials commence;</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 or GCP;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might include an Advisory Committee review; and</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product is made to assess compliance with current Good Manufacturing Practices, or cGMPs.</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may nevertheless initiate a clinical hold after the 30 days if, for example, significant public health risks arise.</w:t>
      </w:r>
    </w:p>
    <w:p>
      <w:pPr>
        <w:spacing w:after="0" w:line="193"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Each clinical trial must be reviewed and approved by an independent institutional review board, or IRB, at each of the sites at which the trial will be conducted. The IRB will consider, among other things, ethical factors, the safety of human subjects and the possible liability of the institution.</w:t>
      </w:r>
    </w:p>
    <w:p>
      <w:pPr>
        <w:spacing w:after="0" w:line="14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Clinical trials are typically conducted in three sequential phases prior to approval, but the phases may overlap. These phases generally include the following:</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candidate is usually tested for safety, including adverse effects, dosage tolerance, absorption, distribution, metabolism, excretion and pharmacodynamics.</w:t>
      </w:r>
    </w:p>
    <w:p>
      <w:pPr>
        <w:spacing w:after="0" w:line="18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in limited cases. The FDA has substantial discretion in the approval process and may refuse to accept any application or decide that the data is insufficient for approval and require additional preclinical, clinical or other studies.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Once an NDA has been accepted for filing, which occurs, if at all, 60 days after submission, the FDA sets a user fee goal date that informs the applicant of the specific date by which the FDA intends to complete its review. The Company will be required to pay a user fee to the FDA to review the NDA, unless it receives a waiver or qualifies for an exemption. This is typically 10 months from the date of submission for drugs that are not new molecular entities, such as our product candidates. The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7"/>
          <w:szCs w:val="17"/>
          <w:color w:val="auto"/>
        </w:rPr>
        <w:t>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black box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a Complete Response Letter, detailing the deficiencies and information required for reconsideration of the application.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products and the establishments at which such products are manufactured, as well as new application fees for certain supplemental applications.</w:t>
      </w:r>
    </w:p>
    <w:p>
      <w:pPr>
        <w:spacing w:after="0" w:line="15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9"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0"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 including without limitation the FDCA, the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regulatory strategy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The FDA may also require companies to perform additional studies or measurements, including clinical trials, to support the change from the approved branded reference drug. The FDA may then approve the new product candidate for the new indication sought by the 505(b)(2) applicant.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seeking approval for a drug through an NDA, including a 505(b)(2) NDA, applicants are required to list with the FDA certain patents whose claims cover the applicant’s product. Upon approval of an NDA, each of the patents listed in the application for the 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80"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Even if the 45 days expire, a patent infringement lawsuit can be brought and could delay market entry, but it would not extend the FDA-related 30-month stay of approval.</w:t>
      </w:r>
    </w:p>
    <w:p>
      <w:pPr>
        <w:spacing w:after="0" w:line="15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Non-patent exclusivity</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70"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affecting fewer than 200,000 individuals in the United States, or in other limited cases. Orphan drug designation does not convey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180"/>
        <w:spacing w:after="0" w:line="312" w:lineRule="auto"/>
        <w:rPr>
          <w:sz w:val="20"/>
          <w:szCs w:val="20"/>
          <w:color w:val="auto"/>
        </w:rPr>
      </w:pPr>
      <w:r>
        <w:rPr>
          <w:rFonts w:ascii="Arial" w:cs="Arial" w:eastAsia="Arial" w:hAnsi="Arial"/>
          <w:sz w:val="16"/>
          <w:szCs w:val="16"/>
          <w:color w:val="auto"/>
        </w:rPr>
        <w:t>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4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7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do not plan to pursue orphan drug designation for CLS-TA for the treatment of non-infectious uveitis in the United States. However, we may seek designation for other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data privacy and security and transparency laws</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8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w:t>
      </w:r>
    </w:p>
    <w:p>
      <w:pPr>
        <w:spacing w:after="0" w:line="16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firstLine="518"/>
        <w:spacing w:after="0" w:line="27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civil False Claims Act also applies to false submissions that cause the government to be paid less than the amount to which it is entitled, such as a rebate. Intent to deceive is not required to establish liability under the civil False Claims Act. Several pharmaceutical, device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w:t>
      </w:r>
    </w:p>
    <w:p>
      <w:pPr>
        <w:spacing w:after="0" w:line="17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8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HIPAA, the U.S. Department of Health and Human Services, or HHS, has issued regulations to protect the privacy and security of protected health information used or disclosed by covered entities including health care providers.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its implementing regulations, including the omnibus final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New laws governing privacy may be adopted in the future as well. Failure to comply with privacy requirements could result in civil or criminal penalties, which could have a materially adverse effect on our business.</w:t>
      </w:r>
    </w:p>
    <w:p>
      <w:pPr>
        <w:spacing w:after="0" w:line="16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Additionally, there has been a recent trend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and teaching hospitals, as well as ownership and investment interests held by physicians and their family members. A manufacturer’s failure to submit timely, accurately and completely the required information for all payments, transfers of value or ownership or investment interests may result in civil monetary penalties of up to an aggregate of $165,786 per year, and up to an aggregate of $1,105,241 per year for “knowing failures.” Any failure to comply could result in significant fines and penalties. Certain states also mandate implementation of commercial compliance programs, impose restrictions on pharmaceutical manufacturer and device manufacturer marketing practices or require tracking and reporting of gifts, compensation and other remuneration to particular types of healthcare professionals and entities.</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260"/>
        <w:spacing w:after="0" w:line="272" w:lineRule="auto"/>
        <w:rPr>
          <w:sz w:val="20"/>
          <w:szCs w:val="20"/>
          <w:color w:val="auto"/>
        </w:rPr>
      </w:pPr>
      <w:r>
        <w:rPr>
          <w:rFonts w:ascii="Arial" w:cs="Arial" w:eastAsia="Arial" w:hAnsi="Arial"/>
          <w:sz w:val="17"/>
          <w:szCs w:val="17"/>
          <w:color w:val="auto"/>
        </w:rPr>
        <w:t>potentially significant criminal and civil and/or administrative penalties, damages, fines, disgorgement,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Additionally, there is no guarantee that these billing codes or the payment amounts, if any, associated with such codes will not change in the future.</w:t>
      </w:r>
    </w:p>
    <w:p>
      <w:pPr>
        <w:spacing w:after="0" w:line="16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strategy will include efforts to engage physician societies and encourage third-party payors to establish coverage, coding and payment that will facilitate access to our product candidates and SCS Microinjector as we expand our commercialization efforts in the United States. Our success in these efforts depends in part on the extent to which governmental authorities, private health insurers and other third-party payors provide coverage for and establish adequate reimbursement levels for the procedures during which our product candidates are administered and for the drugs themselves. Failure by physicians, hospitals, ambulatory surgery centers, and other users of our products to obtain sufficient coverage and reimbursement from healthcare payors for the procedures administering our product candidates or for the product candidates themselves, or adverse changes in government and private third-party payors’ policies would have a material adverse effect on our business, financial condition, results of operations and future growth prospects.</w:t>
      </w:r>
    </w:p>
    <w:p>
      <w:pPr>
        <w:spacing w:after="0" w:line="167" w:lineRule="exact"/>
        <w:rPr>
          <w:sz w:val="20"/>
          <w:szCs w:val="20"/>
          <w:color w:val="auto"/>
        </w:rPr>
      </w:pPr>
    </w:p>
    <w:p>
      <w:pPr>
        <w:ind w:right="760" w:firstLine="518"/>
        <w:spacing w:after="0" w:line="342" w:lineRule="auto"/>
        <w:rPr>
          <w:sz w:val="20"/>
          <w:szCs w:val="20"/>
          <w:color w:val="auto"/>
        </w:rPr>
      </w:pPr>
      <w:r>
        <w:rPr>
          <w:rFonts w:ascii="Arial" w:cs="Arial" w:eastAsia="Arial" w:hAnsi="Arial"/>
          <w:sz w:val="16"/>
          <w:szCs w:val="16"/>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24"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provided for a 0.5% annual increase in payment rates under the Medicare Physician Fee Schedule through 2019, but no annual update from 2020 through 2025. MACRA also introduced a quality payment program under which individual providers with Medicare billings of $30,000 or 100 patient visits per year will be subject to certain incentives or penalties based on new program quality standards. The quality payment program has two tracks, one known as the merit based incentive payment system for providers in the fee-for service Medicare program, and the advanced alternative payment model for providers in specific care models, such as accountable care organizations. Payment adjustments for the Medicare quality payment program will begin in 2019. At this time it is unclear how the introduction of the quality payment program will impact overall physician reimbursement under the Medicare program. Any changes in coverage and reimbursement that further restricts coverage of our products or lowers reimbursement for procedures using our products could materially affect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payors and providers are instituting and the effect of any healthcare reform initiative implemented in the future could significantly reduce our revenues from the sale of our products. However, we believe that the shift away from fee-for-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180"/>
        <w:spacing w:after="0" w:line="277" w:lineRule="auto"/>
        <w:rPr>
          <w:sz w:val="20"/>
          <w:szCs w:val="20"/>
          <w:color w:val="auto"/>
        </w:rPr>
      </w:pPr>
      <w:r>
        <w:rPr>
          <w:rFonts w:ascii="Arial" w:cs="Arial" w:eastAsia="Arial" w:hAnsi="Arial"/>
          <w:sz w:val="18"/>
          <w:szCs w:val="18"/>
          <w:color w:val="auto"/>
        </w:rPr>
        <w:t>service agreements to capitated payment models supports the value of our products, as we believe that our products reduce longitudinal resource utilization, which can be cost saving-for both payors and providers.</w:t>
      </w:r>
    </w:p>
    <w:p>
      <w:pPr>
        <w:spacing w:after="0" w:line="170"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70"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In addition, the Affordable Care Act implemented payment system reforms including a national pilot program on payment bundling to encourage hospitals, physicians and other providers to improve the coordination, quality and efficiency of certain healthcare services through bundled payment models. There have been judicial and Congressional challenges to certain aspects of the Affordable Care Act, as well as recent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BBA, among other things, amends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Congress could consider additional legislation to repeal or repeal and replace certain elements of the Affordable Care Act in the future.</w:t>
      </w:r>
    </w:p>
    <w:p>
      <w:pPr>
        <w:spacing w:after="0" w:line="398"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through 2027 unless additional Congressional action is taken.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of December 31, 2017, we had 34 full-time employees, all of whom are located in the United States. None of our employees is represented by a labor union or covered by a collective bargaining agreement. We consider our relationship with our employees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Segments</w:t>
      </w:r>
    </w:p>
    <w:p>
      <w:pPr>
        <w:spacing w:after="0" w:line="121" w:lineRule="exact"/>
        <w:rPr>
          <w:sz w:val="20"/>
          <w:szCs w:val="20"/>
          <w:color w:val="auto"/>
        </w:rPr>
      </w:pPr>
    </w:p>
    <w:p>
      <w:pPr>
        <w:ind w:right="820" w:firstLine="518"/>
        <w:spacing w:after="0" w:line="308" w:lineRule="auto"/>
        <w:rPr>
          <w:sz w:val="20"/>
          <w:szCs w:val="20"/>
          <w:color w:val="auto"/>
        </w:rPr>
      </w:pPr>
      <w:r>
        <w:rPr>
          <w:rFonts w:ascii="Arial" w:cs="Arial" w:eastAsia="Arial" w:hAnsi="Arial"/>
          <w:sz w:val="17"/>
          <w:szCs w:val="17"/>
          <w:color w:val="auto"/>
        </w:rPr>
        <w:t>We currently operate in a single business segment developing drug therapies to treat blinding diseases of the eye. See “Note 2—Significant Accounting Policies—Segment Information” to our financial statements contained in Part II, Item 8 of this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were incorporated under the laws of the State of Delaware in May 2011. Our principal executive offices are located at 900 North Point Parkway, Suite 200, Alpharetta, Georgia. Our telephone number is (678) 270-3631.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2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incurred net losses of $59.0 million, $25.9 million and $17.6 million for the years ended December 31, 2017, 2016 and 2015, respectively.</w:t>
      </w:r>
    </w:p>
    <w:p>
      <w:pPr>
        <w:spacing w:after="0" w:line="23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still in the early stages of development of our product candidates, and we have not completed development of any drugs.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and complete our ongoing and planned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drugs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 and</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planned future commercialization efforts.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drugs that generate significant revenue. This will require us to be successful in a range of challenging activities, including completing preclinical testing and clinical trials of our product candidates, obtaining regulatory approval and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3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believe that our existing cash, cash equivalents and short-term investments, including the net proceeds from the recent public offering of our common stock in March 2018, will enable us to fund our operating expenses and capital expenditure requirements for at least the next 12 months. However, we will need to obtain substantial additional funding in connection with our continuing operations. Our future capital requirements will depend on many factors, including:</w:t>
      </w:r>
    </w:p>
    <w:p>
      <w:pPr>
        <w:spacing w:after="0" w:line="7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and results of our ongoing, planned and future clinical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offerings, debt financings and potential collaboration, license and development agreements. We do not currently have any committed external source of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than our credit facility, although as described in this report we have also entered into an at-the-market sales facility that would allow us to sell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of our common stock at prevailing market prices and on specified terms, depending on market conditions. To the extent that we raise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 through the sale of equity or convertible debt securities, your ownership interest will be diluted, and the terms of these securities may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liquidation or other preferences that adversely affect your rights as a common stockholder. Debt financing and preferred equity financing, if available,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involve agreements that include covenants limiting or restricting our ability to take specific actions, such as incurring additional debt, making capital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expenditures or declaring dividends.</w:t>
      </w:r>
    </w:p>
    <w:p>
      <w:pPr>
        <w:spacing w:after="0" w:line="21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may make it difficult for you to evaluate the success of our business to date and to assess our future viability.</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commenced active operations in 2012, and our operations to date have been largely focused on raising capital, identifying potential product candidates, broadening our expertise in the development of our product candidates, including our SCS Microinjector, and undertaking preclinical studies and conducting early clinical trials. We have not yet demonstrated an ability to successfully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right="180"/>
        <w:spacing w:after="0" w:line="264" w:lineRule="auto"/>
        <w:rPr>
          <w:sz w:val="20"/>
          <w:szCs w:val="20"/>
          <w:color w:val="auto"/>
        </w:rPr>
      </w:pPr>
      <w:r>
        <w:rPr>
          <w:rFonts w:ascii="Arial" w:cs="Arial" w:eastAsia="Arial" w:hAnsi="Arial"/>
          <w:sz w:val="18"/>
          <w:szCs w:val="18"/>
          <w:color w:val="auto"/>
        </w:rPr>
        <w:t>complete multiple later-stage clinical trials, obtain regulatory approvals, manufacture a commercial scale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will need to transition at some point from a company with a research and development focus to a company capable of supporting commercial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such a transition.</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our indebtedness, which currently consists of our loan from Silicon Valley Bank and MidCap.</w:t>
      </w:r>
    </w:p>
    <w:p>
      <w:pPr>
        <w:spacing w:after="0" w:line="152"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have entered into an amended and restated loan and security agreement with Silicon Valley Bank, or SVB, and entities affiliated with MidCap Financial Services, which we refer to collectively as the Lenders, pursuant to which we have borrowed an aggregate of $8.0 million as of December 31, 2017. We can draw an additional $7.0 million until March 31, 2018. Our obligations under the loan agreement are secured by substantially all of our assets except for our intellectual property, and we may not encumber our intellectual property without the Lenders’ prior written consent. The amended and restated loan agreement contains negative covenants restricting our activities, including limitations on dispositions, mergers or acquisitions, incurring indebtedness or liens, paying dividends or making investments and other specified business transactions. Our obligations under the loan agreement are subject to acceleration upon the occurrence of specified events of default, including a material adverse change in our business, operations or financial or other condition. We were in compliance with these covenants as of December 31, 2017. We may also enter into other debt agreements in the future which may contain similar or more restrictive terms.</w:t>
      </w:r>
    </w:p>
    <w:p>
      <w:pPr>
        <w:spacing w:after="0" w:line="19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loan agreement could result in an event of default, which could result in an acceleration of amounts due under the loan agreement. We may not have sufficient funds or may be unable to arrange for additional financing to repay our indebtedness or to make any accelerated payments, and the Lenders could seek to enforce security interests in the collateral securing such indebtedness, which would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are focused on the development of product candidates for treatment of eye disease through suprachoroidal injection, which is a novel approach and may fail to achieve and sustain market acceptance.</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Injecting drugs into the SCS is a novel approach for ophthalmic therapies, and there is no guarantee this approach will provide adequate patient benefit or be accepted by physicians, patients or third-party payors. We believe we are the first and only company developing drugs specifically for suprachoroidal injection for potential treatment of eye diseases. The scientific evidence to support the feasibility of developing drugs based on this approach is both preliminary and limited. Although our clinical trial results suggest that suprachoroidal injection of drugs, such as CLS-TA, may be effective at treating back of the eye diseases, to date no company has developed a drug for suprachoroidal administration that has received marketing approval.</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Additionally, we have limited clinical experience in suprachoroidal drug injection. Therefore, we cannot guarantee that suprachoroidal injection of drugs will prove in our ongoing and future clinical trials to be a safe or effective approach for treating back of the eye diseases in humans, nor can we ensure that we will achieve regulatory approval for our product candidates, even if our clinical trials are successful.</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Even if we are able to achieve marketing approval for one of our product candidates, the novelty of suprachoroidal injection may make it difficult to demonstrate to physicians and third-party payors that suprachoroidal injection of our drugs is an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120"/>
        <w:spacing w:after="0" w:line="293" w:lineRule="auto"/>
        <w:rPr>
          <w:sz w:val="20"/>
          <w:szCs w:val="20"/>
          <w:color w:val="auto"/>
        </w:rPr>
      </w:pPr>
      <w:r>
        <w:rPr>
          <w:rFonts w:ascii="Arial" w:cs="Arial" w:eastAsia="Arial" w:hAnsi="Arial"/>
          <w:sz w:val="16"/>
          <w:szCs w:val="16"/>
          <w:color w:val="auto"/>
        </w:rPr>
        <w:t>approach for treating diseases such as non-infectious uveitis, RVO and DME and provides advantages compared to the current standards of care. Further, if we are not successful in conveying to physicians, patients and third-party payors that the suprachoroidal administration of our drug candidates with our proprietary SCS Microinjector provides useful patient outcomes, we may experience reluctance, or refusal, on the part of physicians to order and use, and third-party payors to cover and provide adequate payment for, our product candidates. Additionally, in some cases, our product candidates will complement the current standard of care, rather than serve as a replacement for the current standard of care. Therefore, we may encounter significant difficulty in gaining broad market acceptance by physicians, third-party payors and potential patients using CLS-TA and our other product candidates.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All of our product candidates are in clinical or preclinical development. If we are unable to obtain regulatory approval for and commercialize our product candidates or if we experience significant delays in doing so, our business may be harmed.</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Given our limited human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81" w:lineRule="exact"/>
        <w:rPr>
          <w:sz w:val="20"/>
          <w:szCs w:val="20"/>
          <w:color w:val="auto"/>
        </w:rPr>
      </w:pPr>
    </w:p>
    <w:p>
      <w:pPr>
        <w:jc w:val="both"/>
        <w:ind w:right="160" w:firstLine="518"/>
        <w:spacing w:after="0" w:line="297" w:lineRule="auto"/>
        <w:rPr>
          <w:sz w:val="20"/>
          <w:szCs w:val="20"/>
          <w:color w:val="auto"/>
        </w:rPr>
      </w:pPr>
      <w:r>
        <w:rPr>
          <w:rFonts w:ascii="Arial" w:cs="Arial" w:eastAsia="Arial" w:hAnsi="Arial"/>
          <w:sz w:val="16"/>
          <w:szCs w:val="16"/>
          <w:color w:val="auto"/>
        </w:rPr>
        <w:t>We have not completed the development of any product candidates, we currently generate no revenues from sales of any products and we may never be able to develop a marketable product. 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which we do not expect will occur for several years, if ever, will depend heavily on their successful development and eventual commercialization. The success of those product candidates will depend on several factors, including the following:</w:t>
      </w:r>
    </w:p>
    <w:p>
      <w:pPr>
        <w:spacing w:after="0" w:line="50"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performing preclinical studies and clinical trials in compliance with FDA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import sufficient quantity of product for trials or potential commercialization;</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training of physicians in the proper use of our SCS Microinjector;</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market our products for use with our SCS Microinjector without a requirement from the FDA that we obtain a separate medical device authorization;</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the therapies and of the concept of suprachoroidal injection of drugs, if and when approved, by physicians, patients and third-party payors;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drugs and our SCS Microinjector following approval.</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1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From time to time, we may publish interim, topline or preliminary data from our clinical studies, including the topline data from our Phase 3 PEACHTREE clinical trial published on March 5, 2018. Interim data from clinical trials are subject to the risk that one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40"/>
        <w:spacing w:after="0" w:line="279" w:lineRule="auto"/>
        <w:rPr>
          <w:sz w:val="20"/>
          <w:szCs w:val="20"/>
          <w:color w:val="auto"/>
        </w:rPr>
      </w:pPr>
      <w:r>
        <w:rPr>
          <w:rFonts w:ascii="Arial" w:cs="Arial" w:eastAsia="Arial" w:hAnsi="Arial"/>
          <w:sz w:val="17"/>
          <w:szCs w:val="17"/>
          <w:color w:val="auto"/>
        </w:rPr>
        <w:t>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prospects for obtaining regulatory approval of our product candidates.</w:t>
      </w:r>
    </w:p>
    <w:p>
      <w:pPr>
        <w:spacing w:after="0" w:line="2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administration of CLS-TA as a therapy together with an anti-VEGF drug for the treatment of macular edema associated with RVO is a novel approach and may fail to be successful.</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are developing CLS-TA as a therapy to complement the current standard of care in the treatment of patients experiencing macular edema associated with RVO, with a goal of reducing current required monthly anti-VEGF injections to quarterly injections. The scientific evidence to support the potential efficacy of this treatment approach is limited to our Phase 2 clinical trial results and, in addition based on third party clinical trials studying intravitreal injections of steroids in patients with RVO, which, although effective in reducing edema and improving visual outcomes, has been associated with side effects. While our clinical trial experience involving the suprachoroidal injection of TA suggests that these adverse side effects may be reduced using suprachoroidal injection, to date no other company has explored this specific concomitant treatment approach in clinical trials or preclinical studies.</w:t>
      </w:r>
    </w:p>
    <w:p>
      <w:pPr>
        <w:spacing w:after="0" w:line="165"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Even if we are able to successfully develop, and achieve marketing approval of, CLS-TA together with an anti-VEGF agent, for the treatment of macular edema associated with RVO, it may be difficult to demonstrate to physicians and third-party payors that the administration of CLS-TA concomitantly with anti-VEGF drugs, and the reduction in frequency of anti-VEGF treatments, is the appropriate approach for treating RVO and provides advantages over the current standard of care. Further, if we are not successful in conveying to physicians, patients and third-party payors that the administration of CLS-TA concomitantly with anti-VEGF drugs improves patient outcomes, we may experience reluctance, or refusal, on the part of physicians to order and use, and third-party payors to pay for, CLS-TA. Therefore, we may encounter significant difficulty in gaining broad market acceptance by physicians, third-party payors and potential patients using CLS-TA for the treatment of macular edema associated with RVO.</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revised the design of our SCS Microinjector following early-stage clinical trials and do not yet have significant experience with our SCS Microinjector in humans.</w:t>
      </w:r>
    </w:p>
    <w:p>
      <w:pPr>
        <w:spacing w:after="0" w:line="6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our preclinical studies and early clinical trials, we used several prototype iterations of the SCS Microinjector. We have since finalized the commercial design, which we have used in clinical trials since January 2017. We also plan to use this revised microinjector in our other ongoing and planned clinical trials. Accordingly, in addition to the risks associated with drug development, we are also subject to the risks associated with developing the microinjector. For example, in our Phase 1/2 clinical trial of CLS-TA for the treatment of macular edema associated with non-infectious uveitis, the needle of our earlier microinjector was not long enough to penetrate the scleras of two patients screened for the trial. If we encounter similar limitations with this design, or if it does not function properly in any way, we could be required to expend significant additional time and resources to redesign our microinjector, which would delay or compromise our drug development efforts. Additionally, our ability to successfully commercialize our product candidates will depend on uveitis and retina specialists being comfortable with the design and functionality of our microinjector. If, for any reason, these specialists were unsatisfied with the form or function of our microinjector, it would harm the market acceptance and potential commercial success of our product candidates, if any, that receive marketing approval.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be drugs that will receive marketing approval or achieve market acceptance. If we do not successfully develop and commercialize product candidates based upon our approach, we will not be able to obtain product revenue in future periods, which could significantly harm our financial position and adversely affect our stock price.</w:t>
      </w:r>
    </w:p>
    <w:p>
      <w:pPr>
        <w:spacing w:after="0" w:line="2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right="100"/>
        <w:spacing w:after="0" w:line="297" w:lineRule="auto"/>
        <w:rPr>
          <w:sz w:val="20"/>
          <w:szCs w:val="20"/>
          <w:color w:val="auto"/>
        </w:rPr>
      </w:pPr>
      <w:r>
        <w:rPr>
          <w:rFonts w:ascii="Arial" w:cs="Arial" w:eastAsia="Arial" w:hAnsi="Arial"/>
          <w:sz w:val="16"/>
          <w:szCs w:val="16"/>
          <w:color w:val="auto"/>
        </w:rPr>
        <w:t>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5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40" w:right="200" w:hanging="519"/>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5" w:lineRule="exact"/>
        <w:rPr>
          <w:rFonts w:ascii="Arial" w:cs="Arial" w:eastAsia="Arial" w:hAnsi="Arial"/>
          <w:sz w:val="16"/>
          <w:szCs w:val="16"/>
          <w:color w:val="auto"/>
        </w:rPr>
      </w:pPr>
    </w:p>
    <w:p>
      <w:pPr>
        <w:ind w:left="1040" w:right="18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have relatively limited experience enrolling patients in our clinical trials, and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70"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2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We expect to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300"/>
        <w:spacing w:after="0" w:line="277" w:lineRule="auto"/>
        <w:rPr>
          <w:sz w:val="20"/>
          <w:szCs w:val="20"/>
          <w:color w:val="auto"/>
        </w:rPr>
      </w:pPr>
      <w:r>
        <w:rPr>
          <w:rFonts w:ascii="Arial" w:cs="Arial" w:eastAsia="Arial" w:hAnsi="Arial"/>
          <w:sz w:val="18"/>
          <w:szCs w:val="18"/>
          <w:color w:val="auto"/>
        </w:rPr>
        <w:t>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CLS-TA or our other current or future product candidates.</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CLS-TA and our SCS Microinjector for preclinical and clinical testing and expect to continue to do so for commercialization. This reliance on third parties increases the risk that we will not have sufficient quantities of CLS-TA and our SCS Microinjector or such quantities at an acceptable cost, which could delay, prevent or impair our development or commercialization efforts.</w:t>
      </w:r>
    </w:p>
    <w:p>
      <w:pPr>
        <w:spacing w:after="0" w:line="39"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We do not have any manufacturing facilities or personnel. We currently procure the active pharmaceutical ingredient in CLS-TA on a purchase order basis from a third-party manufacturer, and we anticipate entering into commercial supply agreements with this or another manufacturer at a later date. In addition, we obtain each of the components of our SCS Microinjector on a purchase order basis from third-party suppliers. Some of our current suppliers are based outside of the United States. We expect to continue to rely on third parties as we proceed with preclinical and clinical testing using CLS-TA with our SCS Microinjector, as well as for commercial manufacture, if any of our product candidates receives marketing approval. This reliance on third parties increases the risk that we will not have sufficient quantities of CLS-TA and our SCS Microinjector or such quantities at an acceptable cost or quality, which could delay, prevent or impair our ability to timely conduct our clinical trials or our other development or commercialization efforts.</w:t>
      </w:r>
    </w:p>
    <w:p>
      <w:pPr>
        <w:spacing w:after="0" w:line="16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also expect to rely on third-party manufacturers or collaborators for the manufacture of commercial supply of any other product candidates for which we obtain marketing approval. We may be unable to establish any agreements with third-party manufacturers or collaborators or to do so on acceptable terms.</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Even if we are able to establish agreements with third-party manufacturers or collaborators, reliance on third-party manufacturers or collaborators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5" w:name="page36"/>
    <w:bookmarkEnd w:id="35"/>
    <w:p>
      <w:pPr>
        <w:ind w:right="160" w:firstLine="518"/>
        <w:spacing w:after="0" w:line="291" w:lineRule="auto"/>
        <w:rPr>
          <w:sz w:val="20"/>
          <w:szCs w:val="20"/>
          <w:color w:val="auto"/>
        </w:rPr>
      </w:pPr>
      <w:r>
        <w:rPr>
          <w:rFonts w:ascii="Arial" w:cs="Arial" w:eastAsia="Arial" w:hAnsi="Arial"/>
          <w:sz w:val="16"/>
          <w:szCs w:val="16"/>
          <w:color w:val="auto"/>
        </w:rPr>
        <w:t>Our product candidates, including our proprietary drug formulations packaged together with our SCS Microinjector, are regulated under the drug regulations of the Federal Food, Drug, and Cosmetic Act, or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167"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active pharmaceutical ingredient used in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9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compromise our future profit margins and our ability to commercialize any product candidates that receive marketing approval on a timely and competitive basis.</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may seek third-party collaborators for the development and commercialization of our product candidates, particularly for the commercialization of any of our product candidates that are approved for marketing outside the United States or for product candidates targeted at larger indications in the United States such as DME. Our likely collaborators for any collaboration arrangements include large and mid-size pharmaceutical companies, regional and national pharmaceutical companies and biotechnology companies. Our ability to generate revenues from these arrangements will depend on our collaborators’ abilities to successfully perform the functions assigned to them in these arrangements.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40" w:right="40" w:hanging="519"/>
        <w:spacing w:after="0" w:line="286"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1040" w:right="62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40" w:right="40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73"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left="1040" w:right="38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40" w:right="3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some of our future development and commercialization plans.</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8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we may not be successful in commercializing those product candidates, if and when they are approved.</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drugs or medical devices. To achieve commercial success for any product candidate for which we may obtain marketing approval in the United States, we will need to establish a sales and marketing organization. In the future, we expect to build a focused sales and marketing infrastructure to target the approximately 1,900 uveitis and retina specialists in the United States for any of our product candidates that receive marketing approval.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60"/>
        <w:spacing w:after="0" w:line="277" w:lineRule="auto"/>
        <w:rPr>
          <w:sz w:val="20"/>
          <w:szCs w:val="20"/>
          <w:color w:val="auto"/>
        </w:rPr>
      </w:pPr>
      <w:r>
        <w:rPr>
          <w:rFonts w:ascii="Arial" w:cs="Arial" w:eastAsia="Arial" w:hAnsi="Arial"/>
          <w:sz w:val="18"/>
          <w:szCs w:val="18"/>
          <w:color w:val="auto"/>
        </w:rPr>
        <w:t>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compared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instead, enter into arrangements with third parties to perform these services, our product revenues and our profitability, if any, are likely to be lower than if we were to sell, market and distribute any product candidates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our product candidates.</w:t>
      </w:r>
    </w:p>
    <w:p>
      <w:pPr>
        <w:spacing w:after="0" w:line="2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our product candidates do not achieve an adequate level of market acceptance, we may not generate significant product revenue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the healthcare community and patients to adopt new technologies and our novel approach of SCS injection of drugs;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uveitis and retina specialists to expend the time necessary to receive proper training on injecting drugs into the SCS using our SCS Microinjector;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36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1"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With respect to CLS-TA, we face competition from other commercially available forms of TA and other injectable and implantable corticosteroids. Bristol-Myers Squibb markets TA under the brand name Kenalog. Kenalog is indicated only for intramuscular or intraarticular injection; however, it is commonly used off-label for intraocular inflammation.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or for the treatment of DME. Ozurdex, marketed by Allergan, is a bioerodable extended release implant that delivers the corticosteroid dexamethasone and is approved for the treatment of non-infectious uveitis affecting the back of the eye and RVO in both the United States and in the European Union, and recently received approval from the FDA to treat DME in adult patients who have an artificial lens implant or who are scheduled for cataract surgery. Bausch + Lomb markets Retisert, an intravitreal implant of corticosteroid fluocinolone acetonide, for the treatment of non-infectious uveitis. Iluvien, marketed by Alimera Sciences, is a fluocinolone acetonide implant and is approved for the treatment of DME in both the United States and the European Union.</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product candidates will also compete with anti-VEGF drugs, which are the current standard of care for RVO and wet AMD and have also been approved for DME. Genentech’s products Lucentis and Avastin are both anti-VEGF antibodies. Lucentis is currently approved in the United States and European Union for the treatment of wet AMD, macular edema associated with RVO and DME. Avastin is an anti-VEGF drug used off-label by uveitis and retina specialists in both the United States and in certain countries of the European Union in the treatment of numerous retinal diseases, but it is not indicated for ophthalmic use. Regeneron’s anti-VEGF product, Eylea, is approved for the treatment of wet AMD, macular edema associated with RVO and DME and diabetic retinopathy in the United States. In the European Union, Eylea is approved for the treatment of wet AMD, DME and macular edema secondary to RVO.</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8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our product candidates may be subject to unfavorable pricing regulations, third-party coverage and reimbursement policies or healthcare reform initiatives.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right="60"/>
        <w:spacing w:after="0" w:line="297" w:lineRule="auto"/>
        <w:rPr>
          <w:sz w:val="20"/>
          <w:szCs w:val="20"/>
          <w:color w:val="auto"/>
        </w:rPr>
      </w:pPr>
      <w:r>
        <w:rPr>
          <w:rFonts w:ascii="Arial" w:cs="Arial" w:eastAsia="Arial" w:hAnsi="Arial"/>
          <w:sz w:val="16"/>
          <w:szCs w:val="16"/>
          <w:color w:val="auto"/>
        </w:rPr>
        <w:t>may not be available for any product that we commercialize and, even if these are available, the level of reimbursement may not be satisfactory. Inadequate reimbursement levels may adversely affect the demand for, or the price of, any product candidate for which we obtain marketing approval. Obtaining and maintaining adequate reimbursement for our drugs may be difficult. We may be required to conduct expensive pharmacoeconomic studies to justify coverage and reimbursement or the level of reimbursement compared to other therapies. If coverage and adequate reimbursement are not available or reimbursement is available only to limited levels, we may not be able to successfully commercialize any product candidates for which marketing approval is obtained.</w:t>
      </w:r>
    </w:p>
    <w:p>
      <w:pPr>
        <w:spacing w:after="0" w:line="15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69"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provided for a 0.5% annual increase in payment rates under the Medicare Physician Fee Schedule through 2019, but no annual update from 2020 through 2025. MACRA also introduced a quality payment program under which individual providers with Medicare billings of $30,000 or 100 patient visits per year will be subject to certain incentives or penalties based on new program quality standards. The quality payment program has two tracks, one known as the merit based incentive payment system for providers in the fee-for service Medicare program, and the advanced alternative payment model for providers in specific care models, such as accountable care organizations. Payment adjustments for the Medicare quality payment program will begin in 2019. At this time it is unclear how the introduction of the quality payment program will impact overall physician reimbursement under the Medicare program.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7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8"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Additionally, there is no guarantee that these billing codes or the payment amounts, if any, associated with such codes will not change in the future.</w:t>
      </w:r>
    </w:p>
    <w:p>
      <w:pPr>
        <w:spacing w:after="0" w:line="16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20"/>
        <w:spacing w:after="0" w:line="271" w:lineRule="auto"/>
        <w:rPr>
          <w:sz w:val="20"/>
          <w:szCs w:val="20"/>
          <w:color w:val="auto"/>
        </w:rPr>
      </w:pPr>
      <w:r>
        <w:rPr>
          <w:rFonts w:ascii="Arial" w:cs="Arial" w:eastAsia="Arial" w:hAnsi="Arial"/>
          <w:sz w:val="17"/>
          <w:szCs w:val="17"/>
          <w:color w:val="auto"/>
        </w:rPr>
        <w:t>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drugs that we develop could significantly harm our operating results, our ability to raise capital needed to commercialize drugs and our overall financial condition.</w:t>
      </w:r>
    </w:p>
    <w:p>
      <w:pPr>
        <w:spacing w:after="0" w:line="17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Daniel White, our Chief Executive Officer, Charlie Deignan, our Chief Financial Officer, and Glenn Noronha, our Chief Scientific Officer, as well as the other members of our scientific and clinical teams. Although we have entered into employment agreements with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1" w:name="page42"/>
    <w:bookmarkEnd w:id="41"/>
    <w:p>
      <w:pPr>
        <w:ind w:right="740"/>
        <w:spacing w:after="0" w:line="277" w:lineRule="auto"/>
        <w:rPr>
          <w:sz w:val="20"/>
          <w:szCs w:val="20"/>
          <w:color w:val="auto"/>
        </w:rPr>
      </w:pPr>
      <w:r>
        <w:rPr>
          <w:rFonts w:ascii="Arial" w:cs="Arial" w:eastAsia="Arial" w:hAnsi="Arial"/>
          <w:sz w:val="18"/>
          <w:szCs w:val="18"/>
          <w:color w:val="auto"/>
        </w:rPr>
        <w:t>our executive officers, each of them may terminate their employment with us at any time. We do not maintain “key person” insurance for any of our executives or employees.</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As of December 31, 2017, we had 34 full-time employees. As our development progresses, we expect to experience significant growth in the number of our employees and the scope of our operations, particularly in the areas of research,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material computer system failures or security breaches.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System failures, accidents or security breaches could result in a material disruption of our clinical and product development activities and business operations, in addition to possibly requiring substantial expenditures of resources to remedy. For example, the loss of clinical trial data from completed or ongoing clinical trials could result in delays in our regulatory approval efforts and significantly increase our costs to recover or reproduce the data. To the extent that any disruption or security breach was to result in a loss or damage to our data or applications, or inappropriate disclosure of confidential or proprietary information, we could incur significant unexpected losses, expenses and liabilities, we could face litigation or suffer reputational harm and the further development of our product candidates could be delayed.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3"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right="420"/>
        <w:spacing w:after="0" w:line="277" w:lineRule="auto"/>
        <w:rPr>
          <w:sz w:val="20"/>
          <w:szCs w:val="20"/>
          <w:color w:val="auto"/>
        </w:rPr>
      </w:pPr>
      <w:r>
        <w:rPr>
          <w:rFonts w:ascii="Arial" w:cs="Arial" w:eastAsia="Arial" w:hAnsi="Arial"/>
          <w:sz w:val="18"/>
          <w:szCs w:val="18"/>
          <w:color w:val="auto"/>
        </w:rPr>
        <w:t>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70"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78"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6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3" w:name="page44"/>
    <w:bookmarkEnd w:id="43"/>
    <w:p>
      <w:pPr>
        <w:ind w:right="360"/>
        <w:spacing w:after="0" w:line="277" w:lineRule="auto"/>
        <w:rPr>
          <w:sz w:val="20"/>
          <w:szCs w:val="20"/>
          <w:color w:val="auto"/>
        </w:rPr>
      </w:pPr>
      <w:r>
        <w:rPr>
          <w:rFonts w:ascii="Arial" w:cs="Arial" w:eastAsia="Arial" w:hAnsi="Arial"/>
          <w:sz w:val="18"/>
          <w:szCs w:val="18"/>
          <w:color w:val="auto"/>
        </w:rPr>
        <w:t>technology. An adverse result in any litigation proceeding could put one or more of our patents at risk of being invalidated or interpreted narrowly, which would undermine our competitive position.</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6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7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right="1040"/>
        <w:spacing w:after="0" w:line="27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7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expect to rely on trademarks as one means to distinguish any of our product candidates that are approved for marketing from the products of our competitors. Other than the trade name Zuprata, which we previously sought to, but no longer plan to, use as the trade name for CLS-TA,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20" w:firstLine="518"/>
        <w:spacing w:after="0" w:line="289" w:lineRule="auto"/>
        <w:rPr>
          <w:sz w:val="20"/>
          <w:szCs w:val="20"/>
          <w:color w:val="auto"/>
        </w:rPr>
      </w:pPr>
      <w:r>
        <w:rPr>
          <w:rFonts w:ascii="Arial" w:cs="Arial" w:eastAsia="Arial" w:hAnsi="Arial"/>
          <w:sz w:val="16"/>
          <w:szCs w:val="16"/>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firstLine="518"/>
        <w:spacing w:after="0" w:line="257"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6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Section 505(b)(2) regulatory approval pathway, or if the requirements under Section 505(b)(2) are not as we expect, the approval pathway for our product candidates will likely take significantly longer, cost significantly more and entail significantly greater complications and risks than anticipated, and in either case may not be successful.</w:t>
      </w:r>
    </w:p>
    <w:p>
      <w:pPr>
        <w:spacing w:after="0" w:line="2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intend to seek FDA approval through the Section 505(b)(2) regulatory pathway for CLS-TA and may pursue that pathway for our other product candidates.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9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line="279" w:lineRule="auto"/>
        <w:rPr>
          <w:sz w:val="20"/>
          <w:szCs w:val="20"/>
          <w:color w:val="auto"/>
        </w:rPr>
      </w:pPr>
      <w:r>
        <w:rPr>
          <w:rFonts w:ascii="Arial" w:cs="Arial" w:eastAsia="Arial" w:hAnsi="Arial"/>
          <w:sz w:val="17"/>
          <w:szCs w:val="17"/>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7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of the complexity involved with co-packaging a drug with a dispensing device.</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Our product candidates require coordination within the FDA and similar foreign regulatory agencies for review of their drug along with the co-packaged SCS Microinjector. Although the FDA and similar foreign regulatory agencies have systems in place for the review and approval of co-packaged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affect our business.</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left="1040" w:right="5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3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False Claims Act, as well as state consumer protection laws.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62"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or withdrawal of the drugs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alerts;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300" w:firstLine="518"/>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though we have received orphan drug designation in the European Union for CLS-TA for the treatment of non-infectious uveitis, we may not be able to obtain orphan drug marketing exclusivity for this product candidate.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We have received orphan drug designation from the EMA for CLS-TA for the treatment of macular edema associated with non-infectious uveitis, and we may seek orphan drug designation from the FDA or EMA for our future drug candidates. However, we do not plan to pursue orphan drug designation from the FDA for this product candidate.</w:t>
      </w:r>
    </w:p>
    <w:p>
      <w:pPr>
        <w:spacing w:after="0" w:line="18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for CLS-TA even if we receive marketing authorization for CLS-TA in Europe.</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individual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both"/>
        <w:ind w:right="220"/>
        <w:spacing w:after="0" w:line="31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39"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59" w:lineRule="exact"/>
        <w:rPr>
          <w:sz w:val="20"/>
          <w:szCs w:val="20"/>
          <w:color w:val="auto"/>
        </w:rPr>
      </w:pPr>
    </w:p>
    <w:p>
      <w:pPr>
        <w:ind w:left="1040" w:right="4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8" w:lineRule="exact"/>
        <w:rPr>
          <w:rFonts w:ascii="Arial" w:cs="Arial" w:eastAsia="Arial" w:hAnsi="Arial"/>
          <w:sz w:val="18"/>
          <w:szCs w:val="18"/>
          <w:color w:val="auto"/>
        </w:rPr>
      </w:pPr>
    </w:p>
    <w:p>
      <w:pPr>
        <w:ind w:left="1040" w:right="120" w:hanging="519"/>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limitations, the federal civil False Claims Act, which impose criminal and civil penalties, including through civil whistleblower or qui tam actions, against individuals or entities for,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80"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3" w:lineRule="exact"/>
        <w:rPr>
          <w:rFonts w:ascii="Arial" w:cs="Arial" w:eastAsia="Arial" w:hAnsi="Arial"/>
          <w:sz w:val="18"/>
          <w:szCs w:val="18"/>
          <w:color w:val="auto"/>
        </w:rPr>
      </w:pPr>
    </w:p>
    <w:p>
      <w:pPr>
        <w:ind w:left="1040" w:right="20" w:hanging="519"/>
        <w:spacing w:after="0" w:line="293"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56" w:lineRule="exact"/>
        <w:rPr>
          <w:rFonts w:ascii="Arial" w:cs="Arial" w:eastAsia="Arial" w:hAnsi="Arial"/>
          <w:sz w:val="16"/>
          <w:szCs w:val="16"/>
          <w:color w:val="auto"/>
        </w:rPr>
      </w:pPr>
    </w:p>
    <w:p>
      <w:pPr>
        <w:ind w:left="1040" w:right="8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Section 6002 of the Affordable Care Act, imposed annual reporting requirements for certain manufacturers of drugs, devices, biologics and medical supplies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$165,786 per year and up to an aggregate of $1,105,241 per year for “knowing failures,” for an aggregate potential annual liability of $1,271,027; and</w:t>
      </w:r>
    </w:p>
    <w:p>
      <w:pPr>
        <w:spacing w:after="0" w:line="85" w:lineRule="exact"/>
        <w:rPr>
          <w:rFonts w:ascii="Arial" w:cs="Arial" w:eastAsia="Arial" w:hAnsi="Arial"/>
          <w:sz w:val="18"/>
          <w:szCs w:val="18"/>
          <w:color w:val="auto"/>
        </w:rPr>
      </w:pPr>
    </w:p>
    <w:p>
      <w:pPr>
        <w:ind w:left="1040" w:right="140" w:hanging="519"/>
        <w:spacing w:after="0" w:line="293"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left="1040" w:right="400"/>
        <w:spacing w:after="0" w:line="308" w:lineRule="auto"/>
        <w:rPr>
          <w:sz w:val="20"/>
          <w:szCs w:val="20"/>
          <w:color w:val="auto"/>
        </w:rPr>
      </w:pPr>
      <w:r>
        <w:rPr>
          <w:rFonts w:ascii="Arial" w:cs="Arial" w:eastAsia="Arial" w:hAnsi="Arial"/>
          <w:sz w:val="17"/>
          <w:szCs w:val="17"/>
          <w:color w:val="auto"/>
        </w:rPr>
        <w:t>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7"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or administrative sanctions, including exclusions from participation in government healthcare programs, which could also affect our business.</w:t>
      </w:r>
    </w:p>
    <w:p>
      <w:pPr>
        <w:spacing w:after="0" w:line="2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and drug and device combination products, which, under subsequent legislation, is suspended from January 1, 2016 to December 31, 2018, and, absent further legislative action, will be reinstated starting January 1, 2019;</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(and 70% starting January 1,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left="1040" w:right="3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There have been judicial and congressional challenges to certain aspects of the Affordable Care Act, as well as recent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Affordable Care Act-mandated fees, including the so-called “Cadillac” tax on certain high cost employer-sponsored insurance plans and the annual fee imposed on certain health insurance providers based on market share. Further, the Bipartisan Budget Act of 2018, or BBA, among other things, amends the Affordable Care Act, effective January 1, 2019, to close the coverage gap in most Medicare drug plans, commonly referred to as the “donut hole”. Congress could consider additional legislation to repeal or repeal and replace certain elements of the Affordable Care Act. We continue to evaluate the potential impact of the Affordable Care Act and its possible repeal or replacement on our business.</w:t>
      </w:r>
    </w:p>
    <w:p>
      <w:pPr>
        <w:spacing w:after="0" w:line="185"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2027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7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3"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color w:val="auto"/>
        </w:rPr>
        <w:t>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117" w:lineRule="exact"/>
        <w:rPr>
          <w:sz w:val="20"/>
          <w:szCs w:val="20"/>
          <w:color w:val="auto"/>
        </w:rPr>
      </w:pPr>
    </w:p>
    <w:p>
      <w:pPr>
        <w:jc w:val="both"/>
        <w:ind w:right="60" w:firstLine="518"/>
        <w:spacing w:after="0" w:line="276"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On December 22, 2017, President Trump signed into law new legislation that significantly revises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460"/>
        <w:spacing w:after="0" w:line="259" w:lineRule="auto"/>
        <w:rPr>
          <w:sz w:val="20"/>
          <w:szCs w:val="20"/>
          <w:color w:val="auto"/>
        </w:rPr>
      </w:pPr>
      <w:r>
        <w:rPr>
          <w:rFonts w:ascii="Arial" w:cs="Arial" w:eastAsia="Arial" w:hAnsi="Arial"/>
          <w:sz w:val="18"/>
          <w:szCs w:val="18"/>
          <w:color w:val="auto"/>
        </w:rPr>
        <w:t>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As of December 31, 2017, we had approximately $116.3 million of federal and $79.1 million of state net operating loss, or NOL, carryforwards. If not utilized, these federal NOL carryforwards will begin to expire at various dates beginning in 2031, and these state NOL carryforwards will begin to expire at various dates beginning in 2027.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However, under Section 382 of the U.S. Internal Revenue Code of 1986, as amended, as interpreted by the U.S. Internal Revenue Service, the amount of benefits from our NOL carryforwards may be impaired or limited if we incur a cumulative ownership change of more than 50% over a three-year period. The completion of our IPO, recent follow-on public offering[s], private placements and other transactions that have occurred, and future offerings of our securities may trigger, or may have already triggered, such an ownership change. In addition, since we will need to raise substantial additional funding to finance our operations, we may undergo further ownership changes in the future. We have not conducted an analysis as to whether such a change of ownership has occurred, but if such a change has occurred or occurs in the future, we will be limited regarding the amount of NOL carryforwards that can be utilized annually in the future to offset taxable income. Any such annual limitation may significantly reduce the value of our NOL carryforwards before they expire, which could result in greater tax liabilities than we would incur in the absence of such a limitation.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develop or be sustained.</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Prior to June 2, 2016, there was no public market for our common stock, and we cannot assure you that an active trading market will continue to develop or be sustained. If an active market for our common stock does not continue to develop or be sustained, it may be difficult for you to sell your shares without depressing the market price for your shares or to sell your shares at all.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purchasers of our common stock could incur substantial losses.</w:t>
      </w:r>
    </w:p>
    <w:p>
      <w:pPr>
        <w:spacing w:after="0" w:line="1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stock price has been and may continue to be volatile. Since our IPO, our common stock has traded at prices between $5.30 and $25.08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ind w:right="340" w:firstLine="518"/>
        <w:spacing w:after="0" w:line="264"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certificate of incorporation authorizes us to issue up to 100,000,000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we have filed registration statements on Form S-8 registering the issuance of approximately 4.5 million shares of common stock subject to options or other equity awards issued or reserved for future issuance under our equity incentive plans. These registered shares will be available for sale in the public market subject to vesting arrangements and exercise of options, the lock-up agreements described above and, in the case of our affiliates, the restrictions of Rule 144.</w:t>
      </w:r>
    </w:p>
    <w:p>
      <w:pPr>
        <w:spacing w:after="0" w:line="18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Additionally, some of the holders of our common stock who acquired their shares prior to the IPO,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80" w:lineRule="exact"/>
        <w:rPr>
          <w:sz w:val="20"/>
          <w:szCs w:val="20"/>
          <w:color w:val="auto"/>
        </w:rPr>
      </w:pPr>
    </w:p>
    <w:p>
      <w:pPr>
        <w:ind w:right="100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48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one of our three classes of directors are elected each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73" w:lineRule="exact"/>
        <w:rPr>
          <w:sz w:val="20"/>
          <w:szCs w:val="20"/>
          <w:color w:val="auto"/>
        </w:rPr>
      </w:pPr>
    </w:p>
    <w:p>
      <w:pPr>
        <w:ind w:left="1040" w:right="280" w:hanging="519"/>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right="62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ending December 31, 2021, which is the end of the fiscal year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78"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We must perform system and process evaluation and testing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20"/>
        <w:spacing w:after="0" w:line="257" w:lineRule="auto"/>
        <w:rPr>
          <w:sz w:val="20"/>
          <w:szCs w:val="20"/>
          <w:color w:val="auto"/>
        </w:rPr>
      </w:pPr>
      <w:r>
        <w:rPr>
          <w:rFonts w:ascii="Arial" w:cs="Arial" w:eastAsia="Arial" w:hAnsi="Arial"/>
          <w:sz w:val="18"/>
          <w:szCs w:val="18"/>
          <w:color w:val="auto"/>
        </w:rPr>
        <w:t>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 Prior to the year ended December 31, 2017, we have never been required to test our internal controls within a specified period, and, as a result, we may experience difficulty in meeting these reporting requirements in a timely manner.</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short-term investments, including the proceeds from our recent follow-on public offering, and may invest or spend our cash in ways with which you do not agree.</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broad discretion over the use of our cash, cash equivalents and short-term investments, including the proceeds from our recent follow-on public offering. You may not agree with our decisions, and our use of our cash may not yield any return on your investment. Our failure to apply our resources effectively could compromise our ability to pursue our growth strategy. You will not have the opportunity to influence our decisions on how to use our cash, cash equivalents and short-term investments.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our loan and security agreement with SVB and the entities affiliated with MidCap Financial Services currently prohibits us from paying dividends without the consent of the lenders under the agreement, and the terms of any future debt agreements may likewise preclude us from paying dividends. As a result, capital appreciation, if any, of our common stock will be your sole source of gain for the foreseeable future. Investors seeking cash dividends should not purchase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begun to incur increased costs and demands upon management as a result of being a public company.</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As a public company listed in the United States, we have begun to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78"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principal offices occupy approximately 20,000 square feet of office space in Alpharetta, Georgia under a lease with an initial term until September 2023, with a renewal option for one additional five-year term.</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color w:val="auto"/>
        </w:rPr>
        <w:t>Our common stock commenced trading on The Nasdaq Global Market under the symbol “CLSD” on June 2, 2016. The following table sets forth, for the periods indicated, the high and low reported sales prices of our common stock as reported on The Nasdaq Global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30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Third quarter</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3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3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Second quarter (from June 2, 2016)</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25.08</w:t>
            </w:r>
          </w:p>
        </w:tc>
        <w:tc>
          <w:tcPr>
            <w:tcW w:w="34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last reported sale price of our common stock on The Nasdaq Global Market on March 12, 2018 was $12.64 per share.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following graph compares the performance of our common stock since June 1, 2016, the date of our IPO, with the performance of the Nasdaq Composite Index (U.S.) and the Nasdaq Biotechnology Index. The comparison assumes a $100 investment on June 1, 2016 in our common stock, the stocks comprising the Nasdaq Composite Index, and the stocks comprising the Nasdaq Biotechnology Index. We have not paid any cash dividends and, therefore, the cumulative total return calculation for us is based solely upon our stock price appreciation or depreciation and does not include any reinvestment of cash dividends. The graph assumes our closing sales price on June 1, 2016 of $7.00 per share as the initial value of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ind w:right="220" w:firstLine="518"/>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117475</wp:posOffset>
            </wp:positionV>
            <wp:extent cx="5702935" cy="3258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293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information presented above in the stock performance graph shall not be deemed to be "soliciting material" or to be "filed" with the SEC or subject to Regulation 14A or 14C, except to the extent that we subsequently specifically request that such information be treated as soliciting material or specifically incorporate it by reference into a filing under the Securities Act of 1933, as amended, or a filing under the Securities Exchange Act of 1934,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Additionally, our ability to pay dividends on our common stock is limited by restrictions under the terms of the agreements governing our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As of March 12, 2018, we had 31,913,113 shares of common stock outstanding held by 21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June 1, 2016, our Registration Statement on Form S-1, as amended (File No. 333-208916) was declared effective in connection with our IPO, pursuant to which we sold 8,148,843 shares of our common stock, including the partial exercise of the underwriters’ option to purchase additional shares, at a price to the public of $7.00 per share. The offering closed on June 7, 2016, and, as a result, we received net proceeds of $51.4 million (after underwriters’ discounts and commissions of $4.0 million and additional offering related costs of $1.7 million). The joint managing underwriters of the offering were Cowen and Company, LLC and Stifel, Nicolaus &amp; Company, Incorporated.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right="60" w:firstLine="518"/>
        <w:spacing w:after="0" w:line="264" w:lineRule="auto"/>
        <w:rPr>
          <w:sz w:val="20"/>
          <w:szCs w:val="20"/>
          <w:color w:val="auto"/>
        </w:rPr>
      </w:pPr>
      <w:r>
        <w:rPr>
          <w:rFonts w:ascii="Arial" w:cs="Arial" w:eastAsia="Arial" w:hAnsi="Arial"/>
          <w:sz w:val="18"/>
          <w:szCs w:val="18"/>
          <w:color w:val="auto"/>
        </w:rPr>
        <w:t>No expenses incurred by us in connection with our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There was no material change in the use of proceeds from our IPO from that described in the final prospectus filed with the SEC on June 2, 2016. As of December 31, 2017, we have used all of the proceeds from the IPO to fund our operations, consisting primarily of costs to conduct the Phase 3 clinical trials of CLS-TA for uveitis and RVO.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The following selected statement of operations data for the years ended December 31, 2017, 2016 and 2015, and balance sheet data as of December 31, 2017 and 2016 is derived from our audited financial statements included within this Annual Report. The balance sheet data as of December 31, 2015 and 2014, and the statement of operations data for the year ended December 31, 2014 have been derived from our audited financial statements which are not included herein. Our historical results are not necessarily indicative of the results to be expected in the future. The selected financial data should be read together with Item 7. “Management’s Discussion and Analysis of Financial Condition and Results of Operations” and in conjunction with the financial statements, related notes, and other financial information included elsewhere in this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60" w:type="dxa"/>
            <w:vAlign w:val="bottom"/>
            <w:gridSpan w:val="10"/>
          </w:tcPr>
          <w:p>
            <w:pPr>
              <w:jc w:val="center"/>
              <w:ind w:left="570"/>
              <w:spacing w:after="0"/>
              <w:rPr>
                <w:sz w:val="20"/>
                <w:szCs w:val="20"/>
                <w:color w:val="auto"/>
              </w:rPr>
            </w:pPr>
            <w:r>
              <w:rPr>
                <w:rFonts w:ascii="Arial" w:cs="Arial" w:eastAsia="Arial" w:hAnsi="Arial"/>
                <w:sz w:val="18"/>
                <w:szCs w:val="18"/>
                <w:color w:val="auto"/>
                <w:w w:val="87"/>
              </w:rPr>
              <w:t>(in thousands, except share and per share data)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(684)</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2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25,311,614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13,111,067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2,338,950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ind w:left="540"/>
              <w:spacing w:after="0"/>
              <w:rPr>
                <w:sz w:val="20"/>
                <w:szCs w:val="20"/>
                <w:color w:val="auto"/>
              </w:rPr>
            </w:pPr>
            <w:r>
              <w:rPr>
                <w:rFonts w:ascii="Arial" w:cs="Arial" w:eastAsia="Arial" w:hAnsi="Arial"/>
                <w:sz w:val="18"/>
                <w:szCs w:val="18"/>
                <w:color w:val="auto"/>
                <w:w w:val="87"/>
              </w:rPr>
              <w:t>(in thousands)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9,224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34,824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20,283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28,416</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48,807</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Restricted cash</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3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5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40,493</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84,813</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21,055</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8,009</w:t>
            </w:r>
          </w:p>
        </w:tc>
        <w:tc>
          <w:tcPr>
            <w:tcW w:w="3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7,586</w:t>
            </w:r>
          </w:p>
        </w:tc>
        <w:tc>
          <w:tcPr>
            <w:tcW w:w="5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5,976</w:t>
            </w: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19,078</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13,154</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10,400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21,415</w:t>
            </w: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71,659</w:t>
            </w: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(36,659)</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(19,213)</w:t>
            </w:r>
          </w:p>
        </w:tc>
        <w:tc>
          <w:tcPr>
            <w:tcW w:w="20" w:type="dxa"/>
            <w:vAlign w:val="bottom"/>
          </w:tcPr>
          <w:p>
            <w:pPr>
              <w:spacing w:after="0"/>
              <w:rPr>
                <w:sz w:val="20"/>
                <w:szCs w:val="20"/>
                <w:color w:val="auto"/>
              </w:rPr>
            </w:pPr>
          </w:p>
        </w:tc>
      </w:tr>
      <w:tr>
        <w:trPr>
          <w:trHeight w:val="647"/>
        </w:trPr>
        <w:tc>
          <w:tcPr>
            <w:tcW w:w="4060" w:type="dxa"/>
            <w:vAlign w:val="bottom"/>
          </w:tcPr>
          <w:p>
            <w:pPr>
              <w:spacing w:after="0"/>
              <w:rPr>
                <w:sz w:val="24"/>
                <w:szCs w:val="24"/>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18"/>
        <w:spacing w:after="0" w:line="219"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focus on treatments for diseases affecting the retina and choroid, especially diseases associated with macular edema, and are injected into the suprachoroidal space, or SCS, using our proprietary SCS Microinjector.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We are developing suprachoroidal CLS-TA, our proprietary, preservative-free formulation of the corticosteroid triamcinolone acetonide, or TA, to be administered suprachoroidally, for the treatment of patients with non-infectious uveitis. On March 5, 2018, we announced positive topline results from our PEACHTREE Phase 3 clinical trial of CLS-TA for the treatment of macular edema associated with non-infectious uveitis. We enrolled 160 patients in the trial, of which 96 patients were randomized to the treatment arm to receive two 4.0 mg doses of suprachoroidal CLS-TA 12 weeks apart, and 64 patients were randomized to undergo a sham procedure at the same 12-week intervals. Patients were evaluated every four weeks for a total of 24 weeks, and a total of 155 patients, or 97% of those enrolled, completed the full evaluation period of the trial. The trial met the primary endpoint with 47% of patients who received suprachoroidal CLS-TA every 12 weeks gaining at least 15 letters in best corrected visual acuity, or BCVA, as measured using the Early Treatment of Diabetic Retinopathy Study, or ETDRS, scale, from baseline at week 24, compared to 16% of patients who underwent a sham procedure. This improvement was statistically significant, with a p-value of less than 0.001. The improvement in BCVA from baseline was better in the treatment arm than the sham arm at each monthly evaluation. The mean improvement from baseline was maintained throughout the evaluation period, with 9.6 letters gained at week 4 and 13.7 letters gained at week 24 in the active arm, compared to 1.2 letters gained at week 4 and 2.9 letters gained at week 24 in the control arm.</w:t>
      </w:r>
    </w:p>
    <w:p>
      <w:pPr>
        <w:spacing w:after="0" w:line="173"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Administration of suprachoroidal CLS-TA also resulted in a mean reduction from baseline of 157 microns in central subfield thickness at week 24 in the active arm compared to a 19 micron mean reduction in the sham arm, a result that was also statistically significant with a p-value of less than 0.001.</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Suprachoroidal CLS-TA was generally well tolerated, with no treatment-related serious adverse events reported in the trial. Through 24 weeks, steroid-related elevated IOP adverse events were reported for approximately 11.5% of patients in the CLS-TA treatment group, compared to no patients in the sham group.</w:t>
      </w:r>
    </w:p>
    <w:p>
      <w:pPr>
        <w:spacing w:after="0" w:line="7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Based on the results from PEACHTREE, we intend to submit an NDA for CLS-TA for the treatment of patients with non-infectious uveitis by the end of 2018.</w:t>
      </w:r>
    </w:p>
    <w:p>
      <w:pPr>
        <w:spacing w:after="0" w:line="62" w:lineRule="exact"/>
        <w:rPr>
          <w:sz w:val="20"/>
          <w:szCs w:val="20"/>
          <w:color w:val="auto"/>
        </w:rPr>
      </w:pPr>
    </w:p>
    <w:p>
      <w:pPr>
        <w:ind w:right="560" w:firstLine="518"/>
        <w:spacing w:after="0" w:line="279" w:lineRule="auto"/>
        <w:rPr>
          <w:sz w:val="20"/>
          <w:szCs w:val="20"/>
          <w:color w:val="auto"/>
        </w:rPr>
      </w:pPr>
      <w:r>
        <w:rPr>
          <w:rFonts w:ascii="Arial" w:cs="Arial" w:eastAsia="Arial" w:hAnsi="Arial"/>
          <w:sz w:val="17"/>
          <w:szCs w:val="17"/>
          <w:color w:val="auto"/>
        </w:rPr>
        <w:t>We are also developing CLS-TA along with an anti-vascular endothelial growth factor, or anti-VEGF, agent for the treatment of macular edema associated with retinal vein occlusion, or RVO, a sight-threatening disorder resulting from the blockage of a retinal vein. We are exploring whether suprachoroidal CLS-TA together with an intravitreal injection of an anti-VEGF agent can provide improved visual acuity, reduced macular edema and reduced injection frequency, as compared to administration of an intravitreal anti-VEGF agent alone.</w:t>
      </w:r>
    </w:p>
    <w:p>
      <w:pPr>
        <w:spacing w:after="0" w:line="63"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We have completed a Phase 2 clinical trial, which we refer to as TANZANITE, in 46 patients with macular edema associated with RVO. In this trial, 23 patients in the active arm initially received suprachoroidal CLS-TA together with an intravitreal injection of the anti-VEGF agent Eylea, or intravitreal Eylea, and 23 patients in the control arm initially received only intravitreal Eylea. The objective of the trial was to determine whether patients receiving suprachoroidal CLS-TA together with intravitreal Eylea could sustain this improved visual acuity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required additional intravitreal Eylea treatments. The primary objective of the trial was met, with patients in the active arm requiring an aggregate of 60% fewer additional Eylea treatments than patients in the control arm over three months, a result that was statistically significant (p=0.013). In addition, based on a post-hoc analysis, 18 of the 23 patients, or 78%, in the active arm of the trial did not require additional treatments during the three-month trial compared to 7 of the 23 patients, or 30%, in the control arm, a result that was also statistically significant (p=0.003). In the same Phase 2 trial, patients in the active arm experienced greater improvement in visual acuity than those in the control arm, with patients in the active arm experiencing mean BCVA improvements at months one, two and three of 16, 20 and 19 letters, respectively, compared to improvements of 11, 12 and 11 letters, respectively, in the control arm at the same time points. We also extended our evaluation of the patients who participated in the trial and did not receive any additional Eylea treatment during its initial three-month evaluation period to further assess the durability of suprachoroidal CLS-TA in combination with intravitreal Eylea for an additional six months following completion of the trial. Of the 32 eligible patients, the medical records of 31 patients were obtained for review. Based on combined data from the initial and extended evaluation periods, 17 of the 23 patients in the combination arm, or 74%, did not receive any additional treatment over the nine-month period, compared to only 4 of 23 patients, or 17%, in the control arm.</w:t>
      </w:r>
    </w:p>
    <w:p>
      <w:pPr>
        <w:spacing w:after="0" w:line="7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Based on the results of TANZANITE and after incorporating feedback from an end-of-Phase 2 meeting with the FDA held in late 2016, we began to enroll patients in a Phase 3 clinical trial, which we refer to as SAPPHIRE, in the first quarter of 2017.We are continuing to enroll patients in SAPPHIRE, a multicenter, randomized, masked, controlled trial, to assess the efficacy and safety of suprachoroidal CLS-TA together with intravitreal Eylea in patients with RVO. Patients in the combination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intravitreal Eylea alone every four weeks through and including week 24. After 24 weeks, patients will be followed for approximately an additional six months. The primary objective of this trial will be to determine the proportion of patients in each arm with a BCVA improvement of at least 15 letters from baseline at eight weeks after initial treatment. There will be several secondary efficacy and safety endpoints that will also be evaluated. We anticipate total enrollment of approximately 460 patients in the trial. We expect to report preliminary results from SAPPHIRE in the fourth quarter of 2018.</w:t>
      </w:r>
    </w:p>
    <w:p>
      <w:pPr>
        <w:spacing w:after="0" w:line="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addition, in the third quarter of 2017, we began the start-up activities for a second Phase 3 clinical trial in patients with RVO, which we refer to as TOPAZ. We enrolled the first patient in TOPAZ in March 2018. Similar to the SAPPHIRE trial, TOPAZ is a multicenter, randomized, masked, controlled Phase 3 trial, to assess the efficacy and safety of suprachoroidal CLS-TA together with an intravitreal anti-VEGF agent (either Lucentis or Avastin) in patients with RVO. Patients in the combination treatment arm will receive suprachoroidal CLS-TA together with an intravitreal anti-VEGF agent at the beginning of the trial, intravitreal anti-VEGF agent alone at week 4, and suprachoroidal CLS-TA together with intravitreal anti-VEGF agent at weeks 12 and 24. Patients in the control arm will receive intravitreal anti-VEGF agent alone at the beginning of the trial and follow-up intravitreal anti-VEGF agent alone every four weeks through and including week 24. After 24 weeks, patients will be followed for approximately an additional six months with 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Several secondary efficacy and safety endpoints will also be evaluated. We anticipate total enrollment of approximately 460 patients in the trial.</w:t>
      </w:r>
    </w:p>
    <w:p>
      <w:pPr>
        <w:spacing w:after="0" w:line="61"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are also developing suprachoroidal CLS-TA for the treatment of diabetic macular edema, or DME. In April 2017, we completed enrollment of 20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In November 2017, we announced preliminary results from the HULK trial. In the trial, we observed a visual benefit for patients receiving suprachoroidal CLS-TA, with a greater benefit in treatment naïve eyes. Anatomic improvement was observed in all treated eyes, with more than two-thirds of those eyes achieving a greater than 50% reduction in excess central retinal thickness based on monthly measurements through six months after initial treatment. In the treatment naïve group, 40% of patients did not require retreatment over the entire six months, with an additional 20% requiring only one retreatment. Suprachoroidal CLS-TA, including in patients who received as many as five injections, was well tolerated, with a low incidence of ocular side effects, including IOP elevations.</w:t>
      </w:r>
    </w:p>
    <w:p>
      <w:pPr>
        <w:spacing w:after="0" w:line="8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July 2017, we commenced a Phase 2 clinical trial, which we refer to as TYBEE, to evaluate the safety and efficacy of administering a combination of intravitreal Eylea and suprachoroidal CLS-TA to patients with DME, as compared to intravitreal Eylea alone. We completed enrollment of 71 patients in this trial in October 2017. Patient follow-up in TYBEE is six months after initial treatment and we expect to report preliminary data in the second quarter of 2018.</w:t>
      </w:r>
    </w:p>
    <w:p>
      <w:pPr>
        <w:spacing w:after="0" w:line="7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Finally, multiple nonclinical studies, both internally and with multiple collaborators, are underway in development areas such as gene therapy for inherited retinal disorders, neovascular age-related macular degeneration, also known as wet AMD, and other ocular diseases that may benefit from suprachoroidal administration of medication.</w:t>
      </w:r>
    </w:p>
    <w:p>
      <w:pPr>
        <w:spacing w:after="0" w:line="7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1,900 uveitis and retina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right="20" w:firstLine="518"/>
        <w:spacing w:after="0" w:line="254" w:lineRule="auto"/>
        <w:rPr>
          <w:sz w:val="20"/>
          <w:szCs w:val="20"/>
          <w:color w:val="auto"/>
        </w:rPr>
      </w:pPr>
      <w:r>
        <w:rPr>
          <w:rFonts w:ascii="Arial" w:cs="Arial" w:eastAsia="Arial" w:hAnsi="Arial"/>
          <w:sz w:val="18"/>
          <w:szCs w:val="18"/>
          <w:color w:val="auto"/>
        </w:rPr>
        <w:t>We have incurred net losses since our inception in May 2011. Our operations to date have been limited to organizing and staffing our company, raising capital, undertaking preclinical studies and other research and development initiatives and, beginning in 2013, conducting clinical trials of our most advanced drug candidates. To date, we have not generated any revenue, other than license and collaboration revenue, and we have primarily financed our operations through public offerings and private placements of our equity securities, issuances of convertible promissory notes and loan agreements. As of December 31, 2017, we had an accumulated deficit of $124.2 million. We recorded net losses of $59.0 million, $25.9 million and $17.6 million for the years ended December 31, 2017, 2016 and 2015,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8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We do not expect to generate product revenue unless and until we successfully complete necessary development for,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expenses will increase substantially as we:</w:t>
      </w:r>
    </w:p>
    <w:p>
      <w:pPr>
        <w:spacing w:after="0" w:line="6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complete our ongoing PEACHTREE, SAPPHIRE, TOPAZ and TYBEE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and conduct our planned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 other developmental efforts necessary to seek such approvals;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In 2014, we executed a license agreement with NovaMedica LLC, or NovaMedica, and in 2015, we executed a license agreement with Spark Therapeutics, Inc., or Spark. In connection with these agreements, we received up-front payments of $200,000 from NovaMedica and $500,000 from Spark. We deferred recognizing these payments through 2015. In the first quarter of 2016, we began recognizing revenue related to the NovaMedica payment and we recognized the entire payment from Spark. In the second quarter of 2017, we entered into additional collaboration agreements to evaluate the potential use of our proprietary SCS microinjector with third-party product candidates for the treatment of various diseases. We recognized $325,000 in collaboration revenue from these agreements during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preclinical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Expenses related to activities that are supportive of a product candidate itself, such as manufacturing and stability and toxicology studies, are classified as direct non-clinical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non-clinical costs and are separately classified as unallocated.</w:t>
      </w:r>
    </w:p>
    <w:p>
      <w:pPr>
        <w:spacing w:after="0" w:line="17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For the years ended December 31, 2017, 2016 and 2015, substantially all of our research and development expenses have been related to the non-clinical and clinical development of our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our research and development expenses by type of activity for the years ended December 31, 2017, 2016 and 2015.</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Year Ended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2"/>
              </w:rPr>
              <w:t>December 31,</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5"/>
              </w:rPr>
              <w:t>2016</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r>
      <w:tr>
        <w:trPr>
          <w:trHeight w:val="206"/>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CLS-TA (uveitis program)</w:t>
            </w:r>
          </w:p>
        </w:tc>
        <w:tc>
          <w:tcPr>
            <w:tcW w:w="17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FF0FC"/>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CLS-TA (RVO program)</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CLS-TA (DME program)</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program expense</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1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progress our product candidates through clinical development.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the following:</w:t>
      </w:r>
    </w:p>
    <w:p>
      <w:pPr>
        <w:spacing w:after="0" w:line="62" w:lineRule="exact"/>
        <w:rPr>
          <w:sz w:val="20"/>
          <w:szCs w:val="20"/>
          <w:color w:val="auto"/>
        </w:rPr>
      </w:pPr>
    </w:p>
    <w:p>
      <w:pPr>
        <w:ind w:left="1040" w:right="7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CLS-TA and the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candidate’s commercial potential.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60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 Additionally, we anticipate increased costs associated with being a public company including expenses related to services associated with maintaining compliance with Nasdaq listing rules and SEC requirements, director and officer insurance, and investor and public relations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Interest income is not currently significant to our financial statements.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expense consisted of interest accrued under our loan agreements for the years ended December 31, 2017, 2016 and 2015. Additionally, during the years ended December 31, 2016 and 2015, other expense included changes in the value of a liability related to a warrant to purchase preferred stock, which warrant automatically converted into a warrant to purchase common stock in connection with our initial public offering, or IPO, in June 2016. After the conversion, no further income or expense was recognized in connection with changes in the fair value of that warrant, which was subsequently exercised in October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78"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 There have been no material changes in estimates for the periods presented in our financial statements</w:t>
      </w:r>
      <w:r>
        <w:rPr>
          <w:rFonts w:ascii="Arial" w:cs="Arial" w:eastAsia="Arial" w:hAnsi="Arial"/>
          <w:sz w:val="14"/>
          <w:szCs w:val="14"/>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record some of our financial assets and liabilities at fair value in accordance with the provisions of Accounting Standards Codification, or ASC, Topic 820 on fair value measurements. As defined in the guidance, fair value, defined as an exit price, represents the amount that 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material financial instruments at December 31, 2017 and 2016 consisted primarily of cash and cash equivalents, short-term investments and long-term debt. The fair value of cash and cash equivalents, other current assets and accounts payable approximate their respective carrying values due to the short term nature of these instruments. The fair value of long-term debt approximates the carrying value due to variable interest rates that correspond to market rates. We have determined our cash and cash equivalents and government bonds to be Level 1 in the fair value hierarchy. We have determined our short-term investments, comprised of certificates of deposit, government and corporate bonds, treasury bills, commercial paper and agency obligations,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 We have determined our stock purchase warrants liability to be Level 3 in the fair value hierarchy.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Compensation cost related to share-based awards granted to employees is measured based on the estimated fair value of the award at the grant date. We estimate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(net of estimated forfeitures) over the relevant vesting period. All share-based compensation costs are recorded in general and administrative or research and development costs in the statements of operations based upon the underlying employees’ roles.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1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estimated the fair value of stock options at the grant date using Black-Scholes option pricing model with the following assumptions:</w:t>
      </w:r>
    </w:p>
    <w:p>
      <w:pPr>
        <w:spacing w:after="0" w:line="117" w:lineRule="exact"/>
        <w:rPr>
          <w:sz w:val="20"/>
          <w:szCs w:val="20"/>
          <w:color w:val="auto"/>
        </w:rPr>
      </w:pPr>
    </w:p>
    <w:p>
      <w:pPr>
        <w:ind w:left="1040" w:hanging="519"/>
        <w:spacing w:after="0" w:line="25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the IPO, no public market existed for our stock, and we estimated its fair value using retrospective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contemporaneous valuations of our common stock. For stock options granted after June 1, 2016, the date of our IPO, we estimate the fair value of our common stock by reference to the closing price of our common stock on The Nasdaq Global Market on the date of grant.</w:t>
      </w:r>
    </w:p>
    <w:p>
      <w:pPr>
        <w:spacing w:after="0" w:line="78" w:lineRule="exact"/>
        <w:rPr>
          <w:rFonts w:ascii="Arial" w:cs="Arial" w:eastAsia="Arial" w:hAnsi="Arial"/>
          <w:sz w:val="18"/>
          <w:szCs w:val="18"/>
          <w:color w:val="auto"/>
        </w:rPr>
      </w:pPr>
    </w:p>
    <w:p>
      <w:pPr>
        <w:jc w:val="both"/>
        <w:ind w:left="1040" w:right="14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As we do not have a trading history for our common stock, we utilize data from a representative group of publicly traded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to estimate expected stock price volatility. We selected representative companies from the pharmaceutical industry with similar characteristics to us, including stage of product development and therapeutic focus.</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used the simplified method as prescribed by the SEC Staff Accounting Bulletin No. 107,</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as we do</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historical exercise and post-vesting termination data to provide a reasonable basis upon which to estimate the expected term of stock options granted to employees.</w:t>
      </w:r>
    </w:p>
    <w:p>
      <w:pPr>
        <w:spacing w:after="0" w:line="73"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accounted for as they occur.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We have never declared or paid any cash dividends and do not presently plan to pay cash dividends in the foreseeable future.</w:t>
      </w:r>
    </w:p>
    <w:p>
      <w:pPr>
        <w:spacing w:after="0" w:line="356"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 month withholding period prior to the purchase date.</w:t>
      </w:r>
    </w:p>
    <w:p>
      <w:pPr>
        <w:spacing w:after="0" w:line="73"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Share-based compensation expense related to stock options and the employee stock purchase plan aggregated $3.4 million, $1.3 million and $0.7 million for the years ended December 31, 2017,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recorded deferred tax assets of $28.0 million, related to our net operating losses, as of December 31, 2017, which have been fully offset by a valuation allowance due to uncertainties surrounding our ability to realize these tax benefits. We record a valuation allowance if it is more likely than not that a deferred tax asset will not be realized. We provided a full valuation allowance on our deferred tax assets that primarily consist of cumulative net operating losses, or NOLs, of $116.3 million for the period from our inception on May 26, 2011 to December 31, 2017. We incurred a net loss for tax purposes of $55.5 million for the year ended December 31, 2017.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65" w:lineRule="exact"/>
        <w:rPr>
          <w:sz w:val="20"/>
          <w:szCs w:val="20"/>
          <w:color w:val="auto"/>
        </w:rPr>
      </w:pPr>
    </w:p>
    <w:p>
      <w:pPr>
        <w:jc w:val="both"/>
        <w:ind w:right="760" w:firstLine="518"/>
        <w:spacing w:after="0" w:line="264" w:lineRule="auto"/>
        <w:rPr>
          <w:sz w:val="20"/>
          <w:szCs w:val="20"/>
          <w:color w:val="auto"/>
        </w:rPr>
      </w:pPr>
      <w:r>
        <w:rPr>
          <w:rFonts w:ascii="Arial" w:cs="Arial" w:eastAsia="Arial" w:hAnsi="Arial"/>
          <w:sz w:val="18"/>
          <w:szCs w:val="18"/>
          <w:color w:val="auto"/>
        </w:rPr>
        <w:t>Our deferred tax assets are primarily composed of federal and state tax NOL carryforwards. As of December 31, 2017, we had federal NOL carryforwards of $116.3 million and state NOL carryforwards of $79.1 million available to reduce future taxable income, if any. These federal NOL carryforwards will begin to expire at various dates starting in 2031. The state NOL carryforwards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spacing w:after="0" w:line="297" w:lineRule="auto"/>
        <w:rPr>
          <w:sz w:val="20"/>
          <w:szCs w:val="20"/>
          <w:color w:val="auto"/>
        </w:rPr>
      </w:pPr>
      <w:r>
        <w:rPr>
          <w:rFonts w:ascii="Arial" w:cs="Arial" w:eastAsia="Arial" w:hAnsi="Arial"/>
          <w:sz w:val="16"/>
          <w:szCs w:val="16"/>
          <w:color w:val="auto"/>
        </w:rPr>
        <w:t>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2017 and 2016.</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right"/>
              <w:ind w:right="42"/>
              <w:spacing w:after="0"/>
              <w:rPr>
                <w:sz w:val="20"/>
                <w:szCs w:val="20"/>
                <w:color w:val="auto"/>
              </w:rPr>
            </w:pPr>
            <w:r>
              <w:rPr>
                <w:rFonts w:ascii="Arial" w:cs="Arial" w:eastAsia="Arial" w:hAnsi="Arial"/>
                <w:sz w:val="16"/>
                <w:szCs w:val="16"/>
                <w:b w:val="1"/>
                <w:bCs w:val="1"/>
                <w:color w:val="auto"/>
              </w:rPr>
              <w:t>Year Ended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Period-to-</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w:t>
            </w: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1"/>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Change</w:t>
            </w:r>
          </w:p>
        </w:tc>
      </w:t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15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33,035</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(25,198)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each of the years ended December 31, 2017 and 2016, we recognized $20,000 of revenue associated with our NovaMedica agreement.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2017, we recognized $0.3 million of revenue associated with our other collaboration agreements. In the year ended December 31, 2016, we recognized $0.5 million of revenue associated with our collaboration agreement with Spark.</w:t>
      </w:r>
    </w:p>
    <w:p>
      <w:pPr>
        <w:spacing w:after="0" w:line="166"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increased by $29.6 million, from $19.5 million for the year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$49.1 million for the year ended December 31, 2017. This increase was primarily attributable to an increase in costs related to our clinical programs. Costs for our uveitis program increased $4.2 million, costs for our RVO program increased $21.3 million, which included purchases of Eylea for SAPPHIRE and start-up costs for TOPAZ, and costs for our DME program increased $4.2 million. In addition to the increase in the cost of our clinical programs, we also incurred a $0.7 million increase in the cost of producing drug product for the registration batches to support an NDA submission, a $0.3 million increase in regulatory costs in preparation for a potential NDA submission, a $0.7 million increase in other research and development activities and a $2.4 million increase in employee-related costs due to an increase in headcount to support the increased clinical trial activities. These increases were partially offset by a $2.0 million decrease resulting from the completion in 2016 of two Phase 2 clinical trials for CLS-TA and a $2.7 million decrease in costs resulting from the discontinuation of nonclinical development for our wet AMD program in the first quarter of 2017.</w:t>
      </w:r>
    </w:p>
    <w:p>
      <w:pPr>
        <w:spacing w:after="0" w:line="167"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$3.4 million, from $6.3 million for the year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$9.7 million for the year ended December 31, 2017. The increase was primarily attributable to an increase of $1.6 million of employee-related costs, a $0.4 million increase in patent and trademark costs, a $0.2 million increase in marketing expenses and a $0.8 million increase related to the costs of operating as a public company for a full year, including an increase in director and officer insurance premiums, professional fees and non-employee director compensation.</w:t>
      </w:r>
    </w:p>
    <w:p>
      <w:pPr>
        <w:spacing w:after="0" w:line="154"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i w:val="1"/>
          <w:iCs w:val="1"/>
          <w:color w:val="auto"/>
        </w:rPr>
        <w:t>Other expense</w:t>
      </w:r>
      <w:r>
        <w:rPr>
          <w:rFonts w:ascii="Arial" w:cs="Arial" w:eastAsia="Arial" w:hAnsi="Arial"/>
          <w:sz w:val="17"/>
          <w:szCs w:val="17"/>
          <w:color w:val="auto"/>
        </w:rPr>
        <w:t>. Other expense for the year ended December 31, 2017 was $0.6 million, compared to $0.7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in each case primarily consisting of interest on long-term debt and the amortization of financing costs, partially offset by interest income from our short-term investments. Other expense in the year ended December 31, 2016 also included a change in the mark-to-market warrant liability and the acceleration of the final payment from the original loan agreement with Silicon Valley Bank, or SVB.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 for the Years Ended December 31, 2016 and 2015</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2016 and 2015.</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4"/>
          </w:tcPr>
          <w:p>
            <w:pPr>
              <w:jc w:val="right"/>
              <w:ind w:right="42"/>
              <w:spacing w:after="0"/>
              <w:rPr>
                <w:sz w:val="20"/>
                <w:szCs w:val="20"/>
                <w:color w:val="auto"/>
              </w:rPr>
            </w:pPr>
            <w:r>
              <w:rPr>
                <w:rFonts w:ascii="Arial" w:cs="Arial" w:eastAsia="Arial" w:hAnsi="Arial"/>
                <w:sz w:val="16"/>
                <w:szCs w:val="16"/>
                <w:b w:val="1"/>
                <w:bCs w:val="1"/>
                <w:color w:val="auto"/>
              </w:rPr>
              <w:t>Year Ended</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Period-to-</w:t>
            </w: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w:t>
            </w: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1"/>
              <w:spacing w:after="0"/>
              <w:rPr>
                <w:sz w:val="20"/>
                <w:szCs w:val="20"/>
                <w:color w:val="auto"/>
              </w:rPr>
            </w:pPr>
            <w:r>
              <w:rPr>
                <w:rFonts w:ascii="Arial" w:cs="Arial" w:eastAsia="Arial" w:hAnsi="Arial"/>
                <w:sz w:val="16"/>
                <w:szCs w:val="16"/>
                <w:b w:val="1"/>
                <w:bCs w:val="1"/>
                <w:color w:val="auto"/>
                <w:w w:val="95"/>
              </w:rPr>
              <w:t>2015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Change</w:t>
            </w:r>
          </w:p>
        </w:tc>
      </w:t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w w:val="88"/>
              </w:rPr>
              <w:t>(in thousands)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1560" w:type="dxa"/>
            <w:vAlign w:val="bottom"/>
            <w:gridSpan w:val="2"/>
            <w:shd w:val="clear" w:color="auto" w:fill="CFF0FC"/>
          </w:tcPr>
          <w:p>
            <w:pPr>
              <w:ind w:left="13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17,317</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year ended December 31, 2016, we recognized $0.5 million of revenue associated with our agreement with NovaMedica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and collaboration agreement with Spark. We did not recognize any revenue in the year ended December 31, 2015.</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$8.7 million, from $10.8 million for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to $19.5 million for the year ended December 31, 2016. This increase was primarily attributable to a $2.8 million increase in costs related to the ongoing Phase 3 clinical trial for CLS-TA for the treatment of non-infectious uveitis, a $1.7 million increase in costs associated with preclinical studies for our wet AMD program, a $2.2 million increase for costs related to the initial preparation of the Phase 3 clinical trial for CLS-TA for the treatment of macular edema associated with RVO and a $2.2 million increase in device manufacturing costs. These increases were partially offset by a $1.0 million decrease in costs for the completed Phase 2 clinical trial for CLS-TA for the treatment of non-infectious uveitis and Phase 2 clinical trial for CLS-TA for the treatment of macular edema associated with RVO.</w:t>
      </w:r>
    </w:p>
    <w:p>
      <w:pPr>
        <w:spacing w:after="0" w:line="18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$0.3 million, from $6.6 million for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to $6.3 million for the year ended December 31, 2016. The decrease was primarily attributable to recognizing $1.9 million of expenses related to previously deferred offering costs in 2015, offset by increases in 2016 of $1.0 million for employee-related costs and $0.5 million for costs of operating as a public company.</w:t>
      </w:r>
    </w:p>
    <w:p>
      <w:pPr>
        <w:spacing w:after="0" w:line="187"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i w:val="1"/>
          <w:iCs w:val="1"/>
          <w:color w:val="auto"/>
        </w:rPr>
        <w:t>Other expense</w:t>
      </w:r>
      <w:r>
        <w:rPr>
          <w:rFonts w:ascii="Arial" w:cs="Arial" w:eastAsia="Arial" w:hAnsi="Arial"/>
          <w:sz w:val="16"/>
          <w:szCs w:val="16"/>
          <w:color w:val="auto"/>
        </w:rPr>
        <w:t>. Other expense increased in the year ended December 31, 2016 by $0.4 million compared to 2015, from $0.3 million to $0.7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This increase was primarily the result of an increase in the mark-to-market warrant liability and the acceleration of the final payment from the original loan agreement with SVB in addition to the amortization of financing costs, the accretion of warrants and the final payment related to our new loan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As of December 31, 2017, we had an accumulated deficit of $124.2 million and cash, cash equivalents and short-term investments of $37.6 million. We invest any cash in excess of our immediate requirements primarily with a view to liquidity and capital preservation. As of December 31, 2017, our funds were held in cash, money market funds, certificates of deposit, corporate bonds, government bonds, commercial paper and treasury bills.</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June 7, 2016, we closed our IPO in which we sold 7,200,000 shares of common stock at a public offering price of $7.00 per share, and on June 30, 2016, the underwriters exercised their option to purchase 948,843 additional shares. These issuances resulted in net proceeds of $51.4 million after deducting underwriting discounts and commissions and offering expenses.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December 14, 2016, we closed a follow-on public offering in which we sold 4,000,000 shares of common stock at a public offering price of $9.00 per share. On December 30, 2016, the underwriters exercised their option to purchase 600,000 additional shares, and on January 6, 2017, we sold the 600,000 additional shares at $9.00 per share. These issuances collectively resulted in net proceeds of $38.5 million after deducting underwriting discounts and commissions and offering expenses.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9" w:name="page70"/>
    <w:bookmarkEnd w:id="69"/>
    <w:p>
      <w:pPr>
        <w:jc w:val="both"/>
        <w:ind w:right="20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sold any shares of our common stock under the at-the-market facility.</w:t>
      </w:r>
    </w:p>
    <w:p>
      <w:pPr>
        <w:spacing w:after="0" w:line="166"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On March 12, 2018, we closed a follow-on public offering in which we sold 6,538,462 shares of common stock at a public offering price of $13.00 per share, resulting in net proceeds of $79.6 million after deducting underwriting discounts and commissions and estimated offering expenses. We have granted the underwriters an option, exercisable through April 6, 2018, to purchase up to an additional 980,769 shares of common stock at the public offering price.</w:t>
      </w:r>
    </w:p>
    <w:p>
      <w:pPr>
        <w:spacing w:after="0" w:line="14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Prior to our IPO, we funded operations primarily through the sale of convertible preferred stock, a long-term loan agreement and the issuance of convertible promissory notes. We raised net cash proceeds of $44.5 million from the sale of convertible preferred stock, $6.0 million from a long-term loan agreement and $3.4 million from the sale of convertible promissory notes through December 31, 2016.</w:t>
      </w:r>
    </w:p>
    <w:p>
      <w:pPr>
        <w:spacing w:after="0" w:line="18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On September 28, 2016, we entered into an amended and restated loan and security agreement, which we subsequently amended on October 31, 2017, or as amended the Loan Agreement, with SVB and entities affiliated with MidCap Financial Services, which we refer to collectively with SVB as the Lenders. The Loan Agreement amended and restated in its entirety our prior loan and security agreement with SVB.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 We borrowed an initial tranche of $8.0 million on September 28, 2016, of which $5.3 million was used to repay all amounts outstanding under our prior loan agreement with SVB. We may draw the remaining $7.0 million through March 31, 2018. We were required to pay accrued interest only through December 31, 2017 on the outstanding amount, followed by 30 equal payments of principal and accrued interest. We have the option to prepay the outstanding balance of the term loans in full, subject to a prepayment fee of 2% of the original principal amount of the aggregate term loans for any prepayments through May 31, 2020. A final payment of $0.5 million, or 6.50% of the aggregate borrowed amount, is due at maturity of the loan on June 1, 2020, or upon the prepayment of the facility or the acceleration of amounts due under the facility as a result of an event of default.</w:t>
      </w:r>
    </w:p>
    <w:p>
      <w:pPr>
        <w:spacing w:after="0" w:line="183"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connection with the Loan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third-party clinical research and development services, laboratory and related supplies, clinical costs, legal and other regulatory expenses and general overhead costs.</w:t>
      </w:r>
    </w:p>
    <w:p>
      <w:pPr>
        <w:spacing w:after="0" w:line="14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CLS-TA or any future product candidates, although we will require additional funding to complete our Phase 3 clinical program for CLS-TA as a potential treatment, together with an anti-VEGF agent, for RVO.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right="20" w:firstLine="518"/>
        <w:spacing w:after="0" w:line="254"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under the Loan Agreement, and as described above we may also be able to sell up to $50.0 million of our common stock under the at-the-market sales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We also incur costs as a public company that we have not previously incurred or have previously incurred at lower rates,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including our ability to control spending by delaying, reducing or eliminating research and development programs or reducing administrative expense while still advancing clinical trials for our most advanced product candidates, we expect that our existing cash, cash equivalents and short-term investments, including the net proceeds from our public offering of common stock in March 2018, will enable us to fund our operating expenses and capital expenditure requirements for at least the next 12 months. We have based this estimate on assumptions that may prove to be wrong, and we could exhaust our capital resources sooner than we expect. Additionally, the process of testing product candidates in clinical trials is costly, and the timing of progress in these trials is uncertain.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w:t>
      </w:r>
    </w:p>
    <w:p>
      <w:pPr>
        <w:spacing w:after="0" w:line="253" w:lineRule="exact"/>
        <w:rPr>
          <w:sz w:val="20"/>
          <w:szCs w:val="20"/>
          <w:color w:val="auto"/>
        </w:rPr>
      </w:pPr>
    </w:p>
    <w:tbl>
      <w:tblPr>
        <w:tblLayout w:type="fixed"/>
        <w:tblInd w:w="172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w w:val="95"/>
              </w:rPr>
              <w:t>2015</w:t>
            </w:r>
          </w:p>
        </w:tc>
        <w:tc>
          <w:tcPr>
            <w:tcW w:w="80" w:type="dxa"/>
            <w:vAlign w:val="bottom"/>
          </w:tcPr>
          <w:p>
            <w:pPr>
              <w:spacing w:after="0"/>
              <w:rPr>
                <w:sz w:val="18"/>
                <w:szCs w:val="18"/>
                <w:color w:val="auto"/>
              </w:rPr>
            </w:pPr>
          </w:p>
        </w:tc>
      </w:tr>
      <w:tr>
        <w:trPr>
          <w:trHeight w:val="206"/>
        </w:trPr>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(51,083)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(22,709)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(13,902)</w:t>
            </w: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(49,140)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3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8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(25,600</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During the years ended December 31, 2017, 2016 and 2015, our operating activities used net cash of $51.1 million, $22.7 million and $13.9 million, respectively. The use of cash in each period primarily resulted from our net losses. The increase in net loss for the year ended December 31, 2017 as compared to the years ended December 31, 2016 and 2015 was primarily attributable to higher research and development expenses related to our Phase 3 clinical trials PEACHTREE, SAPPHIRE and TOPAZ and the related expenses to support them including employee-related costs.</w:t>
      </w:r>
    </w:p>
    <w:p>
      <w:pPr>
        <w:spacing w:after="0" w:line="17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During the year ended December 31, 2017, our net cash provided by investing activities was $20.1 million, compared to net cash used in investing activities of $49.1 million and $28,000 during the years ended December 31, 2016 and 2015, respectively. In the year ended December 31, 2017, cash flows provided by investing activities was primarily from $68.5 million for the maturities of short-term, available-for-sale investments, which include certificates of deposit, corporate bonds and government bonds, commercial paper, treasury bills and agency obligations, partially offset by the purchase of $48.1 million of short-term, available-for-sale investments and $0.3 million for the purchase of furniture and fixtures for our corporate office. In the year ended December 31, 2016, cash flows used in investing activities resulted primarily from the purchase of $54.5 million of short-term, available-for-sale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1" w:name="page72"/>
    <w:bookmarkEnd w:id="71"/>
    <w:p>
      <w:pPr>
        <w:ind w:right="280"/>
        <w:spacing w:after="0" w:line="277" w:lineRule="auto"/>
        <w:rPr>
          <w:sz w:val="20"/>
          <w:szCs w:val="20"/>
          <w:color w:val="auto"/>
        </w:rPr>
      </w:pPr>
      <w:r>
        <w:rPr>
          <w:rFonts w:ascii="Arial" w:cs="Arial" w:eastAsia="Arial" w:hAnsi="Arial"/>
          <w:sz w:val="18"/>
          <w:szCs w:val="18"/>
          <w:color w:val="auto"/>
        </w:rPr>
        <w:t>investments, partially offset by $5.7 million for the maturities of short-term, available-for-sale investments. Net cash used in investing activities during the years ended December 31, 2015 was comprised of the purchase of fixed assets.</w:t>
      </w:r>
    </w:p>
    <w:p>
      <w:pPr>
        <w:spacing w:after="0" w:line="17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During the years ended December 31, 2017, 2016 and 2015, our net cash provided by financing activities was $5.4 million, $86.4 million and $25.9 million, respectively. The net cash provided by financing activities for the year ended December 31, 2017 was comprised primarily of the $5.1 million of net proceeds received from the underwriters’ exercise of their option to purchase additional shares as part of our public offering of common stock that initially closed in December 2016. The net cash provided by financing activities for the year ended December 31, 2016 was comprised primarily of the $84.8 million of net proceeds received from our IPO and follow-on public offering of common stock and from the Loan Agreement with SVB, partially offset by $6.3 million in payments of long-term debt, which includes the $5.3 million to repay all amounts owed under the prior loan agreement with SVB. The net cash provided by financing activities during the year ended December 31, 2015 was primarily due to $20.0 million received from the sale of our Series C convertible preferred stock and amounts borrowed under the prior loan agreement with SVB.</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table summarizes our significant contractual obligations as of December 31, 2017, all of which consisted of obligations under the lease for our corporate headquarters in Alpharetta, Georgia and obligations under the Loan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Payments due by period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6"/>
                <w:szCs w:val="16"/>
                <w:b w:val="1"/>
                <w:bCs w:val="1"/>
                <w:color w:val="auto"/>
                <w:w w:val="88"/>
              </w:rPr>
              <w:t>Less than</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r>
      <w:tr>
        <w:trPr>
          <w:trHeight w:val="246"/>
        </w:trPr>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4"/>
              <w:spacing w:after="0"/>
              <w:rPr>
                <w:sz w:val="20"/>
                <w:szCs w:val="20"/>
                <w:color w:val="auto"/>
              </w:rPr>
            </w:pPr>
            <w:r>
              <w:rPr>
                <w:rFonts w:ascii="Arial" w:cs="Arial" w:eastAsia="Arial" w:hAnsi="Arial"/>
                <w:sz w:val="16"/>
                <w:szCs w:val="16"/>
                <w:b w:val="1"/>
                <w:bCs w:val="1"/>
                <w:color w:val="auto"/>
              </w:rPr>
              <w:t>1 year</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1-3 years</w:t>
            </w:r>
          </w:p>
        </w:tc>
        <w:tc>
          <w:tcPr>
            <w:tcW w:w="1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3-5 years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5 years</w:t>
            </w:r>
          </w:p>
        </w:tc>
      </w:tr>
      <w:tr>
        <w:trPr>
          <w:trHeight w:val="240"/>
        </w:trPr>
        <w:tc>
          <w:tcPr>
            <w:tcW w:w="57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Includes estimated interest expense at the minimum rate of 7.50% and the final payment.</w:t>
      </w:r>
    </w:p>
    <w:p>
      <w:pPr>
        <w:spacing w:after="0" w:line="23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have no material non-cancelable purchase commitments with contract manufactures or service providers, as we have generally contracted on a cancelable purchase order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See Item 8. “Financial Statements and Supplementary Data – Note 2, Significant Accounting Policies” for a discussion of recent accounting pronouncements and their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2017 and 2016, we had cash and cash equivalents of $9.2 million and $34.8 million, respectively. We generally hold our cash in interest-bearing money market accounts. As of December 31, 2017 and 2016, we had short-term investments of $28.4 million and $48.8 million, respectively. The short-term investments include certificates of deposit, corporate bonds and government bonds, commercial paper, treasury bills and agency obligations. Our primary exposure to market risk is interest rate sensitivity, which is affected by changes in the general level of U.S. interest rates. Due to the short-term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right="320"/>
        <w:spacing w:after="0" w:line="277" w:lineRule="auto"/>
        <w:rPr>
          <w:sz w:val="20"/>
          <w:szCs w:val="20"/>
          <w:color w:val="auto"/>
        </w:rPr>
      </w:pPr>
      <w:r>
        <w:rPr>
          <w:rFonts w:ascii="Arial" w:cs="Arial" w:eastAsia="Arial" w:hAnsi="Arial"/>
          <w:sz w:val="18"/>
          <w:szCs w:val="18"/>
          <w:color w:val="auto"/>
        </w:rPr>
        <w:t>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do not engage in any hedging activities against changes in interest rates. Our outstanding debt instruments carry a floating interest rate that is 7.0% plus the greater of (i) the 30-day U.S. LIBOR, reported in the Wall Street Journal on the last business day of the month that immediately precedes the month in which the interest will accrue, or (ii) 0.50%. A 100 basis point increase in the variable interest rate would have resulted in an $80,000 increase in interest expense for each of the years ended December 31, 2017 and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0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96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89"/>
              </w:rPr>
              <w:t>Index to financial statements</w:t>
            </w:r>
          </w:p>
        </w:tc>
        <w:tc>
          <w:tcPr>
            <w:tcW w:w="220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jc w:val="right"/>
              <w:ind w:right="730"/>
              <w:spacing w:after="0"/>
              <w:rPr>
                <w:sz w:val="20"/>
                <w:szCs w:val="20"/>
                <w:color w:val="auto"/>
              </w:rPr>
            </w:pPr>
            <w:r>
              <w:rPr>
                <w:rFonts w:ascii="Arial" w:cs="Arial" w:eastAsia="Arial" w:hAnsi="Arial"/>
                <w:sz w:val="18"/>
                <w:szCs w:val="18"/>
                <w:b w:val="1"/>
                <w:bCs w:val="1"/>
                <w:color w:val="auto"/>
              </w:rPr>
              <w:t>Page</w:t>
            </w:r>
          </w:p>
        </w:tc>
      </w:tr>
      <w:tr>
        <w:trPr>
          <w:trHeight w:val="190"/>
        </w:trPr>
        <w:tc>
          <w:tcPr>
            <w:tcW w:w="680" w:type="dxa"/>
            <w:vAlign w:val="bottom"/>
          </w:tcPr>
          <w:p>
            <w:pPr>
              <w:spacing w:after="0"/>
              <w:rPr>
                <w:sz w:val="16"/>
                <w:szCs w:val="16"/>
                <w:color w:val="auto"/>
              </w:rPr>
            </w:pPr>
          </w:p>
        </w:tc>
        <w:tc>
          <w:tcPr>
            <w:tcW w:w="8560" w:type="dxa"/>
            <w:vAlign w:val="bottom"/>
            <w:gridSpan w:val="7"/>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Report of independent registered public accounting firm</w:t>
              </w:r>
            </w:hyperlink>
          </w:p>
        </w:tc>
        <w:tc>
          <w:tcPr>
            <w:tcW w:w="2200" w:type="dxa"/>
            <w:vAlign w:val="bottom"/>
          </w:tcPr>
          <w:p>
            <w:pPr>
              <w:jc w:val="right"/>
              <w:ind w:right="570"/>
              <w:spacing w:after="0" w:line="190" w:lineRule="exact"/>
              <w:rPr>
                <w:sz w:val="20"/>
                <w:szCs w:val="20"/>
                <w:color w:val="auto"/>
              </w:rPr>
            </w:pPr>
            <w:r>
              <w:rPr>
                <w:rFonts w:ascii="Arial" w:cs="Arial" w:eastAsia="Arial" w:hAnsi="Arial"/>
                <w:sz w:val="18"/>
                <w:szCs w:val="18"/>
                <w:color w:val="auto"/>
              </w:rPr>
              <w:t>74</w:t>
            </w:r>
          </w:p>
        </w:tc>
      </w:tr>
      <w:tr>
        <w:trPr>
          <w:trHeight w:val="196"/>
        </w:trPr>
        <w:tc>
          <w:tcPr>
            <w:tcW w:w="680" w:type="dxa"/>
            <w:vAlign w:val="bottom"/>
          </w:tcPr>
          <w:p>
            <w:pPr>
              <w:spacing w:after="0"/>
              <w:rPr>
                <w:sz w:val="17"/>
                <w:szCs w:val="17"/>
                <w:color w:val="auto"/>
              </w:rPr>
            </w:pPr>
          </w:p>
        </w:tc>
        <w:tc>
          <w:tcPr>
            <w:tcW w:w="402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Balance sheets as of December 31, 2017 and 2016</w:t>
              </w:r>
            </w:hyperlink>
          </w:p>
        </w:tc>
        <w:tc>
          <w:tcPr>
            <w:tcW w:w="4540" w:type="dxa"/>
            <w:vAlign w:val="bottom"/>
            <w:gridSpan w:val="4"/>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75</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Statements of operations and comprehensive loss for the years ended December 31, 2017, 2016 and 201</w:t>
              </w:r>
            </w:hyperlink>
            <w:r>
              <w:rPr>
                <w:rFonts w:ascii="Arial" w:cs="Arial" w:eastAsia="Arial" w:hAnsi="Arial"/>
                <w:sz w:val="18"/>
                <w:szCs w:val="18"/>
                <w:color w:val="000000"/>
              </w:rPr>
              <w:t>5</w:t>
            </w: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76</w:t>
            </w:r>
          </w:p>
        </w:tc>
      </w:tr>
      <w:tr>
        <w:trPr>
          <w:trHeight w:val="196"/>
        </w:trPr>
        <w:tc>
          <w:tcPr>
            <w:tcW w:w="680" w:type="dxa"/>
            <w:vAlign w:val="bottom"/>
          </w:tcPr>
          <w:p>
            <w:pPr>
              <w:spacing w:after="0"/>
              <w:rPr>
                <w:sz w:val="17"/>
                <w:szCs w:val="17"/>
                <w:color w:val="auto"/>
              </w:rPr>
            </w:pPr>
          </w:p>
        </w:tc>
        <w:tc>
          <w:tcPr>
            <w:tcW w:w="7460" w:type="dxa"/>
            <w:vAlign w:val="bottom"/>
            <w:tcBorders>
              <w:top w:val="single" w:sz="8" w:color="0000EE"/>
            </w:tcBorders>
            <w:gridSpan w:val="6"/>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Statements of stockholders’ equity (deficit) for the years ended December 31, 2017, 2016 and 201</w:t>
              </w:r>
            </w:hyperlink>
            <w:r>
              <w:rPr>
                <w:rFonts w:ascii="Arial" w:cs="Arial" w:eastAsia="Arial" w:hAnsi="Arial"/>
                <w:sz w:val="18"/>
                <w:szCs w:val="18"/>
                <w:color w:val="000000"/>
                <w:w w:val="94"/>
              </w:rPr>
              <w:t>5</w:t>
            </w:r>
          </w:p>
        </w:tc>
        <w:tc>
          <w:tcPr>
            <w:tcW w:w="1100" w:type="dxa"/>
            <w:vAlign w:val="bottom"/>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77</w:t>
            </w:r>
          </w:p>
        </w:tc>
      </w:tr>
      <w:tr>
        <w:trPr>
          <w:trHeight w:val="196"/>
        </w:trPr>
        <w:tc>
          <w:tcPr>
            <w:tcW w:w="680" w:type="dxa"/>
            <w:vAlign w:val="bottom"/>
          </w:tcPr>
          <w:p>
            <w:pPr>
              <w:spacing w:after="0"/>
              <w:rPr>
                <w:sz w:val="17"/>
                <w:szCs w:val="17"/>
                <w:color w:val="auto"/>
              </w:rPr>
            </w:pPr>
          </w:p>
        </w:tc>
        <w:tc>
          <w:tcPr>
            <w:tcW w:w="70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 of cash flows for the years ended December 31, 2017, 2016 and 2015</w:t>
              </w:r>
            </w:hyperlink>
          </w:p>
        </w:tc>
        <w:tc>
          <w:tcPr>
            <w:tcW w:w="1520" w:type="dxa"/>
            <w:vAlign w:val="bottom"/>
            <w:gridSpan w:val="2"/>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78</w:t>
            </w:r>
          </w:p>
        </w:tc>
      </w:tr>
      <w:tr>
        <w:trPr>
          <w:trHeight w:val="196"/>
        </w:trPr>
        <w:tc>
          <w:tcPr>
            <w:tcW w:w="680" w:type="dxa"/>
            <w:vAlign w:val="bottom"/>
          </w:tcPr>
          <w:p>
            <w:pPr>
              <w:spacing w:after="0"/>
              <w:rPr>
                <w:sz w:val="17"/>
                <w:szCs w:val="17"/>
                <w:color w:val="auto"/>
              </w:rPr>
            </w:pPr>
          </w:p>
        </w:tc>
        <w:tc>
          <w:tcPr>
            <w:tcW w:w="58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Notes to financial statements</w:t>
              </w:r>
            </w:hyperlink>
          </w:p>
        </w:tc>
        <w:tc>
          <w:tcPr>
            <w:tcW w:w="2760" w:type="dxa"/>
            <w:vAlign w:val="bottom"/>
            <w:gridSpan w:val="3"/>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79</w:t>
            </w:r>
          </w:p>
        </w:tc>
      </w:tr>
      <w:tr>
        <w:trPr>
          <w:trHeight w:val="885"/>
        </w:trPr>
        <w:tc>
          <w:tcPr>
            <w:tcW w:w="680" w:type="dxa"/>
            <w:vAlign w:val="bottom"/>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3740" w:type="dxa"/>
            <w:vAlign w:val="bottom"/>
            <w:gridSpan w:val="3"/>
          </w:tcPr>
          <w:p>
            <w:pPr>
              <w:jc w:val="right"/>
              <w:ind w:right="680"/>
              <w:spacing w:after="0"/>
              <w:rPr>
                <w:sz w:val="20"/>
                <w:szCs w:val="20"/>
                <w:color w:val="auto"/>
              </w:rPr>
            </w:pPr>
            <w:r>
              <w:rPr>
                <w:rFonts w:ascii="Arial" w:cs="Arial" w:eastAsia="Arial" w:hAnsi="Arial"/>
                <w:sz w:val="18"/>
                <w:szCs w:val="18"/>
                <w:color w:val="auto"/>
              </w:rPr>
              <w:t>73</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Clearside Biomedical,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Clearside Biomedical, Inc. (the Company) as of December 31, 2017 and 2016, and the related statements of operations and comprehensive loss,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Current assets: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60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28,416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39,201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60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7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60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5,384</w:t>
            </w:r>
          </w:p>
        </w:tc>
        <w:tc>
          <w:tcPr>
            <w:tcW w:w="28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rent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Long-term debt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4,809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revenue</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19,078</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380"/>
              <w:spacing w:after="0"/>
              <w:rPr>
                <w:sz w:val="20"/>
                <w:szCs w:val="20"/>
                <w:color w:val="auto"/>
              </w:rPr>
            </w:pPr>
            <w:r>
              <w:rPr>
                <w:rFonts w:ascii="Arial" w:cs="Arial" w:eastAsia="Arial" w:hAnsi="Arial"/>
                <w:sz w:val="16"/>
                <w:szCs w:val="16"/>
                <w:color w:val="auto"/>
              </w:rPr>
              <w:t>December 31, 2017 and 2016</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December 31, 2017 and 2016;</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25,354,651 and 24,573,033 shares issued and outstanding at December 31, 2017 and 2016,</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145,618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0"/>
              </w:rPr>
              <w:t>(124,220)</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(65,245)</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3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stockholders’ equity</w:t>
            </w:r>
          </w:p>
        </w:tc>
        <w:tc>
          <w:tcPr>
            <w:tcW w:w="7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21,415</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160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40,493</w:t>
            </w:r>
          </w:p>
        </w:tc>
        <w:tc>
          <w:tcPr>
            <w:tcW w:w="28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84,813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63"/>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25,311,614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13,111,067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2,338,950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(58,975)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(25,882)</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available-for-sale investments</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376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3760" w:type="dxa"/>
            <w:vAlign w:val="bottom"/>
          </w:tcPr>
          <w:p>
            <w:pPr>
              <w:spacing w:after="0"/>
              <w:rPr>
                <w:sz w:val="13"/>
                <w:szCs w:val="13"/>
                <w:color w:val="auto"/>
              </w:rPr>
            </w:pPr>
          </w:p>
        </w:tc>
        <w:tc>
          <w:tcPr>
            <w:tcW w:w="96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7"/>
              </w:rPr>
              <w:t>Paid-In-Capital</w:t>
            </w:r>
          </w:p>
        </w:tc>
        <w:tc>
          <w:tcPr>
            <w:tcW w:w="18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Equity (Deficit)</w:t>
            </w:r>
          </w:p>
        </w:tc>
      </w:tr>
      <w:tr>
        <w:trPr>
          <w:trHeight w:val="21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January 1, 2015</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1,816,467</w:t>
            </w: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2,509</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(21,724)</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(19,213)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50,980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Vesting of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14,203</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stock upon exercise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of warrants</w:t>
            </w:r>
          </w:p>
        </w:tc>
        <w:tc>
          <w:tcPr>
            <w:tcW w:w="960" w:type="dxa"/>
            <w:vAlign w:val="bottom"/>
          </w:tcPr>
          <w:p>
            <w:pPr>
              <w:jc w:val="right"/>
              <w:spacing w:after="0"/>
              <w:rPr>
                <w:sz w:val="20"/>
                <w:szCs w:val="20"/>
                <w:color w:val="auto"/>
              </w:rPr>
            </w:pPr>
            <w:r>
              <w:rPr>
                <w:rFonts w:ascii="Arial" w:cs="Arial" w:eastAsia="Arial" w:hAnsi="Arial"/>
                <w:sz w:val="17"/>
                <w:szCs w:val="17"/>
                <w:color w:val="auto"/>
              </w:rPr>
              <w:t>777,612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20"/>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Accretion of stock issuance costs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(525)</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(525)</w:t>
            </w: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705</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(17,639)</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(17,639)</w:t>
            </w: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Balance at December 31, 2015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2,659,262</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2,701</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(39,363)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(36,659)</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10,724</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Vesting of restricted stock</w:t>
            </w:r>
          </w:p>
        </w:tc>
        <w:tc>
          <w:tcPr>
            <w:tcW w:w="960" w:type="dxa"/>
            <w:vAlign w:val="bottom"/>
          </w:tcPr>
          <w:p>
            <w:pPr>
              <w:jc w:val="right"/>
              <w:spacing w:after="0"/>
              <w:rPr>
                <w:sz w:val="20"/>
                <w:szCs w:val="20"/>
                <w:color w:val="auto"/>
              </w:rPr>
            </w:pPr>
            <w:r>
              <w:rPr>
                <w:rFonts w:ascii="Arial" w:cs="Arial" w:eastAsia="Arial" w:hAnsi="Arial"/>
                <w:sz w:val="17"/>
                <w:szCs w:val="17"/>
                <w:color w:val="auto"/>
              </w:rPr>
              <w:t>6,485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 upon exercise</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warrants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133,560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stock in initial</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public offering</w:t>
            </w:r>
          </w:p>
        </w:tc>
        <w:tc>
          <w:tcPr>
            <w:tcW w:w="960" w:type="dxa"/>
            <w:vAlign w:val="bottom"/>
          </w:tcPr>
          <w:p>
            <w:pPr>
              <w:jc w:val="right"/>
              <w:spacing w:after="0"/>
              <w:rPr>
                <w:sz w:val="20"/>
                <w:szCs w:val="20"/>
                <w:color w:val="auto"/>
              </w:rPr>
            </w:pPr>
            <w:r>
              <w:rPr>
                <w:rFonts w:ascii="Arial" w:cs="Arial" w:eastAsia="Arial" w:hAnsi="Arial"/>
                <w:sz w:val="17"/>
                <w:szCs w:val="17"/>
                <w:color w:val="auto"/>
              </w:rPr>
              <w:t>8,148,843</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51,369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51,377</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 in follow-on</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offering</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33,459</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Conversion of preferred stock to</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960" w:type="dxa"/>
            <w:vAlign w:val="bottom"/>
          </w:tcPr>
          <w:p>
            <w:pPr>
              <w:jc w:val="right"/>
              <w:spacing w:after="0"/>
              <w:rPr>
                <w:sz w:val="20"/>
                <w:szCs w:val="20"/>
                <w:color w:val="auto"/>
              </w:rPr>
            </w:pPr>
            <w:r>
              <w:rPr>
                <w:rFonts w:ascii="Arial" w:cs="Arial" w:eastAsia="Arial" w:hAnsi="Arial"/>
                <w:sz w:val="17"/>
                <w:szCs w:val="17"/>
                <w:color w:val="auto"/>
              </w:rPr>
              <w:t>9,614,159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84"/>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48,188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48,198</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warrants to purchase</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Accretion of redeemable convertible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preferred stock to redemption value</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(884)</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(884)</w:t>
            </w:r>
          </w:p>
        </w:tc>
      </w:tr>
      <w:tr>
        <w:trPr>
          <w:trHeight w:val="220"/>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1,314</w:t>
            </w:r>
          </w:p>
        </w:tc>
        <w:tc>
          <w:tcPr>
            <w:tcW w:w="120" w:type="dxa"/>
            <w:vAlign w:val="bottom"/>
            <w:shd w:val="clear" w:color="auto" w:fill="CFF0FC"/>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(25,882)</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(25,882)</w:t>
            </w: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w:t>
            </w: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24,573,033</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136,892</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71,659</w:t>
            </w:r>
          </w:p>
        </w:tc>
        <w:tc>
          <w:tcPr>
            <w:tcW w:w="120" w:type="dxa"/>
            <w:vAlign w:val="bottom"/>
          </w:tcPr>
          <w:p>
            <w:pPr>
              <w:spacing w:after="0"/>
              <w:rPr>
                <w:sz w:val="18"/>
                <w:szCs w:val="18"/>
                <w:color w:val="auto"/>
              </w:rPr>
            </w:pP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in follow-on</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offering</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5,057</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shares under</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employee stock purchase plan</w:t>
            </w:r>
          </w:p>
        </w:tc>
        <w:tc>
          <w:tcPr>
            <w:tcW w:w="960" w:type="dxa"/>
            <w:vAlign w:val="bottom"/>
          </w:tcPr>
          <w:p>
            <w:pPr>
              <w:jc w:val="right"/>
              <w:spacing w:after="0"/>
              <w:rPr>
                <w:sz w:val="20"/>
                <w:szCs w:val="20"/>
                <w:color w:val="auto"/>
              </w:rPr>
            </w:pPr>
            <w:r>
              <w:rPr>
                <w:rFonts w:ascii="Arial" w:cs="Arial" w:eastAsia="Arial" w:hAnsi="Arial"/>
                <w:sz w:val="17"/>
                <w:szCs w:val="17"/>
                <w:color w:val="auto"/>
              </w:rPr>
              <w:t>9,692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8"/>
                <w:szCs w:val="18"/>
                <w:color w:val="auto"/>
              </w:rPr>
            </w:pPr>
          </w:p>
        </w:tc>
      </w:tr>
      <w:tr>
        <w:trPr>
          <w:trHeight w:val="220"/>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171,926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FF0FC"/>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3,364</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(58,975)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(58,975)</w:t>
            </w:r>
          </w:p>
        </w:tc>
      </w:tr>
      <w:tr>
        <w:trPr>
          <w:trHeight w:val="216"/>
        </w:trPr>
        <w:tc>
          <w:tcPr>
            <w:tcW w:w="3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comprehensive gain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FF0FC"/>
            </w:tcBorders>
          </w:tcPr>
          <w:p>
            <w:pPr>
              <w:spacing w:after="0"/>
              <w:rPr>
                <w:sz w:val="18"/>
                <w:szCs w:val="18"/>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25,354,651</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145,618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(124,220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21,415</w:t>
            </w:r>
          </w:p>
        </w:tc>
        <w:tc>
          <w:tcPr>
            <w:tcW w:w="120" w:type="dxa"/>
            <w:vAlign w:val="bottom"/>
            <w:shd w:val="clear" w:color="auto" w:fill="CFF0FC"/>
          </w:tcPr>
          <w:p>
            <w:pPr>
              <w:spacing w:after="0"/>
              <w:rPr>
                <w:sz w:val="18"/>
                <w:szCs w:val="18"/>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(58,975)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(25,882)</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(17,639)</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Loss on sale of fixed assets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investments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(48,116)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(54,485)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Maturities of available-for-sale-investments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Change in restricted cash</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sale of fixed assets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Proceeds from follow-on offering, net of issuance costs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w w:val="98"/>
              </w:rPr>
              <w:t>Proceeds from the issuance of Series C Preferred Stock, net of issuance costs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19,954</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long-term debt</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Principal payments made on long-term debt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86,390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12,014</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100" w:type="dxa"/>
            <w:vAlign w:val="bottom"/>
            <w:shd w:val="clear" w:color="auto" w:fill="CFF0FC"/>
          </w:tcPr>
          <w:p>
            <w:pPr>
              <w:spacing w:after="0"/>
              <w:rPr>
                <w:sz w:val="19"/>
                <w:szCs w:val="19"/>
                <w:color w:val="auto"/>
              </w:rPr>
            </w:pPr>
          </w:p>
        </w:tc>
      </w:tr>
      <w:tr>
        <w:trPr>
          <w:trHeight w:val="26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6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20,283</w:t>
            </w:r>
          </w:p>
        </w:tc>
        <w:tc>
          <w:tcPr>
            <w:tcW w:w="100" w:type="dxa"/>
            <w:vAlign w:val="bottom"/>
            <w:tcBorders>
              <w:bottom w:val="single" w:sz="8" w:color="CFF0FC"/>
            </w:tcBorders>
          </w:tcPr>
          <w:p>
            <w:pPr>
              <w:spacing w:after="0"/>
              <w:rPr>
                <w:sz w:val="22"/>
                <w:szCs w:val="22"/>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Interest paid</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Tenant improvements paid by landlord</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Reclassification of deferred initial public offering costs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 to purchase common stock</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Issuance of warrant to purchase Series B preferred stock</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8"/>
                <w:szCs w:val="18"/>
                <w:color w:val="auto"/>
              </w:rPr>
              <w:t>Unpaid initial public offering costs in accounts payable and accrued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Clearside Biomedical, Inc. (the “Company”) is a late-stage clinical biopharmaceutical company developing first-in-class drug therapies to treat blinding diseases of the eye. The Company’s current product candidates focus on treatments for diseases affecting the retina and choroid, especially diseases associated with macular edema, and are injected into the suprachoroidal space (“SCS”) using its proprietary SCS Microinjector. Incorporated in the State of Delaware on May 26, 2011, the Company has its corporate headquarters in Alpharetta, Georgia.</w:t>
      </w:r>
    </w:p>
    <w:p>
      <w:pPr>
        <w:spacing w:after="0" w:line="171"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1, 2016, the Company’s registration statement on Form S-1 relating to its initial public offering of its common stock (the “IPO”) was declared effective by the Securities and Exchange Commission (“SEC”). The IPO closed on June 7, 2016 and the Company sold 7,200,000 shares of common stock at a price to the public of $7.00 per share, for net proceeds of $45.3 million. On June 30, 2016, the underwriters of the IPO partially exercised their option to purchase additional shares, and on July 6, 2016, the Company sold 948,843 additional shares of common stock at a price to the public of $7.00 per share, for net proceeds of $6.1 million. The Company paid to the underwriters underwriting discounts and commissions of $4.0 million in connection with the IPO, including the underwriters’ exercise of their option to purchase additional shares. In addition, the Company incurred expenses of $1.6 million in connection with the IPO. Thus, the aggregate net offering proceeds to the Company, after deducting underwriting discounts and commissions and offering expenses, were $51.4 million.</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December 9, 2016, the Company’s registration statement on Form S-1 relating to its follow-on public offering of its common stock was declared effective by the SEC. The follow-on public offering closed on December 14, 2016 and the Company sold 4,000,000 share of common stock at a price to the public of $9.00 per share, for net proceeds of $33.4 million. On December 30, 2016, the underwriters of the follow-on public offering exercised their option to purchase additional shares and on January 6, 2017, the Company sold 600,000 additional shares of common stock at a price to the public of $9.00 per share, for net proceeds of $5.1 million. The Company paid to the underwriters underwriting discounts and commissions of $2.5 million in connection with the follow-on public offering, including the underwriters’ exercise of their option to purchase additional shares, and incurred expenses of $0.4 million in connection with the follow-on public offering.</w:t>
      </w:r>
    </w:p>
    <w:p>
      <w:pPr>
        <w:spacing w:after="0" w:line="18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On June 30, 2017, the Company entered into an at-the-market sales agreement with Cowen and Company LLC (“Cowen”), under which the Company may offer and sell, from time to time at its sole discretion, shares of its common stock having an aggregate offering price of up to $50.0 million through Cowen acting as its sales agent. As of the date of this report, the Company has not sold any shares of its common stock under the at-the-market facility.</w:t>
      </w:r>
    </w:p>
    <w:p>
      <w:pPr>
        <w:spacing w:after="0" w:line="14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w:t>
      </w:r>
    </w:p>
    <w:p>
      <w:pPr>
        <w:spacing w:after="0" w:line="124"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Prior to the IPO, the Company had funded its operations primarily through the sale of convertible preferred stock and the issuance of long-term debt, resulting in aggregate proceeds of approximately $53.9 million. Even with the completion of the IPO and the subsequent public offerings of common stock, the Company will continue to need to obtain additional financing to fund future operations, including completing the development and commercialization of its primary product candidates. The Company will need to expend substantial resources for research and development, including costs associated with the clinical testing of its product candidates. The Company will also need to obtain additional financing to conduct additional trials for the regulatory approval of its drug candidates if requested by regulatory bodies, and completing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right="420"/>
        <w:spacing w:after="0" w:line="277" w:lineRule="auto"/>
        <w:rPr>
          <w:sz w:val="20"/>
          <w:szCs w:val="20"/>
          <w:color w:val="auto"/>
        </w:rPr>
      </w:pPr>
      <w:r>
        <w:rPr>
          <w:rFonts w:ascii="Arial" w:cs="Arial" w:eastAsia="Arial" w:hAnsi="Arial"/>
          <w:sz w:val="18"/>
          <w:szCs w:val="18"/>
          <w:color w:val="auto"/>
        </w:rPr>
        <w:t>commercialize the products on its own. Moreover, the Company’s fixed expenses such as rent and other contractual commitments are substantial and are expected to increase in the future.</w:t>
      </w:r>
    </w:p>
    <w:p>
      <w:pPr>
        <w:spacing w:after="0" w:line="17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Company had cash, cash equivalents and short-term investments of $37.6 million as of December 31, 2017. In the absence of product or other revenues, the amount, timing, nature or source of which cannot be predicted, the Company’s losses will continue as it conducts its research and development activities. Until the Company can generate sufficient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However, the Company is able to control spending on development activities while proceeding with a new drug application and still advancing clinical trials for key drug candidates and the Company expects that the cash on hand as of the filing date, March 16, 2018, will be sufficient to fund its operations for at least the next 12 months from that date.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accruals, share-based compensation expense and income tax valuation allowance. Actual results could differ from these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All debt discounts are recorded against the related debt obligation and are amortized using the effective interest rate method over the term of the underlying debt obligation and reflected in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 xml:space="preserve">The Company records certain financial assets and liabilities at fair value in accordance with the provisions of Accounting Standards Codification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on fair value measurements. The Company’s material financial instruments at December 31, 2017 and 2016 consisted primarily of cash and cash equivalents, short-term investments and long-term debt. The fair value of cash and cash equivalents, other current assets, and accounts payable approximate their respective carrying values due to the short term nature of these instruments.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right="20"/>
        <w:spacing w:after="0" w:line="264" w:lineRule="auto"/>
        <w:rPr>
          <w:sz w:val="20"/>
          <w:szCs w:val="20"/>
          <w:color w:val="auto"/>
        </w:rPr>
      </w:pPr>
      <w:r>
        <w:rPr>
          <w:rFonts w:ascii="Arial" w:cs="Arial" w:eastAsia="Arial" w:hAnsi="Arial"/>
          <w:sz w:val="18"/>
          <w:szCs w:val="18"/>
          <w:color w:val="auto"/>
        </w:rPr>
        <w:t>deferred tax assets, which primarily consist of cumulative net operating losses of $28.0 million for the period from May 26, 2011 (inception) to December 31, 2017. Due to its history of operating losses since inception and losses expected to be incurred in the foreseeable future, a full valuation allowance was considered necessary.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On May 11, 2016, the Company effected a 1-for-2.2 reverse stock split of its issued and outstanding shares of common stock and a proportional adjustment to the existing conversion ratios for each series of the Company’s convertible preferred stock. Accordingly, all share and per share amounts for all periods presented in these financial statements and notes thereto have been adjusted retroactively, where applicable, to reflect this reverse stock split and adjustment of the preferred stock conversion ratios. The adjustment to the conversion ratio for the Series C convertible preferred stock also included an anti-dilution adjustment based on the initial public offering price of the Company’s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associated with nonclinical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Costs for certain development activities, such as clinical studies,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liabilities No material adjustments to these estimates have been recorded 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(net of estimated forfeitures)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 month withholding period prior to the purchase date.</w:t>
      </w:r>
    </w:p>
    <w:p>
      <w:pPr>
        <w:spacing w:after="0" w:line="7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160" w:firstLine="577"/>
        <w:spacing w:after="0" w:line="302" w:lineRule="auto"/>
        <w:rPr>
          <w:sz w:val="20"/>
          <w:szCs w:val="20"/>
          <w:color w:val="auto"/>
        </w:rPr>
      </w:pPr>
      <w:r>
        <w:rPr>
          <w:rFonts w:ascii="Arial" w:cs="Arial" w:eastAsia="Arial" w:hAnsi="Arial"/>
          <w:sz w:val="16"/>
          <w:szCs w:val="16"/>
          <w:color w:val="auto"/>
        </w:rPr>
        <w:t>Short-term investments are investments with original maturities of between 90 and 365 days when purchased and are comprised of certificates of deposit, commercial paper, corporate and government bonds and treasury bills. The Company classifies its short-term investments as available-for-sale securities. Short-term investments are recorded at fair value and unrealized gains and losses are recorded within accumulated other comprehensive loss until realized. In addition, the Company evaluates the short-investments with unrealized losses to determine whether such losses are other-than-temporary.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2017, the restricted cash balance was invested in a commercial money market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In August 2016, Financial Accounting Standards Board (“FASB”) issued ASU 2016-15, </w:t>
      </w:r>
      <w:r>
        <w:rPr>
          <w:rFonts w:ascii="Arial" w:cs="Arial" w:eastAsia="Arial" w:hAnsi="Arial"/>
          <w:sz w:val="18"/>
          <w:szCs w:val="18"/>
          <w:i w:val="1"/>
          <w:iCs w:val="1"/>
          <w:color w:val="auto"/>
        </w:rPr>
        <w:t>Statement of Cash Flows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The update addresses eight specific cash flow matters with the objective of reducing diversity in practice in how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payments are classified in the statement of cash flows. The update is effective for annual periods beginning after December 15, 2017, and interim periods within the period. Early adoption is permitted. The Company adopted the standard effective January 1, 2018, and the adoption did not have a material impact on its financial statements and related disclosures.</w:t>
      </w:r>
    </w:p>
    <w:p>
      <w:pPr>
        <w:spacing w:after="0" w:line="188"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Company adopted the standard effective January 1, 2018, and the adoption did not have a material impact on its financial statements and related disclosures.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ASU 2014-09, companies will be required to recognize revenue to depict the transfer of goods or services to customers in amounts that reflect the consideration (that is, payment) to which the company expects to be entitled in exchange for those goods or services. The new standard also will result in enhanced disclosures about revenue, provide guidance for transactions that were not previously addressed comprehensively (for example, service revenue and contract modifications) and modify guidance for multiple-element arrangements. In August 2015, the FASB issued ASU 2015-14, which deferred by one year the effective date of ASU 2014-09.</w:t>
      </w:r>
    </w:p>
    <w:p>
      <w:pPr>
        <w:spacing w:after="0" w:line="5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plans to adopt the standard using the modified retrospective transition method. After evaluating its current and prior license agreements, as well as its other collaboration agreements, the Company does not expect that the adoption of ASU 2014-09 will not have a material impact on its financial statements and related disclosures.</w:t>
      </w:r>
    </w:p>
    <w:p>
      <w:pPr>
        <w:spacing w:after="0" w:line="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requires lessees to recognize most leases on the balance sheet. This is expected to increase both reported assets and liabilities. The new lease standard does not substantially change lessor accounting.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is currently assessing the impact that adopting this new accounting standard will have on its financial statements and related disclosures.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vMerge w:val="restart"/>
          </w:tcPr>
          <w:p>
            <w:pPr>
              <w:jc w:val="right"/>
              <w:ind w:right="880"/>
              <w:spacing w:after="0"/>
              <w:rPr>
                <w:sz w:val="20"/>
                <w:szCs w:val="20"/>
                <w:color w:val="auto"/>
              </w:rPr>
            </w:pPr>
            <w:r>
              <w:rPr>
                <w:rFonts w:ascii="Arial" w:cs="Arial" w:eastAsia="Arial" w:hAnsi="Arial"/>
                <w:sz w:val="14"/>
                <w:szCs w:val="14"/>
                <w:b w:val="1"/>
                <w:bCs w:val="1"/>
                <w:color w:val="auto"/>
              </w:rPr>
              <w:t>December31,</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8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99"/>
              </w:rPr>
              <w:t>5</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jc w:val="center"/>
              <w:ind w:left="415"/>
              <w:spacing w:after="0"/>
              <w:rPr>
                <w:sz w:val="20"/>
                <w:szCs w:val="20"/>
                <w:color w:val="auto"/>
              </w:rPr>
            </w:pPr>
            <w:r>
              <w:rPr>
                <w:rFonts w:ascii="Arial" w:cs="Arial" w:eastAsia="Arial" w:hAnsi="Arial"/>
                <w:sz w:val="18"/>
                <w:szCs w:val="18"/>
                <w:color w:val="auto"/>
                <w:w w:val="99"/>
              </w:rPr>
              <w:t>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99"/>
              </w:rPr>
              <w:t>3</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Lesser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35"/>
              <w:spacing w:after="0"/>
              <w:rPr>
                <w:sz w:val="20"/>
                <w:szCs w:val="20"/>
                <w:color w:val="auto"/>
              </w:rPr>
            </w:pPr>
            <w:r>
              <w:rPr>
                <w:rFonts w:ascii="Arial" w:cs="Arial" w:eastAsia="Arial" w:hAnsi="Arial"/>
                <w:sz w:val="18"/>
                <w:szCs w:val="18"/>
                <w:color w:val="auto"/>
                <w:w w:val="94"/>
              </w:rPr>
              <w:t>useful life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ind w:left="1140"/>
              <w:spacing w:after="0"/>
              <w:rPr>
                <w:sz w:val="20"/>
                <w:szCs w:val="20"/>
                <w:color w:val="auto"/>
              </w:rPr>
            </w:pPr>
            <w:r>
              <w:rPr>
                <w:rFonts w:ascii="Arial" w:cs="Arial" w:eastAsia="Arial" w:hAnsi="Arial"/>
                <w:sz w:val="18"/>
                <w:szCs w:val="18"/>
                <w:color w:val="auto"/>
              </w:rPr>
              <w:t>Leasehold improvements</w:t>
            </w: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lease term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6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3"/>
          </w:tcPr>
          <w:p>
            <w:pPr>
              <w:jc w:val="right"/>
              <w:ind w:right="88"/>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5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2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359"/>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1,153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bonuses</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vacation</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6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2,791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April 2015, the Company entered into a loan agreement (the “original loan agreement”) with Silicon Valley Bank (“SVB”) for borrowings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 million, with a floating interest rate equal to the Wall Street Journal’s prime rate minus 0.50%. Under the terms of the original loan agreement,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tranche of $4.0 million was advanced on April 15, 2015 and an additional tranche of $2.0 million was advanced on May 15, 2015. The Company was required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pay accrued interest only for a period of 12 months from the date of each advance, followed by 30 equal monthly payments of principal and accrued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A final payment of $0.3 million, or 5.50% of the aggregate borrowed amount, was due at maturity of the loan in 2018 and was being accreted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over the life of the loan. Closing costs of $24,000 were recorded against the long-term debt liability and were also being accreted over the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loan.</w:t>
      </w:r>
    </w:p>
    <w:p>
      <w:pPr>
        <w:spacing w:after="0" w:line="21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September 2016, the Company entered into an amended and restated loan and security agreement, which was subsequently amended on October 31, 2017 (as amended, the “loan agreement”) with SVB, MidCap Funding XII Trust and MidCap Financial Trust (together, “MidCap” and collectively with SVB, the “Lenders”), which amended and restated in its entirety the Company’s original loan agreement. The loan agreement provides for new term loans of up to $15.0 million, with a floating interest rate equal to 7% plus the greater of (i) the 30-day U.S. LIBOR, reported in the Wall Street Journal on the last business day of the month that immediately precedes the month in which the interest will accrue, or (ii) 0.50%.</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terms of the loan agreement, an initial tranche of $8.0 million was advanced on September 28, 2016. The Company may draw the remaining $7.0 million through March 31, 2018. The Company was required to pay accrued interest only through December 31, 2017 on the outstanding amount, followed by 30 equal payments of principal and accrued interest. The Company has the option to prepay the outstanding balance of the term loans in full, subject to a prepayment fee of 2% of the original principal amount of the aggregate term loans for any prepayment through May 31, 2020. A final payment of $0.5 million, or 6.50% of the aggregate borrowed amount, is due at maturity of the loan on June 1, 2020, or upon the prepayment of the facility or the acceleration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4" w:name="page85"/>
    <w:bookmarkEnd w:id="84"/>
    <w:p>
      <w:pPr>
        <w:ind w:right="120"/>
        <w:spacing w:after="0" w:line="257" w:lineRule="auto"/>
        <w:rPr>
          <w:sz w:val="20"/>
          <w:szCs w:val="20"/>
          <w:color w:val="auto"/>
        </w:rPr>
      </w:pPr>
      <w:r>
        <w:rPr>
          <w:rFonts w:ascii="Arial" w:cs="Arial" w:eastAsia="Arial" w:hAnsi="Arial"/>
          <w:sz w:val="18"/>
          <w:szCs w:val="18"/>
          <w:color w:val="auto"/>
        </w:rPr>
        <w:t>of amounts due under the facility as a result of an event of default, and is being accreted in long-term debt over the life of the loan. Of the initial $8.0 million advanced on September 28, 2016,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new loan.</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term loans under the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Interest expense on the borrowings under the original loan agreement and the loan agreement was $653,000, $287,000 and $115,000 for the years ended December 31, 2017, 2016 and 2015, respectively. Accretion of the scheduled final payment under the original loan agreement and the loan agreement was $211,000, $283,000 and $101,000 for the years ended December 31, 2017, 2016 and 2015, respectively. Accretion of the deferred closing costs under the original loan agreement and the loan agreement was $62,000, $17,000 and $7,400 for the years ended December 31, 2017, 2016 and 2015, respectively.</w:t>
      </w:r>
    </w:p>
    <w:p>
      <w:pPr>
        <w:spacing w:after="0" w:line="154"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As of December 31, 2017, the scheduled payments for the loan agreement, including the scheduled final payment in 2020,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Interest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6"/>
                <w:szCs w:val="16"/>
                <w:b w:val="1"/>
                <w:bCs w:val="1"/>
                <w:color w:val="auto"/>
              </w:rPr>
              <w:t>Principal</w:t>
            </w:r>
          </w:p>
        </w:tc>
        <w:tc>
          <w:tcPr>
            <w:tcW w:w="20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Final Payment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Shareholder Notes Payable</w:t>
      </w:r>
    </w:p>
    <w:p>
      <w:pPr>
        <w:spacing w:after="0" w:line="121"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In April 2014, the Company authorized the sale of convertible promissory notes (the “Bridge Notes”) to its existing stockholders, including two of its executive officers and one of its directors in their individual capacities, in the aggregate principal amount of $6.0 million. In April 2014, the Company issued $3.0 million in aggregate principal amount of Bridge Notes. The outstanding notes accrued interest at a rate of 7%, with principal plus interest due upon maturity in April 2015, unless earlier converted. The Bridge Notes were convertible upon the occurrence of a qualified financing which occurred in August 2014, and accordingly the principal and interest under all of the Bridge Notes was converted automatically into an aggregate of 1,137,652 shares of Series B convertible preferred stock in connection with the financing. In connection with the issuance of the Bridge Notes, the Company also issued warrants to the lenders to purchase an aggregate of 112,802 shares of common stock at an exercise price of $0.02 per share. These warrants, which would have otherwise expired upon the closing of the IPO, were automatically net exercised for an aggregate of 112,441 shares of common stock upon the closing of the IPO.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Preferred Stock</w:t>
      </w:r>
    </w:p>
    <w:p>
      <w:pPr>
        <w:spacing w:after="0" w:line="121"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As of December 31, 2015, the Company had authorized an aggregate of 20,913,331 shares of Series A, A-1, B and C convertible preferred stock, par value $0.001 per share. Upon the closing of the Company’s IPO, all 20,839,633 shares of the Company’s convertible preferred stock that were issued and outstanding on that date were automatically converted into an aggregate of 9,614,159 shares of its common stock.</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convertible preferred stock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8"/>
        </w:trPr>
        <w:tc>
          <w:tcPr>
            <w:tcW w:w="274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A</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Series A-1</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B</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C</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r>
      <w:tr>
        <w:trPr>
          <w:trHeight w:val="171"/>
        </w:trPr>
        <w:tc>
          <w:tcPr>
            <w:tcW w:w="2740" w:type="dxa"/>
            <w:vAlign w:val="bottom"/>
          </w:tcPr>
          <w:p>
            <w:pPr>
              <w:spacing w:after="0"/>
              <w:rPr>
                <w:sz w:val="14"/>
                <w:szCs w:val="14"/>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r>
      <w:tr>
        <w:trPr>
          <w:trHeight w:val="156"/>
        </w:trPr>
        <w:tc>
          <w:tcPr>
            <w:tcW w:w="274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3"/>
                <w:szCs w:val="13"/>
                <w:color w:val="auto"/>
              </w:rPr>
            </w:pP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Stock</w:t>
            </w:r>
          </w:p>
        </w:tc>
      </w:tr>
      <w:tr>
        <w:trPr>
          <w:trHeight w:val="156"/>
        </w:trPr>
        <w:tc>
          <w:tcPr>
            <w:tcW w:w="2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January 1, 2016</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5,198,826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4,086</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4,356,931</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7,900</w:t>
            </w:r>
          </w:p>
        </w:tc>
        <w:tc>
          <w:tcPr>
            <w:tcW w:w="2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6,009,202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15,372</w:t>
            </w:r>
          </w:p>
        </w:tc>
        <w:tc>
          <w:tcPr>
            <w:tcW w:w="2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5,274,674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19,956</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47,314</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2740" w:type="dxa"/>
            <w:vAlign w:val="bottom"/>
          </w:tcPr>
          <w:p>
            <w:pPr>
              <w:spacing w:after="0" w:line="143" w:lineRule="exact"/>
              <w:rPr>
                <w:sz w:val="20"/>
                <w:szCs w:val="20"/>
                <w:color w:val="auto"/>
              </w:rPr>
            </w:pPr>
            <w:r>
              <w:rPr>
                <w:rFonts w:ascii="Arial" w:cs="Arial" w:eastAsia="Arial" w:hAnsi="Arial"/>
                <w:sz w:val="14"/>
                <w:szCs w:val="14"/>
                <w:color w:val="auto"/>
              </w:rPr>
              <w:t>Accretion of redeemable 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740" w:type="dxa"/>
            <w:vAlign w:val="bottom"/>
          </w:tcPr>
          <w:p>
            <w:pPr>
              <w:ind w:left="120"/>
              <w:spacing w:after="0"/>
              <w:rPr>
                <w:sz w:val="20"/>
                <w:szCs w:val="20"/>
                <w:color w:val="auto"/>
              </w:rPr>
            </w:pPr>
            <w:r>
              <w:rPr>
                <w:rFonts w:ascii="Arial" w:cs="Arial" w:eastAsia="Arial" w:hAnsi="Arial"/>
                <w:sz w:val="14"/>
                <w:szCs w:val="14"/>
                <w:color w:val="auto"/>
              </w:rPr>
              <w:t>preferred stock to redemption value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840</w:t>
            </w:r>
          </w:p>
        </w:tc>
        <w:tc>
          <w:tcPr>
            <w:tcW w:w="2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4"/>
                <w:szCs w:val="14"/>
                <w:color w:val="auto"/>
              </w:rPr>
            </w:pPr>
          </w:p>
        </w:tc>
      </w:tr>
      <w:tr>
        <w:trPr>
          <w:trHeight w:val="143"/>
        </w:trPr>
        <w:tc>
          <w:tcPr>
            <w:tcW w:w="27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 preferred stock</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 common stock at closing of IPO</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(5,198,826)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(4,086)</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(4,356,931)</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(7,900)</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(6,009,202)</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(16,212)</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(5,274,674)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(20,000)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(48,198)</w:t>
            </w:r>
          </w:p>
        </w:tc>
      </w:tr>
      <w:tr>
        <w:trPr>
          <w:trHeight w:val="156"/>
        </w:trPr>
        <w:tc>
          <w:tcPr>
            <w:tcW w:w="2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2016</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ind w:left="520"/>
        <w:spacing w:after="0"/>
        <w:rPr>
          <w:sz w:val="20"/>
          <w:szCs w:val="20"/>
          <w:color w:val="auto"/>
        </w:rPr>
      </w:pPr>
      <w:r>
        <w:rPr>
          <w:rFonts w:ascii="Arial" w:cs="Arial" w:eastAsia="Arial" w:hAnsi="Arial"/>
          <w:sz w:val="17"/>
          <w:szCs w:val="17"/>
          <w:color w:val="auto"/>
        </w:rPr>
        <w:t>As of December 31, 2017 and 2016, there were 10,000,000 shares of preferred stock authorized, none of which were issued and outstanding.</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Company to issue 100,000,000 shares of $0.001 par value common stock. As of December 31, 2017 and 2016, there were 25,354,651 and 24,573,033 shares of common stock outstanding,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2013, in connection with a loan agreement, the Company issued a warrant to the lender to purchase up to 16,550 shares of Series A-1 preferred stock at a price per share of $1.8132. The term of the warrant extended until 10 years from the grant date and the warrant was exercisable at any time during that 10-year period. This warrant was outstanding at December 31, 2015 and had a weighted average remaining life of 6.8 years and a fair value of $58,000. The warrant was automatically converted to a common stock warrant and was net exercised on June 6, 2016, in connection with the IPO, resulting in the issuance of 3,236 shares of common stock.</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April 2015, in connection with the original loan agreement, the Company issued a warrant to the lenders to purchase up to 57,143 shares of Series B preferred stock at a price per share of $3.50. The term of the warrant extends until 10 years from the grant date and the warrant is exercisable at any time during that 10-year period. The warrant was automatically converted into a warrant to purchase 25,974 shares of common stock at an exercise price of $7.70 upon the closing of the IPO. This warrant was outstanding at December 31, 2015 and had a weighted average remaining life of 9.25 years and a fair value of $0.2 million. This warrant was net exercised on October 12, 2016, resulting in the issuance of 17,883 shares of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During 2014, in connection with the sale of convertible promissory notes in connection with a preferred stock financing, the Company issued warrants to the lenders to purchase up to an aggregate of 112,802 shares of common stock at a price per share of $0.02. These warrants were outstanding at December 31, 2015 and had a remaining life of 8.2 years. These warrants, which would have otherwise expired upon the closing of the IPO, were automatically net exercised for an aggregate of 112,441 shares of common stock upon the closing of the IPO.</w:t>
      </w:r>
    </w:p>
    <w:p>
      <w:pPr>
        <w:spacing w:after="0" w:line="171" w:lineRule="exact"/>
        <w:rPr>
          <w:sz w:val="20"/>
          <w:szCs w:val="20"/>
          <w:color w:val="auto"/>
        </w:rPr>
      </w:pPr>
    </w:p>
    <w:p>
      <w:pPr>
        <w:ind w:right="240" w:firstLine="471"/>
        <w:spacing w:after="0" w:line="312" w:lineRule="auto"/>
        <w:rPr>
          <w:sz w:val="20"/>
          <w:szCs w:val="20"/>
          <w:color w:val="auto"/>
        </w:rPr>
      </w:pPr>
      <w:r>
        <w:rPr>
          <w:rFonts w:ascii="Arial" w:cs="Arial" w:eastAsia="Arial" w:hAnsi="Arial"/>
          <w:sz w:val="16"/>
          <w:szCs w:val="16"/>
          <w:color w:val="auto"/>
        </w:rPr>
        <w:t>In September 2016, in connection with the loan agreement,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remaining life of 8.75 years as of December 31, 2017.</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Company reserved 1,818,182 shares of common stock for issuance under the 2016 Plan.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for a period of ten years, from January 1, 2017 through January 1, 2026, by 4% of the total number of shares of the Company’s common stock outstanding on December 31 of the preceding calendar year, or a lesser number of shares as may be determined by the Company’s board of directors. At December 31, 2017, under the 2016 Plan, options to purchase 2,044,400 shares of the Company’s common stock were outstanding at a weighted average price of $7.98 per share and 751,078 shares remained available for future grant. As of January 1, 2018, the number of shares of common stock that may be issued under the 2016 Plan was automatically increased by 1,014,186 shares, representing 4% of the total number of shares of common stock outstanding on December 31, 2017, increasing the number of shares of common stock available for issuance under the 2016 Plan as of that date to 1,765,264 shares.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right="140" w:firstLine="518"/>
        <w:spacing w:after="0" w:line="312" w:lineRule="auto"/>
        <w:rPr>
          <w:sz w:val="20"/>
          <w:szCs w:val="20"/>
          <w:color w:val="auto"/>
        </w:rPr>
      </w:pPr>
      <w:r>
        <w:rPr>
          <w:rFonts w:ascii="Arial" w:cs="Arial" w:eastAsia="Arial" w:hAnsi="Arial"/>
          <w:sz w:val="16"/>
          <w:szCs w:val="16"/>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2017, options to purchase 1,013,713 shares of the Company’s common stock were outstanding under the 2011 Plan at a weighted average exercise price of $2.47 per share.</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 has granted stock option awards to employees, directors and consultants. The total share-based compensation expense recognized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2FA"/>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gridSpan w:val="2"/>
            <w:shd w:val="clear" w:color="auto" w:fill="CFF2FA"/>
          </w:tcPr>
          <w:p>
            <w:pPr>
              <w:jc w:val="right"/>
              <w:ind w:right="6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7"/>
              </w:rPr>
              <w:t>1,348</w:t>
            </w:r>
          </w:p>
        </w:tc>
        <w:tc>
          <w:tcPr>
            <w:tcW w:w="4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539</w:t>
            </w:r>
          </w:p>
        </w:tc>
        <w:tc>
          <w:tcPr>
            <w:tcW w:w="540" w:type="dxa"/>
            <w:vAlign w:val="bottom"/>
            <w:gridSpan w:val="2"/>
            <w:shd w:val="clear" w:color="auto" w:fill="CFF2FA"/>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Borders>
              <w:bottom w:val="single" w:sz="8" w:color="CFF2FA"/>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1,988</w:t>
            </w:r>
          </w:p>
        </w:tc>
        <w:tc>
          <w:tcPr>
            <w:tcW w:w="26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Borders>
              <w:bottom w:val="single" w:sz="8" w:color="CFF2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2FA"/>
            </w:tcBorders>
            <w:shd w:val="clear" w:color="auto" w:fill="CFF2FA"/>
          </w:tcPr>
          <w:p>
            <w:pPr>
              <w:spacing w:after="0"/>
              <w:rPr>
                <w:sz w:val="19"/>
                <w:szCs w:val="19"/>
                <w:color w:val="auto"/>
              </w:rPr>
            </w:pPr>
          </w:p>
        </w:tc>
        <w:tc>
          <w:tcPr>
            <w:tcW w:w="880" w:type="dxa"/>
            <w:vAlign w:val="bottom"/>
            <w:tcBorders>
              <w:bottom w:val="single" w:sz="8" w:color="auto"/>
            </w:tcBorders>
            <w:shd w:val="clear" w:color="auto" w:fill="CFF2FA"/>
          </w:tcPr>
          <w:p>
            <w:pPr>
              <w:jc w:val="right"/>
              <w:ind w:right="69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97"/>
              </w:rPr>
              <w:t>3,336</w:t>
            </w:r>
          </w:p>
        </w:tc>
        <w:tc>
          <w:tcPr>
            <w:tcW w:w="26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1,314</w:t>
            </w:r>
          </w:p>
        </w:tc>
        <w:tc>
          <w:tcPr>
            <w:tcW w:w="260" w:type="dxa"/>
            <w:vAlign w:val="bottom"/>
            <w:tcBorders>
              <w:bottom w:val="single" w:sz="8" w:color="CFF2FA"/>
            </w:tcBorders>
            <w:shd w:val="clear" w:color="auto" w:fill="CFF2FA"/>
          </w:tcPr>
          <w:p>
            <w:pPr>
              <w:spacing w:after="0"/>
              <w:rPr>
                <w:sz w:val="19"/>
                <w:szCs w:val="19"/>
                <w:color w:val="auto"/>
              </w:rPr>
            </w:pPr>
          </w:p>
        </w:tc>
        <w:tc>
          <w:tcPr>
            <w:tcW w:w="280" w:type="dxa"/>
            <w:vAlign w:val="bottom"/>
            <w:tcBorders>
              <w:bottom w:val="single" w:sz="8" w:color="auto"/>
            </w:tcBorders>
            <w:shd w:val="clear" w:color="auto" w:fill="CFF2FA"/>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81" w:lineRule="exact"/>
        <w:rPr>
          <w:sz w:val="20"/>
          <w:szCs w:val="20"/>
          <w:color w:val="auto"/>
        </w:rPr>
      </w:pPr>
    </w:p>
    <w:p>
      <w:pPr>
        <w:ind w:right="260" w:firstLine="518"/>
        <w:spacing w:after="0" w:line="258" w:lineRule="auto"/>
        <w:rPr>
          <w:sz w:val="20"/>
          <w:szCs w:val="20"/>
          <w:color w:val="auto"/>
        </w:rPr>
      </w:pPr>
      <w:r>
        <w:rPr>
          <w:rFonts w:ascii="Arial" w:cs="Arial" w:eastAsia="Arial" w:hAnsi="Arial"/>
          <w:sz w:val="18"/>
          <w:szCs w:val="18"/>
          <w:color w:val="auto"/>
        </w:rPr>
        <w:t>The following table sets forth the weighted average assumptions utilized in the fair value calculation for the underlying common stock for the years ended December 31, 2017, 2016 and 2015.</w:t>
      </w:r>
    </w:p>
    <w:p>
      <w:pPr>
        <w:spacing w:after="0" w:line="1"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96.85%</w:t>
            </w:r>
          </w:p>
        </w:tc>
        <w:tc>
          <w:tcPr>
            <w:tcW w:w="8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97.45%</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2.20%</w:t>
            </w:r>
          </w:p>
        </w:tc>
        <w:tc>
          <w:tcPr>
            <w:tcW w:w="8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(in years): The Company utilized the guidance set forth in ASC 718 to determine the expected term of options.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as prescribed by ASC 718, as the Company does not have sufficient historical exercise and post-vesting termination data to provide a reasonable basis upon which to estimate the expected term of stock options granted to employees.</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similar to the expected time to a</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liquidity event.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in the foreseeable future.</w:t>
      </w:r>
    </w:p>
    <w:p>
      <w:pPr>
        <w:spacing w:after="0" w:line="22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i w:val="1"/>
          <w:iCs w:val="1"/>
          <w:color w:val="auto"/>
        </w:rPr>
        <w:t>Expected stock price volatility</w:t>
      </w:r>
      <w:r>
        <w:rPr>
          <w:rFonts w:ascii="Arial" w:cs="Arial" w:eastAsia="Arial" w:hAnsi="Arial"/>
          <w:sz w:val="18"/>
          <w:szCs w:val="18"/>
          <w:color w:val="auto"/>
        </w:rPr>
        <w:t>: The volatility assumption is based on the historical volatilities of the stock of several public entities that are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 the Company does not have sufficient historical transactions in its own shares on which to base expected volatility. A similar peer group of companies was utilized for 2017 and 2016.</w:t>
      </w:r>
    </w:p>
    <w:p>
      <w:pPr>
        <w:spacing w:after="0" w:line="181"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As of January 1, 2017, upon adopting ASU 2016-09, the Company began recording forfeitures as they occurred. In prior years,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had estimated its forfeiture rate to be zero for the periods presented and any expense true-ups for terminated employees have been immaterial.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year ended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2,243,575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1,127,950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(171,926)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Cancelled/Forfeited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(124,250)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2017</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2016</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789,120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2017</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provides additional information about the Company’s stock options that were outstanding and exercisable at December 31, 2017 (aggregate intrinsic values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Average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Weighted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Aggregate</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Remaining</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Average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Aggregate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6"/>
        </w:trPr>
        <w:tc>
          <w:tcPr>
            <w:tcW w:w="1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Exercise</w:t>
            </w: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Intrinsic</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Contractual</w:t>
            </w: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Exercise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Intrinsic</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19"/>
        </w:trPr>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Life (Years)</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Exercisable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Life (Years)</w:t>
            </w:r>
          </w:p>
        </w:tc>
      </w:tr>
      <w:tr>
        <w:trPr>
          <w:trHeight w:val="213"/>
        </w:trPr>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$0.02 - $0.40</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465,265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465,265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1420" w:type="dxa"/>
            <w:vAlign w:val="bottom"/>
          </w:tcPr>
          <w:p>
            <w:pPr>
              <w:jc w:val="center"/>
              <w:spacing w:after="0"/>
              <w:rPr>
                <w:sz w:val="20"/>
                <w:szCs w:val="20"/>
                <w:color w:val="auto"/>
              </w:rPr>
            </w:pPr>
            <w:r>
              <w:rPr>
                <w:rFonts w:ascii="Arial" w:cs="Arial" w:eastAsia="Arial" w:hAnsi="Arial"/>
                <w:sz w:val="16"/>
                <w:szCs w:val="16"/>
                <w:color w:val="auto"/>
                <w:w w:val="91"/>
              </w:rPr>
              <w:t>$3.08 - $5.89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1,385,871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$6.16 - $8.90</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1,105,921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91"/>
              </w:rPr>
              <w:t>$9.11 - $20.84</w:t>
            </w:r>
          </w:p>
        </w:tc>
        <w:tc>
          <w:tcPr>
            <w:tcW w:w="16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118,292</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28,228</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3,075,349</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5,598</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1,114,286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As of December 31, 2017, the Company had $11.6 million of unrecognized compensation expense related to unvested stock options, which is expected to be recognized over a weighted average period of 3.1 years. The weighted-average fair values of all stock options granted for the years ended December 31, 2017, 2016 and 2015 was $5.25 per share, $7.89 per share and $5.72 per share, respectively. The intrinsic value is calculated as the difference between the fair market value and the exercise price per share of the stock options. The fair market value per share of common stock as of December 29, 2017 was $7.00, which was the closing sale price of the Company’s common stock on the Nasdaq Global Market on that date.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Company reserved 181,818 shares of common stock for issuance under the 2016 ESPP. Additionally, the number of shares reserved for issuance under the 2016 ESPP will automatically increase for a period of ten years, from January 1, 2017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As of January 1, 2018, the number of shares of common stock that may be issued under the 2016 ESPP was automatically increased by 253,546 shares, representing 1% of the total number of shares of common stock outstanding on December 31, 2017, increasing the number of shares of common stock available for issuance under the 2016 ESPP as of that date to 671,402 shares.</w:t>
      </w:r>
    </w:p>
    <w:p>
      <w:pPr>
        <w:spacing w:after="0" w:line="18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first offering period for the 2016 ESPP commenced on January 1, 2017. The 2016 ESPP is considered a compensatory plan and the fair value of the discount and the look-back period are estimated using the Black-Scholes option pricing model and expense is recognized over the six month withholding period prior to the purchase date. During the year ended December 31, 2017, the Company issued 9,692 shares of common stock purchased under the 2016 ESPP, and $21,000 and $7,000 of share-based compensation expense was recorded in general and administration expense and research and development expense,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No provision for U.S. federal or state income taxes has been recorded as the Company has incurred net operating losses since inception. Significant components of the Company’s net deferred income tax assets consist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7"/>
              </w:rPr>
              <w:t>December 31,</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tax asset (liability)</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52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27,999</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23,391</w:t>
            </w:r>
          </w:p>
        </w:tc>
        <w:tc>
          <w:tcPr>
            <w:tcW w:w="18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14,119</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Non-deductible accrued expenses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Stock compensation expense</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differences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Federal tax credits</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tax credits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Charitable contributions</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(32,670)</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(25,446)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(15,605)</w:t>
            </w:r>
          </w:p>
        </w:tc>
      </w:tr>
      <w:tr>
        <w:trPr>
          <w:trHeight w:val="223"/>
        </w:trPr>
        <w:tc>
          <w:tcPr>
            <w:tcW w:w="4120" w:type="dxa"/>
            <w:vAlign w:val="bottom"/>
          </w:tcPr>
          <w:p>
            <w:pPr>
              <w:ind w:left="380"/>
              <w:spacing w:after="0"/>
              <w:rPr>
                <w:sz w:val="20"/>
                <w:szCs w:val="20"/>
                <w:color w:val="auto"/>
              </w:rPr>
            </w:pPr>
            <w:r>
              <w:rPr>
                <w:rFonts w:ascii="Arial" w:cs="Arial" w:eastAsia="Arial" w:hAnsi="Arial"/>
                <w:sz w:val="18"/>
                <w:szCs w:val="18"/>
                <w:color w:val="auto"/>
              </w:rPr>
              <w:t>Net deferred tax asset</w:t>
            </w:r>
          </w:p>
        </w:tc>
        <w:tc>
          <w:tcPr>
            <w:tcW w:w="14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56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6640" w:type="dxa"/>
            <w:vAlign w:val="bottom"/>
            <w:gridSpan w:val="3"/>
          </w:tcPr>
          <w:p>
            <w:pPr>
              <w:ind w:left="520"/>
              <w:spacing w:after="0"/>
              <w:rPr>
                <w:sz w:val="20"/>
                <w:szCs w:val="20"/>
                <w:color w:val="auto"/>
              </w:rPr>
            </w:pPr>
            <w:r>
              <w:rPr>
                <w:rFonts w:ascii="Arial" w:cs="Arial" w:eastAsia="Arial" w:hAnsi="Arial"/>
                <w:sz w:val="18"/>
                <w:szCs w:val="18"/>
                <w:color w:val="auto"/>
                <w:w w:val="95"/>
              </w:rPr>
              <w:t>A reconciliation of the statutory tax rates and the effective tax rates is as follows: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4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U.S. federal tax rate</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34.00%</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34.00%</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State tax rate</w:t>
            </w:r>
          </w:p>
        </w:tc>
        <w:tc>
          <w:tcPr>
            <w:tcW w:w="168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 and other</w:t>
            </w:r>
          </w:p>
        </w:tc>
        <w:tc>
          <w:tcPr>
            <w:tcW w:w="2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(2.84)</w:t>
            </w: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(1.98)</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Tax credit</w:t>
            </w:r>
          </w:p>
        </w:tc>
        <w:tc>
          <w:tcPr>
            <w:tcW w:w="1680" w:type="dxa"/>
            <w:vAlign w:val="bottom"/>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(12.42)</w:t>
            </w: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(37.43)</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(39.94)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Impact of federal rate change</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(25.13)</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5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7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December 2017, the 2017 Tax Cuts and Jobs Act (the “2017 Tax Act”) was signed into law. The 2017 Tax Act significantly revises the U.S. corporate income tax by, among other things, lowering the statutory corporate tax rate from 34% to 21%, eliminating certain deductions, imposing a mandatory one-time tax on accumulated earnings of foreign subsidiaries, introducing new tax regimes, and changing how foreign earnings are subject to U.S. tax. The 2017 Tax Act also enhanced and extended through 2026 the option to claim accelerated depreciation deductions on qualified property. The Company has not completed its determination of the accounting implications of the 2017 Tax Act on its tax accruals. However, the Company has reasonably estimated the effects of the 2017 Tax Act and recorded provisional amounts in its financial statements as of December 31, 2017. The Company recorded a provisional tax expense of the impact of the 2017 Tax Act of approximately $14.9 million. This amount is primarily comprised of the re-measurement of federal deferred tax liabilities resulting from the permanent reduction in the U.S. statutory corporate tax rate to 21% from 34%. As the Company completes its analysis of the 2017 Tax Act, collects and prepares necessary data, and interprets any additional guidance issued by the U.S. Treasury Department, the IRS, and other standard-setting bodies, the Company may make adjustments to the provisional amounts. Those adjustments may materially impact the Company’s provision for income taxes in the period in which the adjustments are made. Based on the Company’s history of net operating losses, any benefit that is being or will be derived from the 2017 Tax Act will be offset by a full valuation allowance, as discussed further below.</w:t>
      </w:r>
    </w:p>
    <w:p>
      <w:pPr>
        <w:spacing w:after="0" w:line="12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Realization of the future tax benefits is dependent on the Company’s ability to generate sufficient taxable income within the carryforward period. Due to the Company’s history of operating losses, the deferred tax assets arising from the aforementioned future tax benefits are currently not likely to be realized and, accordingly, are offset by a full valuation allowance. The income tax provision varies from the expected provision determined by applying the federal statutory income tax rate to income (loss). The difference in the expected provision, as determined by applying the federal statutory income tax rate to income (loss) is primarily due to the increase in the deferred income tax valuation allowance of $7.2 million, $9.8 million and $7.0 million for the years ended December 31, 2017, 2016 and 2015, respectively, and in 2017, the impact of the federal rate change because of the 2017 Tax Act.</w:t>
      </w:r>
    </w:p>
    <w:p>
      <w:pPr>
        <w:spacing w:after="0" w:line="16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December 31, 2017, the Company had net deferred tax assets primarily related to net operating loss carryforwards of $28.0 million, which expire through 2037. Utilization of the net operating loss carryforwards and credits may be subject to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ind w:right="320"/>
        <w:spacing w:after="0" w:line="264" w:lineRule="auto"/>
        <w:rPr>
          <w:sz w:val="20"/>
          <w:szCs w:val="20"/>
          <w:color w:val="auto"/>
        </w:rPr>
      </w:pPr>
      <w:r>
        <w:rPr>
          <w:rFonts w:ascii="Arial" w:cs="Arial" w:eastAsia="Arial" w:hAnsi="Arial"/>
          <w:sz w:val="18"/>
          <w:szCs w:val="18"/>
          <w:color w:val="auto"/>
        </w:rPr>
        <w:t>substantial annual limitation due to the ownership change limitations provided by the Internal Revenue Code of 1986, as amended, and similar state provisions. The effect of an ownership change could be an imposition of an annual limitation on the use of net operating loss carryforwards attributable to periods before the change.</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U.S. federal statute of limitations remains open for the periods from inception and forward. The Company has not been the subject of examination by the taxing authorities.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 uncertain tax positions.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previously leased office space under non-cancelable operating leases which expired in March 2017.</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November 2016, the Company signed a new office lease agreement to lease approximately 20,000 square feet of office space in Alpharetta, Georgia for its corporate headquarters. The lease agreement is for a six and one-half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new space in March 2017.</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Minimum lease payments were as follows at December 31, 2017 (in thousands):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$214,000, $81,000 and $150,000 for the years ended December 31, 2017, 2016 and 2015,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License and Collaboration Agreements</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ended March 31, 2016, the Company began recognizing the $200,000 to revenue over the period of time to complete clinical development and commercialization of the Covered Products and the beginning of the first set of patent expirations in 2027. The Company recorded $20,000 of license revenue during each of the years ended December 31, 2017 and 2016 for this license agreement. NovaMedica is jointly owned by Rusnano MedInvest LLC (“Rusnano MedInvest”) and Domain Russia Investments Limited. RMI Investments, which beneficially owned approximately 6% of the Company’s voting securities as of December 31, 2017, is a wholly owned subsidiary of Rusnano MedInvest.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right="420" w:firstLine="518"/>
        <w:spacing w:after="0" w:line="279" w:lineRule="auto"/>
        <w:rPr>
          <w:sz w:val="20"/>
          <w:szCs w:val="20"/>
          <w:color w:val="auto"/>
        </w:rPr>
      </w:pPr>
      <w:r>
        <w:rPr>
          <w:rFonts w:ascii="Arial" w:cs="Arial" w:eastAsia="Arial" w:hAnsi="Arial"/>
          <w:sz w:val="17"/>
          <w:szCs w:val="17"/>
          <w:color w:val="auto"/>
        </w:rPr>
        <w:t>In April 2015, the Company entered into a license and collaboration agreement (the “Spark Agreement”) with Spark Therapeutics, Inc. (“Spark”) under which Spark could acquire the exclusive rights to license the Company’s microinjector technology and access to the SCS within the eye for development and ultimate commercialization of Spark’s gene therapy treatments to be delivered via the microinjector. In conjunction with executing the Spark Agreement, Spark made an upfront, non-refundable payment to the Company of $500,000.</w:t>
      </w:r>
    </w:p>
    <w:p>
      <w:pPr>
        <w:spacing w:after="0" w:line="17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February 2016, the initial study was completed and Spark elected not to extend the arrangement nor license the technology which terminated the Spark Agreement in accordance with the agreement terms. During the quarter ended March 31, 2016, the Company recorded as revenue the $500,000 upfront payment as the amount was non-refundable and the Company had no further obligations under the Spark Agreement.</w:t>
      </w:r>
    </w:p>
    <w:p>
      <w:pPr>
        <w:spacing w:after="0" w:line="166" w:lineRule="exact"/>
        <w:rPr>
          <w:sz w:val="20"/>
          <w:szCs w:val="20"/>
          <w:color w:val="auto"/>
        </w:rPr>
      </w:pPr>
    </w:p>
    <w:p>
      <w:pPr>
        <w:jc w:val="both"/>
        <w:ind w:right="60" w:firstLine="476"/>
        <w:spacing w:after="0" w:line="312" w:lineRule="auto"/>
        <w:rPr>
          <w:sz w:val="20"/>
          <w:szCs w:val="20"/>
          <w:color w:val="auto"/>
        </w:rPr>
      </w:pPr>
      <w:r>
        <w:rPr>
          <w:rFonts w:ascii="Arial" w:cs="Arial" w:eastAsia="Arial" w:hAnsi="Arial"/>
          <w:sz w:val="16"/>
          <w:szCs w:val="16"/>
          <w:color w:val="auto"/>
        </w:rPr>
        <w:t>The Company has periodically entered into other short-term collaboration agreements to evaluate the potential use of its proprietary SCS microinjector with third-party product candidates for the treatment of various diseases. Funds received from these collaboration agreements are recognized as revenue over the term of the agreement. The Company recorded $325,000 of revenue from these collaboration agreements during the year ended December 31,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Available-for-Sale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as of December 31, 2017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Amortized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Loss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bonds and agency obligations</w:t>
            </w:r>
          </w:p>
        </w:tc>
        <w:tc>
          <w:tcPr>
            <w:tcW w:w="20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11,241</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Commercial paper</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Certificates of deposit</w:t>
            </w:r>
          </w:p>
        </w:tc>
        <w:tc>
          <w:tcPr>
            <w:tcW w:w="1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1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The Company records certain financial assets and liabilities at fair value in accordance with the provisions of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As defined in the guidance, fair value, defined as an exit price, represents the amount that would be received to sell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64"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Company’s material financial instruments at December 31, 2017 and 2016 consisted primarily of cash and cash equivalents, short-term investments and long-term debt and stock purchase warrant liabilities. The fair value of cash and cash equivalents, government bonds,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certificates of deposit, corporate bonds, commercial paper, treasury bills and agency obligations,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 The Company has determined its stock purchase warrants liability to be Level 3 in the fair value hierarchy.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significant transfers between Levels 1, 2 and 3 during the years ended December 31, 2017 and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right="12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and liabilities that are measured at fair value and the classification by level of input within the fair value hierarchy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Government bonds and treasury bills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Corporate bonds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FF0FC"/>
          </w:tcPr>
          <w:p>
            <w:pPr>
              <w:spacing w:after="0"/>
              <w:rPr>
                <w:sz w:val="19"/>
                <w:szCs w:val="19"/>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29,928</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29,928</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Government bonds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19,027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19,027</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Agency obligations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4,179</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49,315</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34,676</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Prior to the IPO, the Company estimated the fair value of its warrants to purchase preferred stock using an option pricing model that included three valuation scenarios, a non-IPO scenario and two IPO scenarios. Under the IPO scenarios, the Company calculated the value of the warrant based on a call option of the common share at IPO (assuming the underlying preferred stock would convert to common stock) given the time to exit and the term of the warrants stipulated in the contract. The Company then applied a discount for lack of marketability. Subsequent to the IPO, the Company used the Black-Scholes option pricing model to estimate the fair value of the remaining warrants. The estimates in the Black-Scholes option pricing model are based, in part, on assumptions related to the volatility of comparable public companies, the expected life of the warrants, the risk-free interest rate and the fair value of the underlying warrants. Changes in the fair value of the stock purchase warrants were recorded in other expense, net in the statements of operations. The following table summarizes the changes in fair value of the Level 3 liability, stock purchase warrants (in thousands):</w:t>
      </w:r>
    </w:p>
    <w:p>
      <w:pPr>
        <w:sectPr>
          <w:pgSz w:w="11900" w:h="16838" w:orient="portrait"/>
          <w:cols w:equalWidth="0" w:num="1">
            <w:col w:w="11340"/>
          </w:cols>
          <w:pgMar w:left="240" w:top="5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Stock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-136525</wp:posOffset>
            </wp:positionV>
            <wp:extent cx="506857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Issuance of stock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Exercise of stock purchase warrants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Net increase in fair value remeasurement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-116205</wp:posOffset>
            </wp:positionV>
            <wp:extent cx="506857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end of period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Level 3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9264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December 31,</w:t>
      </w:r>
    </w:p>
    <w:p>
      <w:pPr>
        <w:spacing w:after="0" w:line="24"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2016</w:t>
      </w:r>
    </w:p>
    <w:p>
      <w:pPr>
        <w:spacing w:after="0" w:line="275" w:lineRule="exact"/>
        <w:rPr>
          <w:sz w:val="20"/>
          <w:szCs w:val="20"/>
          <w:color w:val="auto"/>
        </w:rPr>
      </w:pPr>
    </w:p>
    <w:p>
      <w:pPr>
        <w:ind w:left="1180" w:hanging="1175"/>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258</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(414)</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264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5" w:lineRule="exact"/>
        <w:rPr>
          <w:sz w:val="20"/>
          <w:szCs w:val="20"/>
          <w:color w:val="auto"/>
        </w:rPr>
      </w:pPr>
    </w:p>
    <w:p>
      <w:pPr>
        <w:ind w:left="1280" w:hanging="1275"/>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264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9264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7440" w:space="720"/>
            <w:col w:w="3180"/>
          </w:cols>
          <w:pgMar w:left="240" w:top="557" w:right="319" w:bottom="1440" w:gutter="0" w:footer="0" w:header="0"/>
          <w:type w:val="continuous"/>
        </w:sectPr>
      </w:pPr>
    </w:p>
    <w:p>
      <w:pPr>
        <w:ind w:right="120" w:firstLine="518"/>
        <w:spacing w:after="0" w:line="264"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For all periods presented, the Company’s potential common stock equivalents, which included convertible preferred stock, stock options, unvested restricted stock and stock purchase warrants, have been excluded from the computation of diluted net loss per share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type w:val="continuous"/>
        </w:sectPr>
      </w:pPr>
    </w:p>
    <w:bookmarkStart w:id="92" w:name="page93"/>
    <w:bookmarkEnd w:id="92"/>
    <w:p>
      <w:pPr>
        <w:ind w:right="360"/>
        <w:spacing w:after="0" w:line="277" w:lineRule="auto"/>
        <w:rPr>
          <w:sz w:val="20"/>
          <w:szCs w:val="20"/>
          <w:color w:val="auto"/>
        </w:rPr>
      </w:pPr>
      <w:r>
        <w:rPr>
          <w:rFonts w:ascii="Arial" w:cs="Arial" w:eastAsia="Arial" w:hAnsi="Arial"/>
          <w:sz w:val="18"/>
          <w:szCs w:val="18"/>
          <w:color w:val="auto"/>
        </w:rPr>
        <w:t>as their inclusion would have the effect of reducing the net loss per share. Therefore, the denominator used to calculate both basic and diluted net loss per share is the same in all periods presented.</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76"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Year Ended</w:t>
      </w:r>
    </w:p>
    <w:p>
      <w:pPr>
        <w:jc w:val="center"/>
        <w:ind w:left="6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12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9,472,530</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3,075,349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2,243,575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1,261,637</w:t>
            </w:r>
          </w:p>
        </w:tc>
        <w:tc>
          <w:tcPr>
            <w:tcW w:w="10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purchase warrants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146,298</w:t>
            </w:r>
          </w:p>
        </w:tc>
        <w:tc>
          <w:tcPr>
            <w:tcW w:w="100" w:type="dxa"/>
            <w:vAlign w:val="bottom"/>
            <w:tcBorders>
              <w:bottom w:val="single" w:sz="8" w:color="CFF0FC"/>
            </w:tcBorders>
          </w:tcPr>
          <w:p>
            <w:pPr>
              <w:spacing w:after="0"/>
              <w:rPr>
                <w:sz w:val="19"/>
                <w:szCs w:val="19"/>
                <w:color w:val="auto"/>
              </w:rPr>
            </w:pPr>
          </w:p>
        </w:tc>
      </w:tr>
      <w:tr>
        <w:trPr>
          <w:trHeight w:val="223"/>
        </w:trPr>
        <w:tc>
          <w:tcPr>
            <w:tcW w:w="6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3,105,145</w:t>
            </w: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2,273,371</w:t>
            </w: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10,886,950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Information (unaudited)</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Summarized quarterly financial information for each of the years ended December 31, 2017 and 2016 are as follows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34"/>
        </w:trPr>
        <w:tc>
          <w:tcPr>
            <w:tcW w:w="5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(10,373)</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(13,773)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(18,336)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(16,493)</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(0.41)</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(0.65)</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34"/>
        </w:trPr>
        <w:tc>
          <w:tcPr>
            <w:tcW w:w="5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(9,362)</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(5,449)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(5,645)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(9,686)</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(0.45)</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 The Company has granted the underwriters of the offering an option, exercisable through April 6, 2018, to purchase up to an additional 980,769 shares of common stock at the public offering price.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2017. Based on that evaluation, our Chief Executive Officer and Chief Financial Officer concluded that our disclosure controls and procedures were effective as of the end of the period covered by this report at the reasonable assurance level.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2017 that has materially affected, or is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Report of the Registered Public Accounting Firm</w:t>
      </w:r>
    </w:p>
    <w:p>
      <w:pPr>
        <w:spacing w:after="0" w:line="1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2017, our internal control over financial reporting was effective.</w:t>
      </w:r>
    </w:p>
    <w:p>
      <w:pPr>
        <w:spacing w:after="0" w:line="6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will file a definitive Proxy Statement for our 2018 Annual Meeting of Stockholders (the “2018 Proxy Statement”) with the SEC, pursuant to Regulation 14A, not later than 120 days after the end of our fiscal year. Accordingly, certain information required by Part III has been omitted under General Instruction G(3) to Form 10-K. Only those sections of the 2018 Proxy Statement that specifically address the items set forth herein are incorporated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information required by Item 10 is hereby incorporated by reference to the sections of the 2018 Proxy Statement under the captions "Information Regarding the Board of Directors and Corporate Governance," "Election of Directors," "Executive Officers" and "Section 16(a) Beneficial Ownership Reporting Compliance."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2018 Proxy Statement under the captions "Executive Compensation" and "Non-Employee Director Compensation."</w:t>
      </w:r>
    </w:p>
    <w:p>
      <w:pPr>
        <w:spacing w:after="0" w:line="27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The information required by Item 12 is hereby incorporated by reference to the sections of the 2018 Proxy Statement under the captions "Security Ownership of Certain Beneficial Owners and Management" and "Securities Authorized for Issuance under Equity Compensation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information required by Item 13 is hereby incorporated by reference to the sections of the 2018 Proxy Statement under the captions "Transactions with Related Persons" and "Independence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2018 Proxy Statement under the caption "Ratification of Selection of Independent Auditors."</w:t>
      </w:r>
    </w:p>
    <w:p>
      <w:pPr>
        <w:spacing w:after="0" w:line="23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schedules are omitted as information required is inapplicable or the information is presented in the financial statements and the related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Exhibit</w:t>
            </w:r>
          </w:p>
        </w:tc>
        <w:tc>
          <w:tcPr>
            <w:tcW w:w="2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3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 of document</w:t>
            </w:r>
          </w:p>
        </w:tc>
        <w:tc>
          <w:tcPr>
            <w:tcW w:w="20" w:type="dxa"/>
            <w:vAlign w:val="bottom"/>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3.1</w:t>
            </w:r>
          </w:p>
        </w:tc>
        <w:tc>
          <w:tcPr>
            <w:tcW w:w="9340" w:type="dxa"/>
            <w:vAlign w:val="bottom"/>
            <w:gridSpan w:val="5"/>
          </w:tcPr>
          <w:p>
            <w:pPr>
              <w:spacing w:after="0"/>
              <w:rPr>
                <w:rFonts w:ascii="Arial" w:cs="Arial" w:eastAsia="Arial" w:hAnsi="Arial"/>
                <w:sz w:val="16"/>
                <w:szCs w:val="16"/>
                <w:color w:val="0000EE"/>
                <w:w w:val="92"/>
              </w:rPr>
            </w:pPr>
            <w:hyperlink r:id="rId128">
              <w:r>
                <w:rPr>
                  <w:rFonts w:ascii="Arial" w:cs="Arial" w:eastAsia="Arial" w:hAnsi="Arial"/>
                  <w:sz w:val="16"/>
                  <w:szCs w:val="16"/>
                  <w:color w:val="0000EE"/>
                  <w:w w:val="92"/>
                </w:rPr>
                <w:t>Amended and Restated Certificate of Incorporation (incorporated herein by reference to Exhibit 3.1 to the Registrant’s Current Report on Form</w:t>
              </w:r>
            </w:hyperlink>
          </w:p>
        </w:tc>
        <w:tc>
          <w:tcPr>
            <w:tcW w:w="20" w:type="dxa"/>
            <w:vAlign w:val="bottom"/>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3"/>
              </w:rPr>
            </w:pPr>
            <w:hyperlink r:id="rId128">
              <w:r>
                <w:rPr>
                  <w:rFonts w:ascii="Arial" w:cs="Arial" w:eastAsia="Arial" w:hAnsi="Arial"/>
                  <w:sz w:val="16"/>
                  <w:szCs w:val="16"/>
                  <w:color w:val="0000EE"/>
                  <w:w w:val="93"/>
                </w:rPr>
                <w:t>8-K (File No. 001-37783) filed with the SEC on June 7, 2016).</w:t>
              </w:r>
            </w:hyperlink>
          </w:p>
        </w:tc>
        <w:tc>
          <w:tcPr>
            <w:tcW w:w="520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3.2</w:t>
            </w:r>
          </w:p>
        </w:tc>
        <w:tc>
          <w:tcPr>
            <w:tcW w:w="9340" w:type="dxa"/>
            <w:vAlign w:val="bottom"/>
            <w:gridSpan w:val="5"/>
          </w:tcPr>
          <w:p>
            <w:pPr>
              <w:spacing w:after="0"/>
              <w:rPr>
                <w:rFonts w:ascii="Arial" w:cs="Arial" w:eastAsia="Arial" w:hAnsi="Arial"/>
                <w:sz w:val="16"/>
                <w:szCs w:val="16"/>
                <w:color w:val="0000EE"/>
                <w:w w:val="93"/>
              </w:rPr>
            </w:pPr>
            <w:hyperlink r:id="rId129">
              <w:r>
                <w:rPr>
                  <w:rFonts w:ascii="Arial" w:cs="Arial" w:eastAsia="Arial" w:hAnsi="Arial"/>
                  <w:sz w:val="16"/>
                  <w:szCs w:val="16"/>
                  <w:color w:val="0000EE"/>
                  <w:w w:val="93"/>
                </w:rPr>
                <w:t>Amended and Restated Bylaws (incorporated herein by reference to Exhibit 3.2 to the Registrant’s Current Report on Form 8-K (File No. 001-</w:t>
              </w:r>
            </w:hyperlink>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40" w:type="dxa"/>
            <w:vAlign w:val="bottom"/>
            <w:tcBorders>
              <w:top w:val="single" w:sz="8" w:color="0000EE"/>
            </w:tcBorders>
            <w:gridSpan w:val="3"/>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37783) filed with the SEC on June 7, 2016).</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5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94</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1060" w:type="dxa"/>
            <w:vAlign w:val="bottom"/>
          </w:tcPr>
          <w:p>
            <w:pPr>
              <w:ind w:left="20"/>
              <w:spacing w:after="0"/>
              <w:rPr>
                <w:sz w:val="20"/>
                <w:szCs w:val="20"/>
                <w:color w:val="auto"/>
              </w:rPr>
            </w:pPr>
            <w:r>
              <w:rPr>
                <w:rFonts w:ascii="Arial" w:cs="Arial" w:eastAsia="Arial" w:hAnsi="Arial"/>
                <w:sz w:val="16"/>
                <w:szCs w:val="16"/>
                <w:color w:val="auto"/>
              </w:rPr>
              <w:t>4.1</w:t>
            </w:r>
          </w:p>
        </w:tc>
        <w:tc>
          <w:tcPr>
            <w:tcW w:w="1020" w:type="dxa"/>
            <w:vAlign w:val="bottom"/>
          </w:tcPr>
          <w:p>
            <w:pPr>
              <w:spacing w:after="0"/>
              <w:rPr>
                <w:sz w:val="16"/>
                <w:szCs w:val="16"/>
                <w:color w:val="auto"/>
              </w:rPr>
            </w:pPr>
          </w:p>
        </w:tc>
        <w:tc>
          <w:tcPr>
            <w:tcW w:w="9120" w:type="dxa"/>
            <w:vAlign w:val="bottom"/>
            <w:tcBorders>
              <w:bottom w:val="single" w:sz="8" w:color="0000EE"/>
            </w:tcBorders>
            <w:gridSpan w:val="31"/>
          </w:tcPr>
          <w:p>
            <w:pPr>
              <w:spacing w:after="0"/>
              <w:rPr>
                <w:rFonts w:ascii="Arial" w:cs="Arial" w:eastAsia="Arial" w:hAnsi="Arial"/>
                <w:sz w:val="16"/>
                <w:szCs w:val="16"/>
                <w:color w:val="0000EE"/>
                <w:w w:val="92"/>
              </w:rPr>
            </w:pPr>
            <w:hyperlink r:id="rId132">
              <w:r>
                <w:rPr>
                  <w:rFonts w:ascii="Arial" w:cs="Arial" w:eastAsia="Arial" w:hAnsi="Arial"/>
                  <w:sz w:val="16"/>
                  <w:szCs w:val="16"/>
                  <w:color w:val="0000EE"/>
                  <w:w w:val="92"/>
                </w:rPr>
                <w:t>Specimen stock certificate evidencing shares of Common Stock (incorporated herein by reference to Exhibit 4.1 to Amendment No. 1 to the</w:t>
              </w:r>
            </w:hyperlink>
          </w:p>
        </w:tc>
        <w:tc>
          <w:tcPr>
            <w:tcW w:w="240" w:type="dxa"/>
            <w:vAlign w:val="bottom"/>
            <w:gridSpan w:val="8"/>
          </w:tcPr>
          <w:p>
            <w:pPr>
              <w:spacing w:after="0"/>
              <w:rPr>
                <w:sz w:val="16"/>
                <w:szCs w:val="16"/>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8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132">
              <w:r>
                <w:rPr>
                  <w:rFonts w:ascii="Arial" w:cs="Arial" w:eastAsia="Arial" w:hAnsi="Arial"/>
                  <w:sz w:val="16"/>
                  <w:szCs w:val="16"/>
                  <w:color w:val="0000EE"/>
                  <w:w w:val="92"/>
                </w:rPr>
                <w:t>Registrant’s Registration Statement on Form S-1 (File No. 333-208916) filed with the SEC on March 18, 2016).</w:t>
              </w:r>
            </w:hyperlink>
          </w:p>
        </w:tc>
        <w:tc>
          <w:tcPr>
            <w:tcW w:w="2080" w:type="dxa"/>
            <w:vAlign w:val="bottom"/>
            <w:gridSpan w:val="25"/>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4.2</w:t>
            </w:r>
          </w:p>
        </w:tc>
        <w:tc>
          <w:tcPr>
            <w:tcW w:w="1020" w:type="dxa"/>
            <w:vAlign w:val="bottom"/>
          </w:tcPr>
          <w:p>
            <w:pPr>
              <w:spacing w:after="0"/>
              <w:rPr>
                <w:sz w:val="24"/>
                <w:szCs w:val="24"/>
                <w:color w:val="auto"/>
              </w:rPr>
            </w:pPr>
          </w:p>
        </w:tc>
        <w:tc>
          <w:tcPr>
            <w:tcW w:w="8900" w:type="dxa"/>
            <w:vAlign w:val="bottom"/>
            <w:tcBorders>
              <w:bottom w:val="single" w:sz="8" w:color="0000EE"/>
            </w:tcBorders>
            <w:gridSpan w:val="24"/>
          </w:tcPr>
          <w:p>
            <w:pPr>
              <w:spacing w:after="0"/>
              <w:rPr>
                <w:rFonts w:ascii="Arial" w:cs="Arial" w:eastAsia="Arial" w:hAnsi="Arial"/>
                <w:sz w:val="16"/>
                <w:szCs w:val="16"/>
                <w:color w:val="0000EE"/>
                <w:w w:val="91"/>
              </w:rPr>
            </w:pPr>
            <w:hyperlink r:id="rId133">
              <w:r>
                <w:rPr>
                  <w:rFonts w:ascii="Arial" w:cs="Arial" w:eastAsia="Arial" w:hAnsi="Arial"/>
                  <w:sz w:val="16"/>
                  <w:szCs w:val="16"/>
                  <w:color w:val="0000EE"/>
                  <w:w w:val="91"/>
                </w:rPr>
                <w:t>Third Amended and Restated Investor Rights Agreement, dated as of November 23, 2015, by and among the Registrant and certain of its</w:t>
              </w:r>
            </w:hyperlink>
          </w:p>
        </w:tc>
        <w:tc>
          <w:tcPr>
            <w:tcW w:w="460" w:type="dxa"/>
            <w:vAlign w:val="bottom"/>
            <w:gridSpan w:val="15"/>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133">
              <w:r>
                <w:rPr>
                  <w:rFonts w:ascii="Arial" w:cs="Arial" w:eastAsia="Arial" w:hAnsi="Arial"/>
                  <w:sz w:val="16"/>
                  <w:szCs w:val="16"/>
                  <w:color w:val="0000EE"/>
                  <w:w w:val="92"/>
                </w:rPr>
                <w:t>stockholders (incorporated herein by reference to Exhibit 4.2 to the Registrant’s Registration Statement on Form S-1 (File No. 333-208916),</w:t>
              </w:r>
            </w:hyperlink>
          </w:p>
        </w:tc>
        <w:tc>
          <w:tcPr>
            <w:tcW w:w="240" w:type="dxa"/>
            <w:vAlign w:val="bottom"/>
            <w:gridSpan w:val="8"/>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33">
              <w:r>
                <w:rPr>
                  <w:rFonts w:ascii="Arial" w:cs="Arial" w:eastAsia="Arial" w:hAnsi="Arial"/>
                  <w:sz w:val="16"/>
                  <w:szCs w:val="16"/>
                  <w:color w:val="0000EE"/>
                  <w:w w:val="92"/>
                </w:rPr>
                <w:t>filed with the Commission on January 8, 2016).</w:t>
              </w:r>
            </w:hyperlink>
          </w:p>
        </w:tc>
        <w:tc>
          <w:tcPr>
            <w:tcW w:w="6260" w:type="dxa"/>
            <w:vAlign w:val="bottom"/>
            <w:gridSpan w:val="34"/>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4.3</w:t>
            </w:r>
          </w:p>
        </w:tc>
        <w:tc>
          <w:tcPr>
            <w:tcW w:w="1020" w:type="dxa"/>
            <w:vAlign w:val="bottom"/>
          </w:tcPr>
          <w:p>
            <w:pPr>
              <w:spacing w:after="0"/>
              <w:rPr>
                <w:sz w:val="24"/>
                <w:szCs w:val="24"/>
                <w:color w:val="auto"/>
              </w:rPr>
            </w:pPr>
          </w:p>
        </w:tc>
        <w:tc>
          <w:tcPr>
            <w:tcW w:w="8760" w:type="dxa"/>
            <w:vAlign w:val="bottom"/>
            <w:tcBorders>
              <w:bottom w:val="single" w:sz="8" w:color="0000EE"/>
            </w:tcBorders>
            <w:gridSpan w:val="20"/>
          </w:tcPr>
          <w:p>
            <w:pPr>
              <w:spacing w:after="0"/>
              <w:rPr>
                <w:rFonts w:ascii="Arial" w:cs="Arial" w:eastAsia="Arial" w:hAnsi="Arial"/>
                <w:sz w:val="16"/>
                <w:szCs w:val="16"/>
                <w:color w:val="0000EE"/>
                <w:w w:val="90"/>
              </w:rPr>
            </w:pPr>
            <w:hyperlink r:id="rId134">
              <w:r>
                <w:rPr>
                  <w:rFonts w:ascii="Arial" w:cs="Arial" w:eastAsia="Arial" w:hAnsi="Arial"/>
                  <w:sz w:val="16"/>
                  <w:szCs w:val="16"/>
                  <w:color w:val="0000EE"/>
                  <w:w w:val="90"/>
                </w:rPr>
                <w:t>Form of Warrant to Purchase Common Stock issued to lenders in September 2016 in connection with Amended and Restated Loan and</w:t>
              </w:r>
            </w:hyperlink>
          </w:p>
        </w:tc>
        <w:tc>
          <w:tcPr>
            <w:tcW w:w="600" w:type="dxa"/>
            <w:vAlign w:val="bottom"/>
            <w:gridSpan w:val="19"/>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6"/>
              </w:rPr>
            </w:pPr>
            <w:hyperlink r:id="rId134">
              <w:r>
                <w:rPr>
                  <w:rFonts w:ascii="Arial" w:cs="Arial" w:eastAsia="Arial" w:hAnsi="Arial"/>
                  <w:sz w:val="16"/>
                  <w:szCs w:val="16"/>
                  <w:color w:val="0000EE"/>
                  <w:w w:val="96"/>
                </w:rPr>
                <w:t>Security Agreement (incorporated herein by reference to Exhibit 4.1 to the Registrant’s Current Report on Form 8-K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34">
              <w:r>
                <w:rPr>
                  <w:rFonts w:ascii="Arial" w:cs="Arial" w:eastAsia="Arial" w:hAnsi="Arial"/>
                  <w:sz w:val="16"/>
                  <w:szCs w:val="16"/>
                  <w:color w:val="0000EE"/>
                  <w:w w:val="93"/>
                </w:rPr>
                <w:t>filed with the Commission on October 4, 2016).</w:t>
              </w:r>
            </w:hyperlink>
          </w:p>
        </w:tc>
        <w:tc>
          <w:tcPr>
            <w:tcW w:w="5900" w:type="dxa"/>
            <w:vAlign w:val="bottom"/>
            <w:tcBorders>
              <w:top w:val="single" w:sz="8" w:color="0000EE"/>
            </w:tcBorders>
            <w:gridSpan w:val="22"/>
          </w:tcPr>
          <w:p>
            <w:pPr>
              <w:spacing w:after="0"/>
              <w:rPr>
                <w:sz w:val="15"/>
                <w:szCs w:val="15"/>
                <w:color w:val="auto"/>
              </w:rPr>
            </w:pPr>
          </w:p>
        </w:tc>
        <w:tc>
          <w:tcPr>
            <w:tcW w:w="340" w:type="dxa"/>
            <w:vAlign w:val="bottom"/>
            <w:gridSpan w:val="11"/>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40" w:type="dxa"/>
            <w:vAlign w:val="bottom"/>
            <w:tcBorders>
              <w:bottom w:val="single" w:sz="8" w:color="0000EE"/>
            </w:tcBorders>
            <w:gridSpan w:val="35"/>
          </w:tcPr>
          <w:p>
            <w:pPr>
              <w:spacing w:after="0"/>
              <w:rPr>
                <w:rFonts w:ascii="Arial" w:cs="Arial" w:eastAsia="Arial" w:hAnsi="Arial"/>
                <w:sz w:val="16"/>
                <w:szCs w:val="16"/>
                <w:color w:val="0000EE"/>
                <w:w w:val="91"/>
              </w:rPr>
            </w:pPr>
            <w:hyperlink r:id="rId135">
              <w:r>
                <w:rPr>
                  <w:rFonts w:ascii="Arial" w:cs="Arial" w:eastAsia="Arial" w:hAnsi="Arial"/>
                  <w:sz w:val="16"/>
                  <w:szCs w:val="16"/>
                  <w:color w:val="0000EE"/>
                  <w:w w:val="91"/>
                </w:rPr>
                <w:t>License Agreement, by and among the Registrant, Emory University and The Georgia Tech Research Corporation, dated as of July 4, 2012, as</w:t>
              </w:r>
            </w:hyperlink>
          </w:p>
        </w:tc>
        <w:tc>
          <w:tcPr>
            <w:tcW w:w="120" w:type="dxa"/>
            <w:vAlign w:val="bottom"/>
            <w:gridSpan w:val="4"/>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40" w:type="dxa"/>
            <w:vAlign w:val="bottom"/>
            <w:tcBorders>
              <w:bottom w:val="single" w:sz="8" w:color="0000EE"/>
            </w:tcBorders>
            <w:gridSpan w:val="18"/>
          </w:tcPr>
          <w:p>
            <w:pPr>
              <w:spacing w:after="0" w:line="183" w:lineRule="exact"/>
              <w:rPr>
                <w:rFonts w:ascii="Arial" w:cs="Arial" w:eastAsia="Arial" w:hAnsi="Arial"/>
                <w:sz w:val="16"/>
                <w:szCs w:val="16"/>
                <w:color w:val="0000EE"/>
                <w:w w:val="92"/>
              </w:rPr>
            </w:pPr>
            <w:hyperlink r:id="rId135">
              <w:r>
                <w:rPr>
                  <w:rFonts w:ascii="Arial" w:cs="Arial" w:eastAsia="Arial" w:hAnsi="Arial"/>
                  <w:sz w:val="16"/>
                  <w:szCs w:val="16"/>
                  <w:color w:val="0000EE"/>
                  <w:w w:val="92"/>
                </w:rPr>
                <w:t>amended by the First Amendment to License Agreement, dated April 2, 2014 (incorporated herein by reference to Exhibit 10.1 to the</w:t>
              </w:r>
            </w:hyperlink>
          </w:p>
        </w:tc>
        <w:tc>
          <w:tcPr>
            <w:tcW w:w="720" w:type="dxa"/>
            <w:vAlign w:val="bottom"/>
            <w:gridSpan w:val="21"/>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40" w:type="dxa"/>
            <w:vAlign w:val="bottom"/>
            <w:tcBorders>
              <w:bottom w:val="single" w:sz="8" w:color="0000EE"/>
            </w:tcBorders>
            <w:gridSpan w:val="16"/>
          </w:tcPr>
          <w:p>
            <w:pPr>
              <w:spacing w:after="0" w:line="183" w:lineRule="exact"/>
              <w:rPr>
                <w:rFonts w:ascii="Arial" w:cs="Arial" w:eastAsia="Arial" w:hAnsi="Arial"/>
                <w:sz w:val="16"/>
                <w:szCs w:val="16"/>
                <w:color w:val="0000EE"/>
                <w:w w:val="92"/>
              </w:rPr>
            </w:pPr>
            <w:hyperlink r:id="rId135">
              <w:r>
                <w:rPr>
                  <w:rFonts w:ascii="Arial" w:cs="Arial" w:eastAsia="Arial" w:hAnsi="Arial"/>
                  <w:sz w:val="16"/>
                  <w:szCs w:val="16"/>
                  <w:color w:val="0000EE"/>
                  <w:w w:val="92"/>
                </w:rPr>
                <w:t>Registrant’s Registration Statement on Form S-1 (File No. 333-208916), filed with the Commission on January 8, 2016).</w:t>
              </w:r>
            </w:hyperlink>
          </w:p>
        </w:tc>
        <w:tc>
          <w:tcPr>
            <w:tcW w:w="1520" w:type="dxa"/>
            <w:vAlign w:val="bottom"/>
            <w:gridSpan w:val="23"/>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80" w:type="dxa"/>
            <w:vAlign w:val="bottom"/>
            <w:tcBorders>
              <w:bottom w:val="single" w:sz="8" w:color="0000EE"/>
            </w:tcBorders>
            <w:gridSpan w:val="34"/>
          </w:tcPr>
          <w:p>
            <w:pPr>
              <w:spacing w:after="0"/>
              <w:rPr>
                <w:rFonts w:ascii="Arial" w:cs="Arial" w:eastAsia="Arial" w:hAnsi="Arial"/>
                <w:sz w:val="16"/>
                <w:szCs w:val="16"/>
                <w:color w:val="0000EE"/>
                <w:w w:val="91"/>
              </w:rPr>
            </w:pPr>
            <w:hyperlink r:id="rId136">
              <w:r>
                <w:rPr>
                  <w:rFonts w:ascii="Arial" w:cs="Arial" w:eastAsia="Arial" w:hAnsi="Arial"/>
                  <w:sz w:val="16"/>
                  <w:szCs w:val="16"/>
                  <w:color w:val="0000EE"/>
                  <w:w w:val="91"/>
                </w:rPr>
                <w:t>2011 Stock Incentive Plan, as amended to date (incorporated herein by reference to Exhibit 10.3 to the Registrant’s Registration Statement on</w:t>
              </w:r>
            </w:hyperlink>
          </w:p>
        </w:tc>
        <w:tc>
          <w:tcPr>
            <w:tcW w:w="180" w:type="dxa"/>
            <w:vAlign w:val="bottom"/>
            <w:gridSpan w:val="5"/>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30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136">
              <w:r>
                <w:rPr>
                  <w:rFonts w:ascii="Arial" w:cs="Arial" w:eastAsia="Arial" w:hAnsi="Arial"/>
                  <w:sz w:val="16"/>
                  <w:szCs w:val="16"/>
                  <w:color w:val="0000EE"/>
                  <w:w w:val="92"/>
                </w:rPr>
                <w:t>Form S-1 (File No. 333-208916), filed with the Commission on January 8, 2016).</w:t>
              </w:r>
            </w:hyperlink>
          </w:p>
        </w:tc>
        <w:tc>
          <w:tcPr>
            <w:tcW w:w="4060" w:type="dxa"/>
            <w:vAlign w:val="bottom"/>
            <w:gridSpan w:val="27"/>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10.3</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60" w:type="dxa"/>
            <w:vAlign w:val="bottom"/>
            <w:tcBorders>
              <w:bottom w:val="single" w:sz="8" w:color="0000EE"/>
            </w:tcBorders>
            <w:gridSpan w:val="36"/>
          </w:tcPr>
          <w:p>
            <w:pPr>
              <w:spacing w:after="0"/>
              <w:rPr>
                <w:rFonts w:ascii="Arial" w:cs="Arial" w:eastAsia="Arial" w:hAnsi="Arial"/>
                <w:sz w:val="16"/>
                <w:szCs w:val="16"/>
                <w:color w:val="0000EE"/>
                <w:w w:val="92"/>
              </w:rPr>
            </w:pPr>
            <w:hyperlink r:id="rId137">
              <w:r>
                <w:rPr>
                  <w:rFonts w:ascii="Arial" w:cs="Arial" w:eastAsia="Arial" w:hAnsi="Arial"/>
                  <w:sz w:val="16"/>
                  <w:szCs w:val="16"/>
                  <w:color w:val="0000EE"/>
                  <w:w w:val="92"/>
                </w:rPr>
                <w:t>Form of Incentive Stock Option Grant Notice and Incentive Stock Option Agreement under 2011 Stock Incentive Plan (incorporated herein by</w:t>
              </w:r>
            </w:hyperlink>
          </w:p>
        </w:tc>
        <w:tc>
          <w:tcPr>
            <w:tcW w:w="100" w:type="dxa"/>
            <w:vAlign w:val="bottom"/>
            <w:gridSpan w:val="3"/>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3"/>
              </w:rPr>
            </w:pPr>
            <w:hyperlink r:id="rId137">
              <w:r>
                <w:rPr>
                  <w:rFonts w:ascii="Arial" w:cs="Arial" w:eastAsia="Arial" w:hAnsi="Arial"/>
                  <w:sz w:val="16"/>
                  <w:szCs w:val="16"/>
                  <w:color w:val="0000EE"/>
                  <w:w w:val="93"/>
                </w:rPr>
                <w:t>reference to Exhibit 10.4 to the Registrant’s Registration Statement on Form S-1 (File No. 333-208916), filed with the Commission on January</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37">
              <w:r>
                <w:rPr>
                  <w:rFonts w:ascii="Arial" w:cs="Arial" w:eastAsia="Arial" w:hAnsi="Arial"/>
                  <w:sz w:val="16"/>
                  <w:szCs w:val="16"/>
                  <w:color w:val="0000EE"/>
                  <w:w w:val="88"/>
                </w:rPr>
                <w:t>8, 2016).</w:t>
              </w:r>
            </w:hyperlink>
          </w:p>
        </w:tc>
        <w:tc>
          <w:tcPr>
            <w:tcW w:w="5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20" w:type="dxa"/>
            <w:vAlign w:val="bottom"/>
            <w:tcBorders>
              <w:bottom w:val="single" w:sz="8" w:color="0000EE"/>
            </w:tcBorders>
            <w:gridSpan w:val="31"/>
          </w:tcPr>
          <w:p>
            <w:pPr>
              <w:spacing w:after="0"/>
              <w:rPr>
                <w:rFonts w:ascii="Arial" w:cs="Arial" w:eastAsia="Arial" w:hAnsi="Arial"/>
                <w:sz w:val="16"/>
                <w:szCs w:val="16"/>
                <w:color w:val="0000EE"/>
                <w:w w:val="93"/>
              </w:rPr>
            </w:pPr>
            <w:hyperlink r:id="rId138">
              <w:r>
                <w:rPr>
                  <w:rFonts w:ascii="Arial" w:cs="Arial" w:eastAsia="Arial" w:hAnsi="Arial"/>
                  <w:sz w:val="16"/>
                  <w:szCs w:val="16"/>
                  <w:color w:val="0000EE"/>
                  <w:w w:val="93"/>
                </w:rPr>
                <w:t>Form of Nonqualified Stock Option Grant Notice and Nonqualified Stock Option Agreement under 2011 Stock Incentive Plan (incorporated</w:t>
              </w:r>
            </w:hyperlink>
          </w:p>
        </w:tc>
        <w:tc>
          <w:tcPr>
            <w:tcW w:w="240" w:type="dxa"/>
            <w:vAlign w:val="bottom"/>
            <w:gridSpan w:val="8"/>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80" w:type="dxa"/>
            <w:vAlign w:val="bottom"/>
            <w:tcBorders>
              <w:bottom w:val="single" w:sz="8" w:color="0000EE"/>
            </w:tcBorders>
            <w:gridSpan w:val="34"/>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herein by reference to Exhibit 10.5 to the Registrant’s Registration Statement on Form S-1 (File No. 333-208916), filed with the Commission</w:t>
              </w:r>
            </w:hyperlink>
          </w:p>
        </w:tc>
        <w:tc>
          <w:tcPr>
            <w:tcW w:w="180" w:type="dxa"/>
            <w:vAlign w:val="bottom"/>
            <w:gridSpan w:val="5"/>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rPr>
            </w:pPr>
            <w:hyperlink r:id="rId138">
              <w:r>
                <w:rPr>
                  <w:rFonts w:ascii="Arial" w:cs="Arial" w:eastAsia="Arial" w:hAnsi="Arial"/>
                  <w:sz w:val="16"/>
                  <w:szCs w:val="16"/>
                  <w:color w:val="0000EE"/>
                </w:rPr>
                <w:t>on January 8, 2016).</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40" w:type="dxa"/>
            <w:vAlign w:val="bottom"/>
            <w:tcBorders>
              <w:bottom w:val="single" w:sz="8" w:color="0000EE"/>
            </w:tcBorders>
            <w:gridSpan w:val="32"/>
          </w:tcPr>
          <w:p>
            <w:pPr>
              <w:spacing w:after="0"/>
              <w:rPr>
                <w:rFonts w:ascii="Arial" w:cs="Arial" w:eastAsia="Arial" w:hAnsi="Arial"/>
                <w:sz w:val="16"/>
                <w:szCs w:val="16"/>
                <w:color w:val="0000EE"/>
                <w:w w:val="92"/>
              </w:rPr>
            </w:pPr>
            <w:hyperlink r:id="rId139">
              <w:r>
                <w:rPr>
                  <w:rFonts w:ascii="Arial" w:cs="Arial" w:eastAsia="Arial" w:hAnsi="Arial"/>
                  <w:sz w:val="16"/>
                  <w:szCs w:val="16"/>
                  <w:color w:val="0000EE"/>
                  <w:w w:val="92"/>
                </w:rPr>
                <w:t>2016 Equity Incentive Plan (incorporated herein by reference to Exhibit 4.7 to the Registrant’s Registration Statement on Form S-8 (File No.</w:t>
              </w:r>
            </w:hyperlink>
          </w:p>
        </w:tc>
        <w:tc>
          <w:tcPr>
            <w:tcW w:w="220" w:type="dxa"/>
            <w:vAlign w:val="bottom"/>
            <w:gridSpan w:val="7"/>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rPr>
            </w:pPr>
            <w:hyperlink r:id="rId139">
              <w:r>
                <w:rPr>
                  <w:rFonts w:ascii="Arial" w:cs="Arial" w:eastAsia="Arial" w:hAnsi="Arial"/>
                  <w:sz w:val="16"/>
                  <w:szCs w:val="16"/>
                  <w:color w:val="0000EE"/>
                </w:rPr>
                <w:t>333-212014), file with the Commission on June 14, 2016).</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40" w:type="dxa"/>
            <w:vAlign w:val="bottom"/>
            <w:tcBorders>
              <w:bottom w:val="single" w:sz="8" w:color="0000EE"/>
            </w:tcBorders>
            <w:gridSpan w:val="21"/>
          </w:tcPr>
          <w:p>
            <w:pPr>
              <w:spacing w:after="0"/>
              <w:rPr>
                <w:rFonts w:ascii="Arial" w:cs="Arial" w:eastAsia="Arial" w:hAnsi="Arial"/>
                <w:sz w:val="16"/>
                <w:szCs w:val="16"/>
                <w:color w:val="0000EE"/>
                <w:w w:val="92"/>
              </w:rPr>
            </w:pPr>
            <w:hyperlink r:id="rId140">
              <w:r>
                <w:rPr>
                  <w:rFonts w:ascii="Arial" w:cs="Arial" w:eastAsia="Arial" w:hAnsi="Arial"/>
                  <w:sz w:val="16"/>
                  <w:szCs w:val="16"/>
                  <w:color w:val="0000EE"/>
                  <w:w w:val="92"/>
                </w:rPr>
                <w:t>Form of Stock Option Grant Notice and Stock Option Agreement under 2016 Equity Incentive Plan (incorporated herein by reference to</w:t>
              </w:r>
            </w:hyperlink>
          </w:p>
        </w:tc>
        <w:tc>
          <w:tcPr>
            <w:tcW w:w="520" w:type="dxa"/>
            <w:vAlign w:val="bottom"/>
            <w:gridSpan w:val="18"/>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3"/>
              </w:rPr>
            </w:pPr>
            <w:hyperlink r:id="rId140">
              <w:r>
                <w:rPr>
                  <w:rFonts w:ascii="Arial" w:cs="Arial" w:eastAsia="Arial" w:hAnsi="Arial"/>
                  <w:sz w:val="16"/>
                  <w:szCs w:val="16"/>
                  <w:color w:val="0000EE"/>
                  <w:w w:val="93"/>
                </w:rPr>
                <w:t>Exhibit 10.7 to Amendment No. 1 to the Registrant’s Registration Statement on Form S-1 (File No. 333-208916), filed with the Commission on</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20" w:type="dxa"/>
            <w:vAlign w:val="bottom"/>
            <w:tcBorders>
              <w:top w:val="single" w:sz="8" w:color="0000EE"/>
            </w:tcBorders>
            <w:gridSpan w:val="38"/>
          </w:tcPr>
          <w:p>
            <w:pPr>
              <w:spacing w:after="0" w:line="183" w:lineRule="exact"/>
              <w:rPr>
                <w:rFonts w:ascii="Arial" w:cs="Arial" w:eastAsia="Arial" w:hAnsi="Arial"/>
                <w:sz w:val="16"/>
                <w:szCs w:val="16"/>
                <w:color w:val="0000EE"/>
              </w:rPr>
            </w:pPr>
            <w:hyperlink r:id="rId140">
              <w:r>
                <w:rPr>
                  <w:rFonts w:ascii="Arial" w:cs="Arial" w:eastAsia="Arial" w:hAnsi="Arial"/>
                  <w:sz w:val="16"/>
                  <w:szCs w:val="16"/>
                  <w:color w:val="0000EE"/>
                </w:rPr>
                <w:t>March 18, 2016).</w:t>
              </w:r>
            </w:hyperlink>
          </w:p>
        </w:tc>
        <w:tc>
          <w:tcPr>
            <w:tcW w:w="4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20" w:type="dxa"/>
            <w:vAlign w:val="bottom"/>
            <w:tcBorders>
              <w:bottom w:val="single" w:sz="8" w:color="0000EE"/>
            </w:tcBorders>
            <w:gridSpan w:val="25"/>
          </w:tcPr>
          <w:p>
            <w:pPr>
              <w:spacing w:after="0"/>
              <w:rPr>
                <w:rFonts w:ascii="Arial" w:cs="Arial" w:eastAsia="Arial" w:hAnsi="Arial"/>
                <w:sz w:val="16"/>
                <w:szCs w:val="16"/>
                <w:color w:val="0000EE"/>
                <w:w w:val="92"/>
              </w:rPr>
            </w:pPr>
            <w:hyperlink r:id="rId141">
              <w:r>
                <w:rPr>
                  <w:rFonts w:ascii="Arial" w:cs="Arial" w:eastAsia="Arial" w:hAnsi="Arial"/>
                  <w:sz w:val="16"/>
                  <w:szCs w:val="16"/>
                  <w:color w:val="0000EE"/>
                  <w:w w:val="92"/>
                </w:rPr>
                <w:t>Form of Restricted Stock Unit Grant Notice and Restricted Stock Unit Award Agreement under 2016 Equity Incentive Plan (incorporated</w:t>
              </w:r>
            </w:hyperlink>
          </w:p>
        </w:tc>
        <w:tc>
          <w:tcPr>
            <w:tcW w:w="440" w:type="dxa"/>
            <w:vAlign w:val="bottom"/>
            <w:gridSpan w:val="14"/>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60" w:type="dxa"/>
            <w:vAlign w:val="bottom"/>
            <w:tcBorders>
              <w:bottom w:val="single" w:sz="8" w:color="0000EE"/>
            </w:tcBorders>
            <w:gridSpan w:val="33"/>
          </w:tcPr>
          <w:p>
            <w:pPr>
              <w:spacing w:after="0" w:line="183" w:lineRule="exact"/>
              <w:rPr>
                <w:rFonts w:ascii="Arial" w:cs="Arial" w:eastAsia="Arial" w:hAnsi="Arial"/>
                <w:sz w:val="16"/>
                <w:szCs w:val="16"/>
                <w:color w:val="0000EE"/>
                <w:w w:val="92"/>
              </w:rPr>
            </w:pPr>
            <w:hyperlink r:id="rId141">
              <w:r>
                <w:rPr>
                  <w:rFonts w:ascii="Arial" w:cs="Arial" w:eastAsia="Arial" w:hAnsi="Arial"/>
                  <w:sz w:val="16"/>
                  <w:szCs w:val="16"/>
                  <w:color w:val="0000EE"/>
                  <w:w w:val="92"/>
                </w:rPr>
                <w:t>herein by reference to Exhibit 10.8 to Amendment No. 1 to the Registrant’s Registration Statement on Form S-1 (File No. 333-208916), filed</w:t>
              </w:r>
            </w:hyperlink>
          </w:p>
        </w:tc>
        <w:tc>
          <w:tcPr>
            <w:tcW w:w="200" w:type="dxa"/>
            <w:vAlign w:val="bottom"/>
            <w:gridSpan w:val="6"/>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60" w:type="dxa"/>
            <w:vAlign w:val="bottom"/>
            <w:tcBorders>
              <w:bottom w:val="single" w:sz="8" w:color="0000EE"/>
            </w:tcBorders>
            <w:gridSpan w:val="4"/>
          </w:tcPr>
          <w:p>
            <w:pPr>
              <w:spacing w:after="0" w:line="183" w:lineRule="exact"/>
              <w:rPr>
                <w:rFonts w:ascii="Arial" w:cs="Arial" w:eastAsia="Arial" w:hAnsi="Arial"/>
                <w:sz w:val="16"/>
                <w:szCs w:val="16"/>
                <w:color w:val="0000EE"/>
                <w:w w:val="92"/>
              </w:rPr>
            </w:pPr>
            <w:hyperlink r:id="rId141">
              <w:r>
                <w:rPr>
                  <w:rFonts w:ascii="Arial" w:cs="Arial" w:eastAsia="Arial" w:hAnsi="Arial"/>
                  <w:sz w:val="16"/>
                  <w:szCs w:val="16"/>
                  <w:color w:val="0000EE"/>
                  <w:w w:val="92"/>
                </w:rPr>
                <w:t>with the Commission on March 18, 2016).</w:t>
              </w:r>
            </w:hyperlink>
          </w:p>
        </w:tc>
        <w:tc>
          <w:tcPr>
            <w:tcW w:w="6600" w:type="dxa"/>
            <w:vAlign w:val="bottom"/>
            <w:gridSpan w:val="35"/>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10.8</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360" w:type="dxa"/>
            <w:vAlign w:val="bottom"/>
            <w:gridSpan w:val="39"/>
          </w:tcPr>
          <w:p>
            <w:pPr>
              <w:spacing w:after="0"/>
              <w:rPr>
                <w:rFonts w:ascii="Arial" w:cs="Arial" w:eastAsia="Arial" w:hAnsi="Arial"/>
                <w:sz w:val="16"/>
                <w:szCs w:val="16"/>
                <w:color w:val="0000EE"/>
                <w:w w:val="99"/>
              </w:rPr>
            </w:pPr>
            <w:hyperlink r:id="rId142">
              <w:r>
                <w:rPr>
                  <w:rFonts w:ascii="Arial" w:cs="Arial" w:eastAsia="Arial" w:hAnsi="Arial"/>
                  <w:sz w:val="16"/>
                  <w:szCs w:val="16"/>
                  <w:color w:val="0000EE"/>
                  <w:w w:val="99"/>
                </w:rPr>
                <w:t>Form of Indemnification Agreement with non-employee directors (incorporated herein by reference to Exhibit 10.9 to the Registrant’s</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2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2"/>
              </w:rPr>
            </w:pPr>
            <w:hyperlink r:id="rId142">
              <w:r>
                <w:rPr>
                  <w:rFonts w:ascii="Arial" w:cs="Arial" w:eastAsia="Arial" w:hAnsi="Arial"/>
                  <w:sz w:val="16"/>
                  <w:szCs w:val="16"/>
                  <w:color w:val="0000EE"/>
                  <w:w w:val="92"/>
                </w:rPr>
                <w:t>Registration Statement on Form S-1 (File No. 333-208916), filed with the Commission on January 8, 2016).</w:t>
              </w:r>
            </w:hyperlink>
          </w:p>
        </w:tc>
        <w:tc>
          <w:tcPr>
            <w:tcW w:w="1680" w:type="dxa"/>
            <w:vAlign w:val="bottom"/>
            <w:tcBorders>
              <w:top w:val="single" w:sz="8" w:color="0000EE"/>
            </w:tcBorders>
            <w:gridSpan w:val="6"/>
          </w:tcPr>
          <w:p>
            <w:pPr>
              <w:spacing w:after="0"/>
              <w:rPr>
                <w:sz w:val="15"/>
                <w:szCs w:val="15"/>
                <w:color w:val="auto"/>
              </w:rPr>
            </w:pPr>
          </w:p>
        </w:tc>
        <w:tc>
          <w:tcPr>
            <w:tcW w:w="660" w:type="dxa"/>
            <w:vAlign w:val="bottom"/>
            <w:gridSpan w:val="20"/>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10.9</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80" w:type="dxa"/>
            <w:vAlign w:val="bottom"/>
            <w:tcBorders>
              <w:bottom w:val="single" w:sz="8" w:color="0000EE"/>
            </w:tcBorders>
            <w:gridSpan w:val="23"/>
          </w:tcPr>
          <w:p>
            <w:pPr>
              <w:spacing w:after="0"/>
              <w:rPr>
                <w:rFonts w:ascii="Arial" w:cs="Arial" w:eastAsia="Arial" w:hAnsi="Arial"/>
                <w:sz w:val="16"/>
                <w:szCs w:val="16"/>
                <w:color w:val="0000EE"/>
                <w:w w:val="91"/>
              </w:rPr>
            </w:pPr>
            <w:hyperlink r:id="rId143">
              <w:r>
                <w:rPr>
                  <w:rFonts w:ascii="Arial" w:cs="Arial" w:eastAsia="Arial" w:hAnsi="Arial"/>
                  <w:sz w:val="16"/>
                  <w:szCs w:val="16"/>
                  <w:color w:val="0000EE"/>
                  <w:w w:val="91"/>
                </w:rPr>
                <w:t>Form of 2016 Employee Stock Purchase Plan (incorporated herein by reference to Exhibit 10.12 to Amendment No. 1 to the Registrant’s</w:t>
              </w:r>
            </w:hyperlink>
          </w:p>
        </w:tc>
        <w:tc>
          <w:tcPr>
            <w:tcW w:w="480" w:type="dxa"/>
            <w:vAlign w:val="bottom"/>
            <w:gridSpan w:val="16"/>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20" w:type="dxa"/>
            <w:vAlign w:val="bottom"/>
            <w:tcBorders>
              <w:bottom w:val="single" w:sz="8" w:color="0000EE"/>
            </w:tcBorders>
            <w:gridSpan w:val="13"/>
          </w:tcPr>
          <w:p>
            <w:pPr>
              <w:spacing w:after="0" w:line="183" w:lineRule="exact"/>
              <w:rPr>
                <w:rFonts w:ascii="Arial" w:cs="Arial" w:eastAsia="Arial" w:hAnsi="Arial"/>
                <w:sz w:val="16"/>
                <w:szCs w:val="16"/>
                <w:color w:val="0000EE"/>
                <w:w w:val="92"/>
              </w:rPr>
            </w:pPr>
            <w:hyperlink r:id="rId143">
              <w:r>
                <w:rPr>
                  <w:rFonts w:ascii="Arial" w:cs="Arial" w:eastAsia="Arial" w:hAnsi="Arial"/>
                  <w:sz w:val="16"/>
                  <w:szCs w:val="16"/>
                  <w:color w:val="0000EE"/>
                  <w:w w:val="92"/>
                </w:rPr>
                <w:t>Registration Statement on Form S-1 (File No. 333-208916), filed with the Commission on March 18, 2016).</w:t>
              </w:r>
            </w:hyperlink>
          </w:p>
        </w:tc>
        <w:tc>
          <w:tcPr>
            <w:tcW w:w="2340" w:type="dxa"/>
            <w:vAlign w:val="bottom"/>
            <w:gridSpan w:val="26"/>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10.10</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100" w:type="dxa"/>
            <w:vAlign w:val="bottom"/>
            <w:tcBorders>
              <w:bottom w:val="single" w:sz="8" w:color="0000EE"/>
            </w:tcBorders>
            <w:gridSpan w:val="30"/>
          </w:tcPr>
          <w:p>
            <w:pPr>
              <w:spacing w:after="0"/>
              <w:rPr>
                <w:rFonts w:ascii="Arial" w:cs="Arial" w:eastAsia="Arial" w:hAnsi="Arial"/>
                <w:sz w:val="16"/>
                <w:szCs w:val="16"/>
                <w:color w:val="0000EE"/>
                <w:w w:val="91"/>
              </w:rPr>
            </w:pPr>
            <w:hyperlink r:id="rId144">
              <w:r>
                <w:rPr>
                  <w:rFonts w:ascii="Arial" w:cs="Arial" w:eastAsia="Arial" w:hAnsi="Arial"/>
                  <w:sz w:val="16"/>
                  <w:szCs w:val="16"/>
                  <w:color w:val="0000EE"/>
                  <w:w w:val="91"/>
                </w:rPr>
                <w:t>License Agreement, by and between the Registrant and NovaMedica LLC, dated as of August 29, 2014 (incorporated herein by reference to</w:t>
              </w:r>
            </w:hyperlink>
          </w:p>
        </w:tc>
        <w:tc>
          <w:tcPr>
            <w:tcW w:w="260" w:type="dxa"/>
            <w:vAlign w:val="bottom"/>
            <w:gridSpan w:val="9"/>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4"/>
              </w:rPr>
            </w:pPr>
            <w:hyperlink r:id="rId144">
              <w:r>
                <w:rPr>
                  <w:rFonts w:ascii="Arial" w:cs="Arial" w:eastAsia="Arial" w:hAnsi="Arial"/>
                  <w:sz w:val="16"/>
                  <w:szCs w:val="16"/>
                  <w:color w:val="0000EE"/>
                  <w:w w:val="94"/>
                </w:rPr>
                <w:t>Exhibit 10.17 to the Registrant’s Registration Statement on Form S-1 (File No. 333-208916), filed with the Commission on January 8, 2016).</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10.11</w:t>
            </w:r>
          </w:p>
        </w:tc>
        <w:tc>
          <w:tcPr>
            <w:tcW w:w="1020" w:type="dxa"/>
            <w:vAlign w:val="bottom"/>
          </w:tcPr>
          <w:p>
            <w:pPr>
              <w:spacing w:after="0"/>
              <w:rPr>
                <w:sz w:val="24"/>
                <w:szCs w:val="24"/>
                <w:color w:val="auto"/>
              </w:rPr>
            </w:pPr>
          </w:p>
        </w:tc>
        <w:tc>
          <w:tcPr>
            <w:tcW w:w="9360" w:type="dxa"/>
            <w:vAlign w:val="bottom"/>
            <w:gridSpan w:val="39"/>
          </w:tcPr>
          <w:p>
            <w:pPr>
              <w:spacing w:after="0"/>
              <w:rPr>
                <w:rFonts w:ascii="Arial" w:cs="Arial" w:eastAsia="Arial" w:hAnsi="Arial"/>
                <w:sz w:val="16"/>
                <w:szCs w:val="16"/>
                <w:color w:val="0000EE"/>
                <w:w w:val="89"/>
              </w:rPr>
            </w:pPr>
            <w:hyperlink r:id="rId145">
              <w:r>
                <w:rPr>
                  <w:rFonts w:ascii="Arial" w:cs="Arial" w:eastAsia="Arial" w:hAnsi="Arial"/>
                  <w:sz w:val="16"/>
                  <w:szCs w:val="16"/>
                  <w:color w:val="0000EE"/>
                  <w:w w:val="89"/>
                </w:rPr>
                <w:t>Amended and Restated Loan and Security Agreement, dated as of September 28, 2016, by and among the Registrant, Silicon Valley Bank, MidCap</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00" w:type="dxa"/>
            <w:vAlign w:val="bottom"/>
            <w:tcBorders>
              <w:top w:val="single" w:sz="8" w:color="0000EE"/>
            </w:tcBorders>
            <w:gridSpan w:val="37"/>
          </w:tcPr>
          <w:p>
            <w:pPr>
              <w:spacing w:after="0" w:line="183" w:lineRule="exact"/>
              <w:rPr>
                <w:rFonts w:ascii="Arial" w:cs="Arial" w:eastAsia="Arial" w:hAnsi="Arial"/>
                <w:sz w:val="16"/>
                <w:szCs w:val="16"/>
                <w:color w:val="0000EE"/>
                <w:w w:val="91"/>
              </w:rPr>
            </w:pPr>
            <w:hyperlink r:id="rId145">
              <w:r>
                <w:rPr>
                  <w:rFonts w:ascii="Arial" w:cs="Arial" w:eastAsia="Arial" w:hAnsi="Arial"/>
                  <w:sz w:val="16"/>
                  <w:szCs w:val="16"/>
                  <w:color w:val="0000EE"/>
                  <w:w w:val="91"/>
                </w:rPr>
                <w:t>Funding XIII Trust and MidCap Financial Trust (incorporated herein by reference to Exhibit 10.1 to the Registrant’s Current Report on Form 8-K</w:t>
              </w:r>
            </w:hyperlink>
          </w:p>
        </w:tc>
        <w:tc>
          <w:tcPr>
            <w:tcW w:w="6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8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(File No. 001-37783) filed with the SEC on October 4, 2016).</w:t>
              </w:r>
            </w:hyperlink>
          </w:p>
        </w:tc>
        <w:tc>
          <w:tcPr>
            <w:tcW w:w="180" w:type="dxa"/>
            <w:vAlign w:val="bottom"/>
            <w:gridSpan w:val="5"/>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10.12</w:t>
            </w:r>
          </w:p>
        </w:tc>
        <w:tc>
          <w:tcPr>
            <w:tcW w:w="1020" w:type="dxa"/>
            <w:vAlign w:val="bottom"/>
          </w:tcPr>
          <w:p>
            <w:pPr>
              <w:spacing w:after="0"/>
              <w:rPr>
                <w:sz w:val="24"/>
                <w:szCs w:val="24"/>
                <w:color w:val="auto"/>
              </w:rPr>
            </w:pPr>
          </w:p>
        </w:tc>
        <w:tc>
          <w:tcPr>
            <w:tcW w:w="9360" w:type="dxa"/>
            <w:vAlign w:val="bottom"/>
            <w:gridSpan w:val="39"/>
          </w:tcPr>
          <w:p>
            <w:pPr>
              <w:spacing w:after="0"/>
              <w:rPr>
                <w:rFonts w:ascii="Arial" w:cs="Arial" w:eastAsia="Arial" w:hAnsi="Arial"/>
                <w:sz w:val="16"/>
                <w:szCs w:val="16"/>
                <w:color w:val="0000EE"/>
                <w:w w:val="93"/>
              </w:rPr>
            </w:pPr>
            <w:hyperlink r:id="rId146">
              <w:r>
                <w:rPr>
                  <w:rFonts w:ascii="Arial" w:cs="Arial" w:eastAsia="Arial" w:hAnsi="Arial"/>
                  <w:sz w:val="16"/>
                  <w:szCs w:val="16"/>
                  <w:color w:val="0000EE"/>
                  <w:w w:val="93"/>
                </w:rPr>
                <w:t>Office Lease Agreement, dated November 21, 2016, by and between the Registrant and BRE/COH GA LLC (incorporated herein by reference</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960" w:type="dxa"/>
            <w:vAlign w:val="bottom"/>
            <w:tcBorders>
              <w:top w:val="single" w:sz="8" w:color="0000EE"/>
              <w:bottom w:val="single" w:sz="8" w:color="0000EE"/>
            </w:tcBorders>
            <w:gridSpan w:val="26"/>
          </w:tcPr>
          <w:p>
            <w:pPr>
              <w:spacing w:after="0" w:line="183" w:lineRule="exact"/>
              <w:rPr>
                <w:rFonts w:ascii="Arial" w:cs="Arial" w:eastAsia="Arial" w:hAnsi="Arial"/>
                <w:sz w:val="16"/>
                <w:szCs w:val="16"/>
                <w:color w:val="0000EE"/>
                <w:w w:val="93"/>
              </w:rPr>
            </w:pPr>
            <w:hyperlink r:id="rId146">
              <w:r>
                <w:rPr>
                  <w:rFonts w:ascii="Arial" w:cs="Arial" w:eastAsia="Arial" w:hAnsi="Arial"/>
                  <w:sz w:val="16"/>
                  <w:szCs w:val="16"/>
                  <w:color w:val="0000EE"/>
                  <w:w w:val="93"/>
                </w:rPr>
                <w:t>to Exhibit 10.1 to the Registrant’s Current Report on Form 8-K (File No. 001-37783), filed with the Commission on November 23, 2016).</w:t>
              </w:r>
            </w:hyperlink>
          </w:p>
        </w:tc>
        <w:tc>
          <w:tcPr>
            <w:tcW w:w="280" w:type="dxa"/>
            <w:vAlign w:val="bottom"/>
            <w:tcBorders>
              <w:top w:val="single" w:sz="8" w:color="0000EE"/>
            </w:tcBorders>
            <w:gridSpan w:val="9"/>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10.13</w:t>
            </w:r>
          </w:p>
        </w:tc>
        <w:tc>
          <w:tcPr>
            <w:tcW w:w="1020" w:type="dxa"/>
            <w:vAlign w:val="bottom"/>
          </w:tcPr>
          <w:p>
            <w:pPr>
              <w:spacing w:after="0"/>
              <w:rPr>
                <w:sz w:val="24"/>
                <w:szCs w:val="24"/>
                <w:color w:val="auto"/>
              </w:rPr>
            </w:pPr>
          </w:p>
        </w:tc>
        <w:tc>
          <w:tcPr>
            <w:tcW w:w="9360" w:type="dxa"/>
            <w:vAlign w:val="bottom"/>
            <w:gridSpan w:val="39"/>
          </w:tcPr>
          <w:p>
            <w:pPr>
              <w:spacing w:after="0"/>
              <w:rPr>
                <w:rFonts w:ascii="Arial" w:cs="Arial" w:eastAsia="Arial" w:hAnsi="Arial"/>
                <w:sz w:val="16"/>
                <w:szCs w:val="16"/>
                <w:color w:val="0000EE"/>
                <w:w w:val="95"/>
              </w:rPr>
            </w:pPr>
            <w:hyperlink r:id="rId147">
              <w:r>
                <w:rPr>
                  <w:rFonts w:ascii="Arial" w:cs="Arial" w:eastAsia="Arial" w:hAnsi="Arial"/>
                  <w:sz w:val="16"/>
                  <w:szCs w:val="16"/>
                  <w:color w:val="0000EE"/>
                  <w:w w:val="95"/>
                </w:rPr>
                <w:t>Second Amendment to License Agreement, by and among the Registrant, Emory University and The Georgia Tech Research Corporation,</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gridSpan w:val="6"/>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147">
              <w:r>
                <w:rPr>
                  <w:rFonts w:ascii="Arial" w:cs="Arial" w:eastAsia="Arial" w:hAnsi="Arial"/>
                  <w:sz w:val="16"/>
                  <w:szCs w:val="16"/>
                  <w:color w:val="0000EE"/>
                  <w:w w:val="92"/>
                </w:rPr>
                <w:t>dated December 12, 2016 (incorporated herein by reference to Exhibit 10.21 to the Registrant’s Annual Report on Form 10-K (File No. 001-</w:t>
              </w:r>
            </w:hyperlink>
          </w:p>
        </w:tc>
        <w:tc>
          <w:tcPr>
            <w:tcW w:w="240" w:type="dxa"/>
            <w:vAlign w:val="bottom"/>
            <w:gridSpan w:val="8"/>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40" w:type="dxa"/>
            <w:vAlign w:val="bottom"/>
            <w:tcBorders>
              <w:bottom w:val="single" w:sz="8" w:color="0000EE"/>
            </w:tcBorders>
            <w:gridSpan w:val="9"/>
          </w:tcPr>
          <w:p>
            <w:pPr>
              <w:spacing w:after="0" w:line="183" w:lineRule="exact"/>
              <w:rPr>
                <w:rFonts w:ascii="Arial" w:cs="Arial" w:eastAsia="Arial" w:hAnsi="Arial"/>
                <w:sz w:val="16"/>
                <w:szCs w:val="16"/>
                <w:color w:val="0000EE"/>
                <w:w w:val="93"/>
              </w:rPr>
            </w:pPr>
            <w:hyperlink r:id="rId147">
              <w:r>
                <w:rPr>
                  <w:rFonts w:ascii="Arial" w:cs="Arial" w:eastAsia="Arial" w:hAnsi="Arial"/>
                  <w:sz w:val="16"/>
                  <w:szCs w:val="16"/>
                  <w:color w:val="0000EE"/>
                  <w:w w:val="93"/>
                </w:rPr>
                <w:t>37783)</w:t>
              </w:r>
              <w:r>
                <w:rPr>
                  <w:rFonts w:ascii="Arial" w:cs="Arial" w:eastAsia="Arial" w:hAnsi="Arial"/>
                  <w:sz w:val="16"/>
                  <w:szCs w:val="16"/>
                  <w:u w:val="single" w:color="auto"/>
                  <w:color w:val="0000EE"/>
                  <w:w w:val="93"/>
                </w:rPr>
                <w:t>,</w:t>
              </w:r>
              <w:r>
                <w:rPr>
                  <w:rFonts w:ascii="Arial" w:cs="Arial" w:eastAsia="Arial" w:hAnsi="Arial"/>
                  <w:sz w:val="16"/>
                  <w:szCs w:val="16"/>
                  <w:color w:val="0000EE"/>
                  <w:w w:val="93"/>
                </w:rPr>
                <w:t xml:space="preserve"> filed with the Commission on March 16, 2017).</w:t>
              </w:r>
            </w:hyperlink>
          </w:p>
        </w:tc>
        <w:tc>
          <w:tcPr>
            <w:tcW w:w="5720" w:type="dxa"/>
            <w:vAlign w:val="bottom"/>
            <w:gridSpan w:val="30"/>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10.14</w:t>
            </w:r>
          </w:p>
        </w:tc>
        <w:tc>
          <w:tcPr>
            <w:tcW w:w="1020" w:type="dxa"/>
            <w:vAlign w:val="bottom"/>
          </w:tcPr>
          <w:p>
            <w:pPr>
              <w:spacing w:after="0"/>
              <w:rPr>
                <w:sz w:val="24"/>
                <w:szCs w:val="24"/>
                <w:color w:val="auto"/>
              </w:rPr>
            </w:pPr>
          </w:p>
        </w:tc>
        <w:tc>
          <w:tcPr>
            <w:tcW w:w="9360" w:type="dxa"/>
            <w:vAlign w:val="bottom"/>
            <w:gridSpan w:val="39"/>
          </w:tcPr>
          <w:p>
            <w:pPr>
              <w:spacing w:after="0"/>
              <w:rPr>
                <w:rFonts w:ascii="Arial" w:cs="Arial" w:eastAsia="Arial" w:hAnsi="Arial"/>
                <w:sz w:val="16"/>
                <w:szCs w:val="16"/>
                <w:color w:val="0000EE"/>
                <w:w w:val="99"/>
              </w:rPr>
            </w:pPr>
            <w:hyperlink r:id="rId148">
              <w:r>
                <w:rPr>
                  <w:rFonts w:ascii="Arial" w:cs="Arial" w:eastAsia="Arial" w:hAnsi="Arial"/>
                  <w:sz w:val="16"/>
                  <w:szCs w:val="16"/>
                  <w:color w:val="0000EE"/>
                  <w:w w:val="99"/>
                </w:rPr>
                <w:t>Sales Agreement, dated June 30, 2017, by and between the Registrant and Cowen and Company, LLC (incorporated by reference to</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5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148">
              <w:r>
                <w:rPr>
                  <w:rFonts w:ascii="Arial" w:cs="Arial" w:eastAsia="Arial" w:hAnsi="Arial"/>
                  <w:sz w:val="16"/>
                  <w:szCs w:val="16"/>
                  <w:color w:val="0000EE"/>
                </w:rPr>
                <w:t>Exhibit 10.1 to the Registrant’s Current Report on Form 8-K (File No. 001-37783), filed with the SEC on July 3, 2017).</w:t>
              </w:r>
            </w:hyperlink>
          </w:p>
        </w:tc>
        <w:tc>
          <w:tcPr>
            <w:tcW w:w="820" w:type="dxa"/>
            <w:vAlign w:val="bottom"/>
            <w:gridSpan w:val="22"/>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60" w:type="dxa"/>
            <w:vAlign w:val="bottom"/>
            <w:gridSpan w:val="7"/>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10.15</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360" w:type="dxa"/>
            <w:vAlign w:val="bottom"/>
            <w:gridSpan w:val="39"/>
          </w:tcPr>
          <w:p>
            <w:pPr>
              <w:spacing w:after="0"/>
              <w:rPr>
                <w:rFonts w:ascii="Arial" w:cs="Arial" w:eastAsia="Arial" w:hAnsi="Arial"/>
                <w:sz w:val="16"/>
                <w:szCs w:val="16"/>
                <w:color w:val="0000EE"/>
                <w:w w:val="96"/>
              </w:rPr>
            </w:pPr>
            <w:hyperlink r:id="rId149">
              <w:r>
                <w:rPr>
                  <w:rFonts w:ascii="Arial" w:cs="Arial" w:eastAsia="Arial" w:hAnsi="Arial"/>
                  <w:sz w:val="16"/>
                  <w:szCs w:val="16"/>
                  <w:color w:val="0000EE"/>
                  <w:w w:val="96"/>
                </w:rPr>
                <w:t>Amended and Restated Executive Employment Agreement, by and between Clearside Biomedical, Inc. and Daniel H. White, dated as of</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60" w:type="dxa"/>
            <w:vAlign w:val="bottom"/>
            <w:gridSpan w:val="14"/>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6"/>
              </w:rPr>
            </w:pPr>
            <w:hyperlink r:id="rId149">
              <w:r>
                <w:rPr>
                  <w:rFonts w:ascii="Arial" w:cs="Arial" w:eastAsia="Arial" w:hAnsi="Arial"/>
                  <w:sz w:val="16"/>
                  <w:szCs w:val="16"/>
                  <w:color w:val="0000EE"/>
                  <w:w w:val="96"/>
                </w:rPr>
                <w:t>August 3, 2017 (incorporated herein by reference to Exhibit 10.1 to the Registrant’s Quarterly Report on Form 10-Q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149">
              <w:r>
                <w:rPr>
                  <w:rFonts w:ascii="Arial" w:cs="Arial" w:eastAsia="Arial" w:hAnsi="Arial"/>
                  <w:sz w:val="16"/>
                  <w:szCs w:val="16"/>
                  <w:color w:val="0000EE"/>
                  <w:w w:val="93"/>
                </w:rPr>
                <w:t>filed with the Commission on November 9, 2017).</w:t>
              </w:r>
            </w:hyperlink>
          </w:p>
        </w:tc>
        <w:tc>
          <w:tcPr>
            <w:tcW w:w="5700" w:type="dxa"/>
            <w:vAlign w:val="bottom"/>
            <w:tcBorders>
              <w:top w:val="single" w:sz="8" w:color="0000EE"/>
            </w:tcBorders>
            <w:gridSpan w:val="19"/>
          </w:tcPr>
          <w:p>
            <w:pPr>
              <w:spacing w:after="0"/>
              <w:rPr>
                <w:sz w:val="15"/>
                <w:szCs w:val="15"/>
                <w:color w:val="auto"/>
              </w:rPr>
            </w:pPr>
          </w:p>
        </w:tc>
        <w:tc>
          <w:tcPr>
            <w:tcW w:w="360" w:type="dxa"/>
            <w:vAlign w:val="bottom"/>
            <w:gridSpan w:val="12"/>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10.16</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80" w:type="dxa"/>
            <w:vAlign w:val="bottom"/>
            <w:tcBorders>
              <w:bottom w:val="single" w:sz="8" w:color="0000EE"/>
            </w:tcBorders>
            <w:gridSpan w:val="29"/>
          </w:tcPr>
          <w:p>
            <w:pPr>
              <w:spacing w:after="0"/>
              <w:rPr>
                <w:rFonts w:ascii="Arial" w:cs="Arial" w:eastAsia="Arial" w:hAnsi="Arial"/>
                <w:sz w:val="16"/>
                <w:szCs w:val="16"/>
                <w:color w:val="0000EE"/>
                <w:w w:val="91"/>
              </w:rPr>
            </w:pPr>
            <w:hyperlink r:id="rId150">
              <w:r>
                <w:rPr>
                  <w:rFonts w:ascii="Arial" w:cs="Arial" w:eastAsia="Arial" w:hAnsi="Arial"/>
                  <w:sz w:val="16"/>
                  <w:szCs w:val="16"/>
                  <w:color w:val="0000EE"/>
                  <w:w w:val="91"/>
                </w:rPr>
                <w:t>Amended and Restated Executive Employment Agreement, by and between Clearside Biomedical, Inc. and Charles A. Deignan, dated as of</w:t>
              </w:r>
            </w:hyperlink>
          </w:p>
        </w:tc>
        <w:tc>
          <w:tcPr>
            <w:tcW w:w="280" w:type="dxa"/>
            <w:vAlign w:val="bottom"/>
            <w:gridSpan w:val="10"/>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9"/>
          </w:tcPr>
          <w:p>
            <w:pPr>
              <w:spacing w:after="0" w:line="183" w:lineRule="exact"/>
              <w:rPr>
                <w:rFonts w:ascii="Arial" w:cs="Arial" w:eastAsia="Arial" w:hAnsi="Arial"/>
                <w:sz w:val="16"/>
                <w:szCs w:val="16"/>
                <w:color w:val="0000EE"/>
                <w:w w:val="96"/>
              </w:rPr>
            </w:pPr>
            <w:hyperlink r:id="rId150">
              <w:r>
                <w:rPr>
                  <w:rFonts w:ascii="Arial" w:cs="Arial" w:eastAsia="Arial" w:hAnsi="Arial"/>
                  <w:sz w:val="16"/>
                  <w:szCs w:val="16"/>
                  <w:color w:val="0000EE"/>
                  <w:w w:val="96"/>
                </w:rPr>
                <w:t>August 3, 2017 (incorporated herein by reference to Exhibit 10.2 to the Registrant’s Quarterly Report on Form 10-Q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3"/>
              </w:rPr>
            </w:pPr>
            <w:hyperlink r:id="rId150">
              <w:r>
                <w:rPr>
                  <w:rFonts w:ascii="Arial" w:cs="Arial" w:eastAsia="Arial" w:hAnsi="Arial"/>
                  <w:sz w:val="16"/>
                  <w:szCs w:val="16"/>
                  <w:color w:val="0000EE"/>
                  <w:w w:val="93"/>
                </w:rPr>
                <w:t>filed with the Commission on November 9, 2017).</w:t>
              </w:r>
            </w:hyperlink>
          </w:p>
        </w:tc>
        <w:tc>
          <w:tcPr>
            <w:tcW w:w="5720" w:type="dxa"/>
            <w:vAlign w:val="bottom"/>
            <w:tcBorders>
              <w:top w:val="single" w:sz="8" w:color="0000EE"/>
            </w:tcBorders>
            <w:gridSpan w:val="20"/>
          </w:tcPr>
          <w:p>
            <w:pPr>
              <w:spacing w:after="0"/>
              <w:rPr>
                <w:sz w:val="15"/>
                <w:szCs w:val="15"/>
                <w:color w:val="auto"/>
              </w:rPr>
            </w:pPr>
          </w:p>
        </w:tc>
        <w:tc>
          <w:tcPr>
            <w:tcW w:w="360" w:type="dxa"/>
            <w:vAlign w:val="bottom"/>
            <w:gridSpan w:val="12"/>
          </w:tcPr>
          <w:p>
            <w:pPr>
              <w:spacing w:after="0"/>
              <w:rPr>
                <w:sz w:val="15"/>
                <w:szCs w:val="15"/>
                <w:color w:val="auto"/>
              </w:rPr>
            </w:pPr>
          </w:p>
        </w:tc>
      </w:tr>
      <w:tr>
        <w:trPr>
          <w:trHeight w:val="453"/>
        </w:trPr>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gridSpan w:val="10"/>
          </w:tcPr>
          <w:p>
            <w:pPr>
              <w:ind w:left="35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10.17</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gridSpan w:val="15"/>
          </w:tcPr>
          <w:p>
            <w:pPr>
              <w:spacing w:after="0"/>
              <w:rPr>
                <w:rFonts w:ascii="Arial" w:cs="Arial" w:eastAsia="Arial" w:hAnsi="Arial"/>
                <w:sz w:val="16"/>
                <w:szCs w:val="16"/>
                <w:color w:val="0000EE"/>
                <w:w w:val="95"/>
              </w:rPr>
            </w:pPr>
            <w:hyperlink r:id="rId153">
              <w:r>
                <w:rPr>
                  <w:rFonts w:ascii="Arial" w:cs="Arial" w:eastAsia="Arial" w:hAnsi="Arial"/>
                  <w:sz w:val="16"/>
                  <w:szCs w:val="16"/>
                  <w:color w:val="0000EE"/>
                  <w:w w:val="95"/>
                </w:rPr>
                <w:t>Amended and Restated Executive Employment Agreement, by and between Clearside Biomedical, Inc. and Glenn Noronha, dated as of</w:t>
              </w:r>
            </w:hyperlink>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2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153">
              <w:r>
                <w:rPr>
                  <w:rFonts w:ascii="Arial" w:cs="Arial" w:eastAsia="Arial" w:hAnsi="Arial"/>
                  <w:sz w:val="16"/>
                  <w:szCs w:val="16"/>
                  <w:color w:val="0000EE"/>
                  <w:w w:val="92"/>
                </w:rPr>
                <w:t>August 3, 2017 (incorporated herein by reference to Exhibit 10.3 to the Registrant’s Quarterly Report on Form 10-Q (File No. 001-37783),</w:t>
              </w:r>
            </w:hyperlink>
          </w:p>
        </w:tc>
        <w:tc>
          <w:tcPr>
            <w:tcW w:w="180" w:type="dxa"/>
            <w:vAlign w:val="bottom"/>
            <w:gridSpan w:val="3"/>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0" w:type="dxa"/>
            <w:vAlign w:val="bottom"/>
            <w:gridSpan w:val="15"/>
          </w:tcPr>
          <w:p>
            <w:pPr>
              <w:spacing w:after="0" w:line="183" w:lineRule="exact"/>
              <w:rPr>
                <w:rFonts w:ascii="Arial" w:cs="Arial" w:eastAsia="Arial" w:hAnsi="Arial"/>
                <w:sz w:val="16"/>
                <w:szCs w:val="16"/>
                <w:color w:val="0000EE"/>
              </w:rPr>
            </w:pPr>
            <w:hyperlink r:id="rId153">
              <w:r>
                <w:rPr>
                  <w:rFonts w:ascii="Arial" w:cs="Arial" w:eastAsia="Arial" w:hAnsi="Arial"/>
                  <w:sz w:val="16"/>
                  <w:szCs w:val="16"/>
                  <w:color w:val="0000EE"/>
                </w:rPr>
                <w:t>filed with the Commission on November 9, 2017).</w:t>
              </w:r>
            </w:hyperlink>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10.18</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gridSpan w:val="15"/>
          </w:tcPr>
          <w:p>
            <w:pPr>
              <w:spacing w:after="0"/>
              <w:rPr>
                <w:rFonts w:ascii="Arial" w:cs="Arial" w:eastAsia="Arial" w:hAnsi="Arial"/>
                <w:sz w:val="16"/>
                <w:szCs w:val="16"/>
                <w:color w:val="0000EE"/>
                <w:w w:val="94"/>
              </w:rPr>
            </w:pPr>
            <w:hyperlink r:id="rId154">
              <w:r>
                <w:rPr>
                  <w:rFonts w:ascii="Arial" w:cs="Arial" w:eastAsia="Arial" w:hAnsi="Arial"/>
                  <w:sz w:val="16"/>
                  <w:szCs w:val="16"/>
                  <w:color w:val="0000EE"/>
                  <w:w w:val="94"/>
                </w:rPr>
                <w:t>Amended and Restated Non-Employee Director Compensation Policy (incorporated herein by reference to Exhibit 10.4 to the Registrant’s</w:t>
              </w:r>
            </w:hyperlink>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6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54">
              <w:r>
                <w:rPr>
                  <w:rFonts w:ascii="Arial" w:cs="Arial" w:eastAsia="Arial" w:hAnsi="Arial"/>
                  <w:sz w:val="16"/>
                  <w:szCs w:val="16"/>
                  <w:color w:val="0000EE"/>
                  <w:w w:val="93"/>
                </w:rPr>
                <w:t>Quarterly Report on Form 10-Q (File No. 001-37783), filed with the Commission on November 9, 2017).</w:t>
              </w:r>
            </w:hyperlink>
          </w:p>
        </w:tc>
        <w:tc>
          <w:tcPr>
            <w:tcW w:w="2120" w:type="dxa"/>
            <w:vAlign w:val="bottom"/>
            <w:tcBorders>
              <w:top w:val="single" w:sz="8" w:color="0000EE"/>
            </w:tcBorders>
            <w:gridSpan w:val="5"/>
          </w:tcPr>
          <w:p>
            <w:pPr>
              <w:spacing w:after="0"/>
              <w:rPr>
                <w:sz w:val="15"/>
                <w:szCs w:val="15"/>
                <w:color w:val="auto"/>
              </w:rPr>
            </w:pPr>
          </w:p>
        </w:tc>
        <w:tc>
          <w:tcPr>
            <w:tcW w:w="220" w:type="dxa"/>
            <w:vAlign w:val="bottom"/>
            <w:gridSpan w:val="4"/>
          </w:tcPr>
          <w:p>
            <w:pPr>
              <w:spacing w:after="0"/>
              <w:rPr>
                <w:sz w:val="15"/>
                <w:szCs w:val="15"/>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6"/>
                <w:szCs w:val="16"/>
                <w:color w:val="auto"/>
              </w:rPr>
              <w:t>10.19</w:t>
            </w:r>
          </w:p>
        </w:tc>
        <w:tc>
          <w:tcPr>
            <w:tcW w:w="94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6"/>
                <w:szCs w:val="16"/>
                <w:color w:val="0000EE"/>
                <w:w w:val="93"/>
              </w:rPr>
            </w:pPr>
            <w:hyperlink r:id="rId155">
              <w:r>
                <w:rPr>
                  <w:rFonts w:ascii="Arial" w:cs="Arial" w:eastAsia="Arial" w:hAnsi="Arial"/>
                  <w:sz w:val="16"/>
                  <w:szCs w:val="16"/>
                  <w:color w:val="0000EE"/>
                  <w:w w:val="93"/>
                </w:rPr>
                <w:t>First Amendment to Amended and Restated Loan and Security Agreement, by and among the Company, Silicon Valley Bank, ELM 2016-1</w:t>
              </w:r>
            </w:hyperlink>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100" w:type="dxa"/>
            <w:vAlign w:val="bottom"/>
            <w:tcBorders>
              <w:bottom w:val="single" w:sz="8" w:color="0000EE"/>
            </w:tcBorders>
            <w:gridSpan w:val="14"/>
          </w:tcPr>
          <w:p>
            <w:pPr>
              <w:spacing w:after="0" w:line="183" w:lineRule="exact"/>
              <w:rPr>
                <w:rFonts w:ascii="Arial" w:cs="Arial" w:eastAsia="Arial" w:hAnsi="Arial"/>
                <w:sz w:val="16"/>
                <w:szCs w:val="16"/>
                <w:color w:val="0000EE"/>
                <w:w w:val="91"/>
              </w:rPr>
            </w:pPr>
            <w:hyperlink r:id="rId155">
              <w:r>
                <w:rPr>
                  <w:rFonts w:ascii="Arial" w:cs="Arial" w:eastAsia="Arial" w:hAnsi="Arial"/>
                  <w:sz w:val="16"/>
                  <w:szCs w:val="16"/>
                  <w:color w:val="0000EE"/>
                  <w:w w:val="91"/>
                </w:rPr>
                <w:t>Trust and Midcap Financial Trust, dated as of October 31, 2017 (incorporated herein by reference to Exhibit 10.1 to the Registrant’s Current</w:t>
              </w:r>
            </w:hyperlink>
          </w:p>
        </w:tc>
        <w:tc>
          <w:tcPr>
            <w:tcW w:w="10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20" w:type="dxa"/>
            <w:vAlign w:val="bottom"/>
            <w:tcBorders>
              <w:bottom w:val="single" w:sz="8" w:color="0000EE"/>
            </w:tcBorders>
            <w:gridSpan w:val="5"/>
          </w:tcPr>
          <w:p>
            <w:pPr>
              <w:spacing w:after="0" w:line="183" w:lineRule="exact"/>
              <w:rPr>
                <w:rFonts w:ascii="Arial" w:cs="Arial" w:eastAsia="Arial" w:hAnsi="Arial"/>
                <w:sz w:val="16"/>
                <w:szCs w:val="16"/>
                <w:color w:val="0000EE"/>
                <w:w w:val="93"/>
              </w:rPr>
            </w:pPr>
            <w:hyperlink r:id="rId155">
              <w:r>
                <w:rPr>
                  <w:rFonts w:ascii="Arial" w:cs="Arial" w:eastAsia="Arial" w:hAnsi="Arial"/>
                  <w:sz w:val="16"/>
                  <w:szCs w:val="16"/>
                  <w:color w:val="0000EE"/>
                  <w:w w:val="93"/>
                </w:rPr>
                <w:t>Report on Form 8-K (File No. 001-37783), filed with the Commission on November 2, 2017).</w:t>
              </w:r>
            </w:hyperlink>
          </w:p>
        </w:tc>
        <w:tc>
          <w:tcPr>
            <w:tcW w:w="3080" w:type="dxa"/>
            <w:vAlign w:val="bottom"/>
            <w:gridSpan w:val="10"/>
          </w:tcPr>
          <w:p>
            <w:pPr>
              <w:spacing w:after="0"/>
              <w:rPr>
                <w:sz w:val="15"/>
                <w:szCs w:val="15"/>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23.1</w:t>
            </w:r>
          </w:p>
        </w:tc>
        <w:tc>
          <w:tcPr>
            <w:tcW w:w="940" w:type="dxa"/>
            <w:vAlign w:val="bottom"/>
          </w:tcPr>
          <w:p>
            <w:pPr>
              <w:spacing w:after="0"/>
              <w:rPr>
                <w:sz w:val="24"/>
                <w:szCs w:val="24"/>
                <w:color w:val="auto"/>
              </w:rPr>
            </w:pPr>
          </w:p>
        </w:tc>
        <w:tc>
          <w:tcPr>
            <w:tcW w:w="516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99">
              <w:r>
                <w:rPr>
                  <w:rFonts w:ascii="Arial" w:cs="Arial" w:eastAsia="Arial" w:hAnsi="Arial"/>
                  <w:sz w:val="16"/>
                  <w:szCs w:val="16"/>
                  <w:color w:val="0000EE"/>
                  <w:w w:val="92"/>
                </w:rPr>
                <w:t>Consent of Ernst &amp; Young LLP, independent registered public accounting firm.</w:t>
              </w:r>
            </w:hyperlink>
          </w:p>
        </w:tc>
        <w:tc>
          <w:tcPr>
            <w:tcW w:w="4040" w:type="dxa"/>
            <w:vAlign w:val="bottom"/>
            <w:gridSpan w:val="11"/>
          </w:tcPr>
          <w:p>
            <w:pPr>
              <w:spacing w:after="0"/>
              <w:rPr>
                <w:sz w:val="24"/>
                <w:szCs w:val="24"/>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24.1</w:t>
            </w:r>
          </w:p>
        </w:tc>
        <w:tc>
          <w:tcPr>
            <w:tcW w:w="94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6"/>
                <w:szCs w:val="16"/>
                <w:color w:val="0000EE"/>
              </w:rPr>
            </w:pPr>
            <w:hyperlink w:anchor="page98">
              <w:r>
                <w:rPr>
                  <w:rFonts w:ascii="Arial" w:cs="Arial" w:eastAsia="Arial" w:hAnsi="Arial"/>
                  <w:sz w:val="16"/>
                  <w:szCs w:val="16"/>
                  <w:color w:val="0000EE"/>
                </w:rPr>
                <w:t>Power of Attorney (included on signature page).</w:t>
              </w:r>
            </w:hyperlink>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940" w:type="dxa"/>
            <w:vAlign w:val="bottom"/>
          </w:tcPr>
          <w:p>
            <w:pPr>
              <w:spacing w:after="0"/>
              <w:rPr>
                <w:sz w:val="24"/>
                <w:szCs w:val="24"/>
                <w:color w:val="auto"/>
              </w:rPr>
            </w:pPr>
          </w:p>
        </w:tc>
        <w:tc>
          <w:tcPr>
            <w:tcW w:w="894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100">
              <w:r>
                <w:rPr>
                  <w:rFonts w:ascii="Arial" w:cs="Arial" w:eastAsia="Arial" w:hAnsi="Arial"/>
                  <w:sz w:val="16"/>
                  <w:szCs w:val="16"/>
                  <w:color w:val="0000EE"/>
                  <w:w w:val="92"/>
                </w:rPr>
                <w:t>Certification of Principal Executive Officer pursuant to Rules 13a-14(a) and 15d-14(a) promulgated under the Securities Exchange Act of</w:t>
              </w:r>
            </w:hyperlink>
          </w:p>
        </w:tc>
        <w:tc>
          <w:tcPr>
            <w:tcW w:w="260" w:type="dxa"/>
            <w:vAlign w:val="bottom"/>
            <w:gridSpan w:val="5"/>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0" w:type="dxa"/>
            <w:vAlign w:val="bottom"/>
            <w:gridSpan w:val="15"/>
          </w:tcPr>
          <w:p>
            <w:pPr>
              <w:spacing w:after="0" w:line="183" w:lineRule="exact"/>
              <w:rPr>
                <w:rFonts w:ascii="Arial" w:cs="Arial" w:eastAsia="Arial" w:hAnsi="Arial"/>
                <w:sz w:val="16"/>
                <w:szCs w:val="16"/>
                <w:color w:val="0000EE"/>
              </w:rPr>
            </w:pPr>
            <w:hyperlink w:anchor="page100">
              <w:r>
                <w:rPr>
                  <w:rFonts w:ascii="Arial" w:cs="Arial" w:eastAsia="Arial" w:hAnsi="Arial"/>
                  <w:sz w:val="16"/>
                  <w:szCs w:val="16"/>
                  <w:color w:val="0000EE"/>
                </w:rPr>
                <w:t>1934, as adopted pursuant to Section 302 of the Sarbanes-Oxley Act of 2002.</w:t>
              </w:r>
            </w:hyperlink>
          </w:p>
        </w:tc>
      </w:tr>
      <w:tr>
        <w:trPr>
          <w:trHeight w:val="20"/>
        </w:trPr>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20" w:type="dxa"/>
            <w:vAlign w:val="bottom"/>
            <w:tcBorders>
              <w:right w:val="single" w:sz="8" w:color="0000EE"/>
            </w:tcBorders>
            <w:gridSpan w:val="3"/>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940" w:type="dxa"/>
            <w:vAlign w:val="bottom"/>
          </w:tcPr>
          <w:p>
            <w:pPr>
              <w:spacing w:after="0"/>
              <w:rPr>
                <w:sz w:val="24"/>
                <w:szCs w:val="24"/>
                <w:color w:val="auto"/>
              </w:rPr>
            </w:pPr>
          </w:p>
        </w:tc>
        <w:tc>
          <w:tcPr>
            <w:tcW w:w="8900" w:type="dxa"/>
            <w:vAlign w:val="bottom"/>
            <w:tcBorders>
              <w:bottom w:val="single" w:sz="8" w:color="0000EE"/>
            </w:tcBorders>
            <w:gridSpan w:val="9"/>
          </w:tcPr>
          <w:p>
            <w:pPr>
              <w:spacing w:after="0"/>
              <w:rPr>
                <w:rFonts w:ascii="Arial" w:cs="Arial" w:eastAsia="Arial" w:hAnsi="Arial"/>
                <w:sz w:val="16"/>
                <w:szCs w:val="16"/>
                <w:color w:val="0000EE"/>
                <w:w w:val="92"/>
              </w:rPr>
            </w:pPr>
            <w:hyperlink w:anchor="page101">
              <w:r>
                <w:rPr>
                  <w:rFonts w:ascii="Arial" w:cs="Arial" w:eastAsia="Arial" w:hAnsi="Arial"/>
                  <w:sz w:val="16"/>
                  <w:szCs w:val="16"/>
                  <w:color w:val="0000EE"/>
                  <w:w w:val="92"/>
                </w:rPr>
                <w:t>Certification of Principal Financial Officer pursuant to Rules 13a-14(a) and 15d-14(a) promulgated under the Securities Exchange Act of</w:t>
              </w:r>
            </w:hyperlink>
          </w:p>
        </w:tc>
        <w:tc>
          <w:tcPr>
            <w:tcW w:w="300" w:type="dxa"/>
            <w:vAlign w:val="bottom"/>
            <w:gridSpan w:val="6"/>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20" w:type="dxa"/>
            <w:vAlign w:val="bottom"/>
            <w:tcBorders>
              <w:bottom w:val="single" w:sz="8" w:color="0000EE"/>
            </w:tcBorders>
            <w:gridSpan w:val="3"/>
          </w:tcPr>
          <w:p>
            <w:pPr>
              <w:spacing w:after="0" w:line="183" w:lineRule="exact"/>
              <w:rPr>
                <w:rFonts w:ascii="Arial" w:cs="Arial" w:eastAsia="Arial" w:hAnsi="Arial"/>
                <w:sz w:val="16"/>
                <w:szCs w:val="16"/>
                <w:color w:val="0000EE"/>
                <w:w w:val="90"/>
              </w:rPr>
            </w:pPr>
            <w:hyperlink w:anchor="page101">
              <w:r>
                <w:rPr>
                  <w:rFonts w:ascii="Arial" w:cs="Arial" w:eastAsia="Arial" w:hAnsi="Arial"/>
                  <w:sz w:val="16"/>
                  <w:szCs w:val="16"/>
                  <w:color w:val="0000EE"/>
                  <w:w w:val="90"/>
                </w:rPr>
                <w:t>1934, as adopted pursuant to section 302 of the Sarbanes-Oxley Act of 2002.</w:t>
              </w:r>
            </w:hyperlink>
          </w:p>
        </w:tc>
        <w:tc>
          <w:tcPr>
            <w:tcW w:w="4180" w:type="dxa"/>
            <w:vAlign w:val="bottom"/>
            <w:gridSpan w:val="12"/>
          </w:tcPr>
          <w:p>
            <w:pPr>
              <w:spacing w:after="0"/>
              <w:rPr>
                <w:sz w:val="15"/>
                <w:szCs w:val="15"/>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32.1</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tcBorders>
              <w:bottom w:val="single" w:sz="8" w:color="0000EE"/>
            </w:tcBorders>
            <w:gridSpan w:val="15"/>
          </w:tcPr>
          <w:p>
            <w:pPr>
              <w:spacing w:after="0"/>
              <w:rPr>
                <w:rFonts w:ascii="Arial" w:cs="Arial" w:eastAsia="Arial" w:hAnsi="Arial"/>
                <w:sz w:val="16"/>
                <w:szCs w:val="16"/>
                <w:color w:val="0000EE"/>
                <w:w w:val="93"/>
              </w:rPr>
            </w:pPr>
            <w:hyperlink w:anchor="page102">
              <w:r>
                <w:rPr>
                  <w:rFonts w:ascii="Arial" w:cs="Arial" w:eastAsia="Arial" w:hAnsi="Arial"/>
                  <w:sz w:val="16"/>
                  <w:szCs w:val="16"/>
                  <w:color w:val="0000EE"/>
                  <w:w w:val="93"/>
                </w:rPr>
                <w:t>Certification of Principal Executive Officer and Principal Financial Officer pursuant to Rules 13a-14(b) and 15d-14(b) promulgated under the</w:t>
              </w:r>
            </w:hyperlink>
          </w:p>
        </w:tc>
      </w:tr>
      <w:tr>
        <w:trPr>
          <w:trHeight w:val="183"/>
        </w:trPr>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0" w:type="dxa"/>
            <w:vAlign w:val="bottom"/>
            <w:gridSpan w:val="15"/>
          </w:tcPr>
          <w:p>
            <w:pPr>
              <w:spacing w:after="0" w:line="183" w:lineRule="exact"/>
              <w:rPr>
                <w:rFonts w:ascii="Arial" w:cs="Arial" w:eastAsia="Arial" w:hAnsi="Arial"/>
                <w:sz w:val="16"/>
                <w:szCs w:val="16"/>
                <w:color w:val="0000EE"/>
                <w:w w:val="96"/>
              </w:rPr>
            </w:pPr>
            <w:hyperlink w:anchor="page102">
              <w:r>
                <w:rPr>
                  <w:rFonts w:ascii="Arial" w:cs="Arial" w:eastAsia="Arial" w:hAnsi="Arial"/>
                  <w:sz w:val="16"/>
                  <w:szCs w:val="16"/>
                  <w:color w:val="0000EE"/>
                  <w:w w:val="96"/>
                </w:rPr>
                <w:t>Securities Exchange Act of 1934 and 18 U.S.C. Section 1350, as adopted pursuant to section 906 of The Sarbanes-Oxley Act of 2002.</w:t>
              </w:r>
            </w:hyperlink>
          </w:p>
        </w:tc>
      </w:tr>
      <w:tr>
        <w:trPr>
          <w:trHeight w:val="325"/>
        </w:trPr>
        <w:tc>
          <w:tcPr>
            <w:tcW w:w="1220" w:type="dxa"/>
            <w:vAlign w:val="bottom"/>
          </w:tcPr>
          <w:p>
            <w:pPr>
              <w:spacing w:after="0"/>
              <w:rPr>
                <w:sz w:val="20"/>
                <w:szCs w:val="20"/>
                <w:color w:val="auto"/>
              </w:rPr>
            </w:pPr>
            <w:r>
              <w:rPr>
                <w:rFonts w:ascii="Arial" w:cs="Arial" w:eastAsia="Arial" w:hAnsi="Arial"/>
                <w:sz w:val="16"/>
                <w:szCs w:val="16"/>
                <w:color w:val="auto"/>
              </w:rPr>
              <w:t>101.INS</w:t>
            </w:r>
          </w:p>
        </w:tc>
        <w:tc>
          <w:tcPr>
            <w:tcW w:w="940" w:type="dxa"/>
            <w:vAlign w:val="bottom"/>
          </w:tcPr>
          <w:p>
            <w:pPr>
              <w:spacing w:after="0"/>
              <w:rPr>
                <w:sz w:val="24"/>
                <w:szCs w:val="24"/>
                <w:color w:val="auto"/>
              </w:rPr>
            </w:pPr>
          </w:p>
        </w:tc>
        <w:tc>
          <w:tcPr>
            <w:tcW w:w="870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auto"/>
              </w:rPr>
              <w:t>XBRL Instance Document</w:t>
            </w:r>
          </w:p>
        </w:tc>
        <w:tc>
          <w:tcPr>
            <w:tcW w:w="500" w:type="dxa"/>
            <w:vAlign w:val="bottom"/>
            <w:gridSpan w:val="8"/>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940" w:type="dxa"/>
            <w:vAlign w:val="bottom"/>
          </w:tcPr>
          <w:p>
            <w:pPr>
              <w:spacing w:after="0"/>
              <w:rPr>
                <w:sz w:val="24"/>
                <w:szCs w:val="24"/>
                <w:color w:val="auto"/>
              </w:rPr>
            </w:pPr>
          </w:p>
        </w:tc>
        <w:tc>
          <w:tcPr>
            <w:tcW w:w="9200" w:type="dxa"/>
            <w:vAlign w:val="bottom"/>
            <w:gridSpan w:val="15"/>
          </w:tcPr>
          <w:p>
            <w:pPr>
              <w:spacing w:after="0"/>
              <w:rPr>
                <w:sz w:val="20"/>
                <w:szCs w:val="20"/>
                <w:color w:val="auto"/>
              </w:rPr>
            </w:pPr>
            <w:r>
              <w:rPr>
                <w:rFonts w:ascii="Arial" w:cs="Arial" w:eastAsia="Arial" w:hAnsi="Arial"/>
                <w:sz w:val="16"/>
                <w:szCs w:val="16"/>
                <w:color w:val="auto"/>
              </w:rPr>
              <w:t>XBRL Taxonomy Extension Schema Document</w:t>
            </w: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940" w:type="dxa"/>
            <w:vAlign w:val="bottom"/>
          </w:tcPr>
          <w:p>
            <w:pPr>
              <w:spacing w:after="0"/>
              <w:rPr>
                <w:sz w:val="24"/>
                <w:szCs w:val="24"/>
                <w:color w:val="auto"/>
              </w:rPr>
            </w:pPr>
          </w:p>
        </w:tc>
        <w:tc>
          <w:tcPr>
            <w:tcW w:w="920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940" w:type="dxa"/>
            <w:vAlign w:val="bottom"/>
          </w:tcPr>
          <w:p>
            <w:pPr>
              <w:spacing w:after="0"/>
              <w:rPr>
                <w:sz w:val="24"/>
                <w:szCs w:val="24"/>
                <w:color w:val="auto"/>
              </w:rPr>
            </w:pPr>
          </w:p>
        </w:tc>
        <w:tc>
          <w:tcPr>
            <w:tcW w:w="9200" w:type="dxa"/>
            <w:vAlign w:val="bottom"/>
            <w:gridSpan w:val="1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940" w:type="dxa"/>
            <w:vAlign w:val="bottom"/>
          </w:tcPr>
          <w:p>
            <w:pPr>
              <w:spacing w:after="0"/>
              <w:rPr>
                <w:sz w:val="24"/>
                <w:szCs w:val="24"/>
                <w:color w:val="auto"/>
              </w:rPr>
            </w:pPr>
          </w:p>
        </w:tc>
        <w:tc>
          <w:tcPr>
            <w:tcW w:w="9200" w:type="dxa"/>
            <w:vAlign w:val="bottom"/>
            <w:gridSpan w:val="15"/>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940" w:type="dxa"/>
            <w:vAlign w:val="bottom"/>
          </w:tcPr>
          <w:p>
            <w:pPr>
              <w:spacing w:after="0"/>
              <w:rPr>
                <w:sz w:val="24"/>
                <w:szCs w:val="24"/>
                <w:color w:val="auto"/>
              </w:rPr>
            </w:pPr>
          </w:p>
        </w:tc>
        <w:tc>
          <w:tcPr>
            <w:tcW w:w="9200" w:type="dxa"/>
            <w:vAlign w:val="bottom"/>
            <w:gridSpan w:val="15"/>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132715</wp:posOffset>
            </wp:positionV>
            <wp:extent cx="7237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92" w:lineRule="exact"/>
        <w:rPr>
          <w:sz w:val="20"/>
          <w:szCs w:val="20"/>
          <w:color w:val="auto"/>
        </w:rPr>
      </w:pPr>
    </w:p>
    <w:p>
      <w:pPr>
        <w:ind w:left="560" w:right="9380" w:hanging="545"/>
        <w:spacing w:after="0" w:line="304" w:lineRule="auto"/>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management contract or</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compensatory plan.</w:t>
      </w:r>
    </w:p>
    <w:p>
      <w:pPr>
        <w:spacing w:after="0" w:line="19" w:lineRule="exact"/>
        <w:rPr>
          <w:sz w:val="20"/>
          <w:szCs w:val="20"/>
          <w:color w:val="auto"/>
        </w:rPr>
      </w:pPr>
    </w:p>
    <w:p>
      <w:pPr>
        <w:ind w:left="560" w:right="9200" w:hanging="545"/>
        <w:spacing w:after="0" w:line="288" w:lineRule="auto"/>
        <w:tabs>
          <w:tab w:leader="none" w:pos="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Confidential treatment has been granted with respect to portions of this exhibit (indicated by asterisks) and those portions have been separately filed with the</w:t>
      </w:r>
    </w:p>
    <w:p>
      <w:pPr>
        <w:spacing w:after="0" w:line="371" w:lineRule="exact"/>
        <w:rPr>
          <w:sz w:val="20"/>
          <w:szCs w:val="20"/>
          <w:color w:val="auto"/>
        </w:rPr>
      </w:pPr>
    </w:p>
    <w:p>
      <w:pPr>
        <w:ind w:left="560" w:right="9200" w:hanging="545"/>
        <w:spacing w:after="0" w:line="284" w:lineRule="auto"/>
        <w:tabs>
          <w:tab w:leader="none" w:pos="5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2" w:right="27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CLEARSIDE BIOMEDICAL, INC.</w:t>
      </w:r>
    </w:p>
    <w:p>
      <w:pPr>
        <w:spacing w:after="0" w:line="235" w:lineRule="exact"/>
        <w:rPr>
          <w:sz w:val="20"/>
          <w:szCs w:val="20"/>
          <w:color w:val="auto"/>
        </w:rPr>
      </w:pPr>
    </w:p>
    <w:tbl>
      <w:tblPr>
        <w:tblLayout w:type="fixed"/>
        <w:tblInd w:w="5360" w:type="dxa"/>
        <w:tblCellMar>
          <w:top w:w="0" w:type="dxa"/>
          <w:left w:w="0" w:type="dxa"/>
          <w:bottom w:w="0" w:type="dxa"/>
          <w:right w:w="0" w:type="dxa"/>
        </w:tblCellMar>
      </w:tblPr>
      <w:tr>
        <w:trPr>
          <w:trHeight w:val="209"/>
        </w:trPr>
        <w:tc>
          <w:tcPr>
            <w:tcW w:w="4020" w:type="dxa"/>
            <w:vAlign w:val="bottom"/>
          </w:tcPr>
          <w:p>
            <w:pPr>
              <w:ind w:left="3700"/>
              <w:spacing w:after="0"/>
              <w:rPr>
                <w:sz w:val="20"/>
                <w:szCs w:val="20"/>
                <w:color w:val="auto"/>
              </w:rPr>
            </w:pPr>
            <w:r>
              <w:rPr>
                <w:rFonts w:ascii="Arial" w:cs="Arial" w:eastAsia="Arial" w:hAnsi="Arial"/>
                <w:sz w:val="16"/>
                <w:szCs w:val="16"/>
                <w:color w:val="auto"/>
              </w:rPr>
              <w:t>By:</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 xml:space="preserve">/s/ </w:t>
            </w:r>
            <w:r>
              <w:rPr>
                <w:rFonts w:ascii="Arial" w:cs="Arial" w:eastAsia="Arial" w:hAnsi="Arial"/>
                <w:sz w:val="16"/>
                <w:szCs w:val="16"/>
                <w:i w:val="1"/>
                <w:iCs w:val="1"/>
                <w:color w:val="auto"/>
                <w:w w:val="93"/>
              </w:rPr>
              <w:t>Daniel H. White</w:t>
            </w:r>
          </w:p>
        </w:tc>
      </w:tr>
      <w:tr>
        <w:trPr>
          <w:trHeight w:val="189"/>
        </w:trPr>
        <w:tc>
          <w:tcPr>
            <w:tcW w:w="40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7"/>
              </w:rPr>
              <w:t>Daniel H. White</w:t>
            </w: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March 16, 2018</w:t>
            </w:r>
          </w:p>
        </w:tc>
        <w:tc>
          <w:tcPr>
            <w:tcW w:w="2040" w:type="dxa"/>
            <w:vAlign w:val="bottom"/>
          </w:tcPr>
          <w:p>
            <w:pPr>
              <w:jc w:val="center"/>
              <w:spacing w:after="0"/>
              <w:rPr>
                <w:sz w:val="20"/>
                <w:szCs w:val="20"/>
                <w:color w:val="auto"/>
              </w:rPr>
            </w:pPr>
            <w:r>
              <w:rPr>
                <w:rFonts w:ascii="Arial" w:cs="Arial" w:eastAsia="Arial" w:hAnsi="Arial"/>
                <w:sz w:val="16"/>
                <w:szCs w:val="16"/>
                <w:i w:val="1"/>
                <w:iCs w:val="1"/>
                <w:color w:val="auto"/>
                <w:w w:val="91"/>
              </w:rPr>
              <w:t>President and Chief Executive</w:t>
            </w:r>
          </w:p>
        </w:tc>
      </w:tr>
      <w:tr>
        <w:trPr>
          <w:trHeight w:val="206"/>
        </w:trPr>
        <w:tc>
          <w:tcPr>
            <w:tcW w:w="40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i w:val="1"/>
                <w:iCs w:val="1"/>
                <w:color w:val="auto"/>
                <w:w w:val="93"/>
              </w:rPr>
              <w:t>Officer</w:t>
            </w: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Daniel H. White and Charles A. Deignan,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Signature</w:t>
            </w:r>
          </w:p>
        </w:tc>
        <w:tc>
          <w:tcPr>
            <w:tcW w:w="4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Title</w:t>
            </w:r>
          </w:p>
        </w:tc>
        <w:tc>
          <w:tcPr>
            <w:tcW w:w="18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9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/s/ Daniel H. White</w:t>
            </w:r>
          </w:p>
        </w:tc>
        <w:tc>
          <w:tcPr>
            <w:tcW w:w="4420" w:type="dxa"/>
            <w:vAlign w:val="bottom"/>
          </w:tcPr>
          <w:p>
            <w:pPr>
              <w:ind w:left="200"/>
              <w:spacing w:after="0"/>
              <w:rPr>
                <w:sz w:val="20"/>
                <w:szCs w:val="20"/>
                <w:color w:val="auto"/>
              </w:rPr>
            </w:pPr>
            <w:r>
              <w:rPr>
                <w:rFonts w:ascii="Arial" w:cs="Arial" w:eastAsia="Arial" w:hAnsi="Arial"/>
                <w:sz w:val="16"/>
                <w:szCs w:val="16"/>
                <w:color w:val="auto"/>
              </w:rPr>
              <w:t xml:space="preserve">President, Chief Executive Officer and Director </w:t>
            </w:r>
            <w:r>
              <w:rPr>
                <w:rFonts w:ascii="Arial" w:cs="Arial" w:eastAsia="Arial" w:hAnsi="Arial"/>
                <w:sz w:val="16"/>
                <w:szCs w:val="16"/>
                <w:i w:val="1"/>
                <w:iCs w:val="1"/>
                <w:color w:val="auto"/>
              </w:rPr>
              <w:t>(Principal</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jc w:val="center"/>
              <w:spacing w:after="0"/>
              <w:rPr>
                <w:sz w:val="20"/>
                <w:szCs w:val="20"/>
                <w:color w:val="auto"/>
              </w:rPr>
            </w:pPr>
            <w:r>
              <w:rPr>
                <w:rFonts w:ascii="Arial" w:cs="Arial" w:eastAsia="Arial" w:hAnsi="Arial"/>
                <w:sz w:val="16"/>
                <w:szCs w:val="16"/>
                <w:color w:val="auto"/>
                <w:w w:val="95"/>
              </w:rPr>
              <w:t>Daniel H. White</w:t>
            </w:r>
          </w:p>
        </w:tc>
        <w:tc>
          <w:tcPr>
            <w:tcW w:w="4420" w:type="dxa"/>
            <w:vAlign w:val="bottom"/>
          </w:tcPr>
          <w:p>
            <w:pPr>
              <w:ind w:left="200"/>
              <w:spacing w:after="0"/>
              <w:rPr>
                <w:sz w:val="20"/>
                <w:szCs w:val="20"/>
                <w:color w:val="auto"/>
              </w:rPr>
            </w:pPr>
            <w:r>
              <w:rPr>
                <w:rFonts w:ascii="Arial" w:cs="Arial" w:eastAsia="Arial" w:hAnsi="Arial"/>
                <w:sz w:val="16"/>
                <w:szCs w:val="16"/>
                <w:i w:val="1"/>
                <w:iCs w:val="1"/>
                <w:color w:val="auto"/>
              </w:rPr>
              <w:t>Executive Officer)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4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Charles A. Deignan</w:t>
            </w:r>
          </w:p>
        </w:tc>
        <w:tc>
          <w:tcPr>
            <w:tcW w:w="442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360" w:type="dxa"/>
            <w:vAlign w:val="bottom"/>
          </w:tcPr>
          <w:p>
            <w:pPr>
              <w:jc w:val="center"/>
              <w:spacing w:after="0" w:line="179" w:lineRule="exact"/>
              <w:rPr>
                <w:sz w:val="20"/>
                <w:szCs w:val="20"/>
                <w:color w:val="auto"/>
              </w:rPr>
            </w:pPr>
            <w:r>
              <w:rPr>
                <w:rFonts w:ascii="Arial" w:cs="Arial" w:eastAsia="Arial" w:hAnsi="Arial"/>
                <w:sz w:val="16"/>
                <w:szCs w:val="16"/>
                <w:color w:val="auto"/>
                <w:w w:val="92"/>
              </w:rPr>
              <w:t>Charles A. Deignan</w:t>
            </w:r>
          </w:p>
        </w:tc>
        <w:tc>
          <w:tcPr>
            <w:tcW w:w="4420" w:type="dxa"/>
            <w:vAlign w:val="bottom"/>
          </w:tcPr>
          <w:p>
            <w:pPr>
              <w:ind w:left="200"/>
              <w:spacing w:after="0" w:line="179" w:lineRule="exact"/>
              <w:rPr>
                <w:sz w:val="20"/>
                <w:szCs w:val="20"/>
                <w:color w:val="auto"/>
              </w:rPr>
            </w:pPr>
            <w:r>
              <w:rPr>
                <w:rFonts w:ascii="Arial" w:cs="Arial" w:eastAsia="Arial" w:hAnsi="Arial"/>
                <w:sz w:val="16"/>
                <w:szCs w:val="16"/>
                <w:i w:val="1"/>
                <w:iCs w:val="1"/>
                <w:color w:val="auto"/>
              </w:rPr>
              <w:t>(Principal Financial Officer and Principal Accounting</w:t>
            </w:r>
          </w:p>
        </w:tc>
        <w:tc>
          <w:tcPr>
            <w:tcW w:w="1860" w:type="dxa"/>
            <w:vAlign w:val="bottom"/>
          </w:tcPr>
          <w:p>
            <w:pPr>
              <w:ind w:left="440"/>
              <w:spacing w:after="0" w:line="179" w:lineRule="exact"/>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i w:val="1"/>
                <w:iCs w:val="1"/>
                <w:color w:val="auto"/>
              </w:rPr>
              <w:t>Officer)</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/s/Christy L. Shaffer, Ph.D.</w:t>
            </w:r>
          </w:p>
        </w:tc>
        <w:tc>
          <w:tcPr>
            <w:tcW w:w="44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3"/>
              </w:rPr>
              <w:t>Christy L. Shaffer, Ph.D.</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/s/Clay B. Thorp</w:t>
            </w:r>
          </w:p>
        </w:tc>
        <w:tc>
          <w:tcPr>
            <w:tcW w:w="44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6"/>
              </w:rPr>
              <w:t>Clay B. Thorp</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/s/William D Humphries</w:t>
            </w:r>
          </w:p>
        </w:tc>
        <w:tc>
          <w:tcPr>
            <w:tcW w:w="442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6"/>
              </w:rPr>
              <w:t>William D. Humphries</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89"/>
              </w:rPr>
              <w:t>/s/Evgeny Zaytsev, M.D.</w:t>
            </w:r>
          </w:p>
        </w:tc>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jc w:val="center"/>
              <w:spacing w:after="0"/>
              <w:rPr>
                <w:sz w:val="20"/>
                <w:szCs w:val="20"/>
                <w:color w:val="auto"/>
              </w:rPr>
            </w:pPr>
            <w:r>
              <w:rPr>
                <w:rFonts w:ascii="Arial" w:cs="Arial" w:eastAsia="Arial" w:hAnsi="Arial"/>
                <w:sz w:val="16"/>
                <w:szCs w:val="16"/>
                <w:color w:val="auto"/>
                <w:w w:val="93"/>
              </w:rPr>
              <w:t>Evgeny Zaytsev, M.D.</w:t>
            </w:r>
          </w:p>
        </w:tc>
        <w:tc>
          <w:tcPr>
            <w:tcW w:w="44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4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/s/Gerald D. Cagle, Ph. D.</w:t>
            </w:r>
          </w:p>
        </w:tc>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jc w:val="center"/>
              <w:spacing w:after="0"/>
              <w:rPr>
                <w:sz w:val="20"/>
                <w:szCs w:val="20"/>
                <w:color w:val="auto"/>
              </w:rPr>
            </w:pPr>
            <w:r>
              <w:rPr>
                <w:rFonts w:ascii="Arial" w:cs="Arial" w:eastAsia="Arial" w:hAnsi="Arial"/>
                <w:sz w:val="16"/>
                <w:szCs w:val="16"/>
                <w:color w:val="auto"/>
                <w:w w:val="91"/>
              </w:rPr>
              <w:t>Gerald D. Cagle, Ph.D.</w:t>
            </w:r>
          </w:p>
        </w:tc>
        <w:tc>
          <w:tcPr>
            <w:tcW w:w="44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4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/s/George Lasezkay, Pharm.D., J.D.</w:t>
            </w:r>
          </w:p>
        </w:tc>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jc w:val="center"/>
              <w:spacing w:after="0"/>
              <w:rPr>
                <w:sz w:val="20"/>
                <w:szCs w:val="20"/>
                <w:color w:val="auto"/>
              </w:rPr>
            </w:pPr>
            <w:r>
              <w:rPr>
                <w:rFonts w:ascii="Arial" w:cs="Arial" w:eastAsia="Arial" w:hAnsi="Arial"/>
                <w:sz w:val="16"/>
                <w:szCs w:val="16"/>
                <w:color w:val="auto"/>
                <w:w w:val="90"/>
              </w:rPr>
              <w:t>George Lasezkay, Pharm.D., J.D.</w:t>
            </w:r>
          </w:p>
        </w:tc>
        <w:tc>
          <w:tcPr>
            <w:tcW w:w="44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4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/s/Richard Croarkin</w:t>
            </w:r>
          </w:p>
        </w:tc>
        <w:tc>
          <w:tcPr>
            <w:tcW w:w="4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jc w:val="center"/>
              <w:spacing w:after="0"/>
              <w:rPr>
                <w:sz w:val="20"/>
                <w:szCs w:val="20"/>
                <w:color w:val="auto"/>
              </w:rPr>
            </w:pPr>
            <w:r>
              <w:rPr>
                <w:rFonts w:ascii="Arial" w:cs="Arial" w:eastAsia="Arial" w:hAnsi="Arial"/>
                <w:sz w:val="16"/>
                <w:szCs w:val="16"/>
                <w:color w:val="auto"/>
                <w:w w:val="94"/>
              </w:rPr>
              <w:t>Richard Croarkin</w:t>
            </w:r>
          </w:p>
        </w:tc>
        <w:tc>
          <w:tcPr>
            <w:tcW w:w="44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16, 2018</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23.1</w:t>
      </w:r>
    </w:p>
    <w:p>
      <w:pPr>
        <w:spacing w:after="0" w:line="244"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43" w:lineRule="exact"/>
        <w:rPr>
          <w:sz w:val="20"/>
          <w:szCs w:val="20"/>
          <w:color w:val="auto"/>
        </w:rPr>
      </w:pPr>
    </w:p>
    <w:p>
      <w:pPr>
        <w:ind w:left="880" w:right="120" w:hanging="440"/>
        <w:spacing w:after="0" w:line="247" w:lineRule="auto"/>
        <w:tabs>
          <w:tab w:leader="none" w:pos="8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Registration Statement (Form S-8 No. 333-212014) pertaining to the 2011 Stock Incentive Plan, as amended, Stock Option Awards, 2016 Equity Incentive Plan, and 2016 Employee Stock Purchase Plan of Clearside Biomedical, Inc.,</w:t>
      </w:r>
    </w:p>
    <w:p>
      <w:pPr>
        <w:spacing w:after="0" w:line="1" w:lineRule="exact"/>
        <w:rPr>
          <w:rFonts w:ascii="Arial" w:cs="Arial" w:eastAsia="Arial" w:hAnsi="Arial"/>
          <w:sz w:val="20"/>
          <w:szCs w:val="20"/>
          <w:color w:val="auto"/>
        </w:rPr>
      </w:pPr>
    </w:p>
    <w:p>
      <w:pPr>
        <w:ind w:left="880" w:hanging="440"/>
        <w:spacing w:after="0" w:line="239" w:lineRule="auto"/>
        <w:tabs>
          <w:tab w:leader="none" w:pos="8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Registration Statement (Form S-8 No. 333-216750) pertaining to the 2016 Equity Incentive Plan and 2016 Employee Stock Purchase Plan of Clearside Biomedical, Inc., and</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Registration Statement (Form S-3 No. 333-219132) of Clearside Biomedical, Inc.</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of our report dated March 16, 2018, with respect to the financial statements of Clearside Biomedical, Inc. included in this Annual Report (Form 10-K) of Clearside Biomedical, Inc. for the year ended December 31, 2017.</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w:t>
      </w:r>
    </w:p>
    <w:p>
      <w:pPr>
        <w:spacing w:after="0"/>
        <w:rPr>
          <w:sz w:val="20"/>
          <w:szCs w:val="20"/>
          <w:color w:val="auto"/>
        </w:rPr>
      </w:pPr>
      <w:r>
        <w:rPr>
          <w:rFonts w:ascii="Arial" w:cs="Arial" w:eastAsia="Arial" w:hAnsi="Arial"/>
          <w:sz w:val="20"/>
          <w:szCs w:val="20"/>
          <w:color w:val="auto"/>
        </w:rPr>
        <w:t>March 16, 2018</w:t>
      </w:r>
    </w:p>
    <w:p>
      <w:pPr>
        <w:sectPr>
          <w:pgSz w:w="11900" w:h="16838" w:orient="portrait"/>
          <w:cols w:equalWidth="0" w:num="1">
            <w:col w:w="11420"/>
          </w:cols>
          <w:pgMar w:left="240" w:top="11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520" w:hanging="512"/>
        <w:spacing w:after="0" w:line="308" w:lineRule="auto"/>
        <w:tabs>
          <w:tab w:leader="none" w:pos="520"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for the year ended December 31, 2017,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16th day of March,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lvl w:ilvl="1">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lvl w:ilvl="1">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lvl w:ilvl="1">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28" Type="http://schemas.openxmlformats.org/officeDocument/2006/relationships/hyperlink" Target="http://www.sec.gov/Archives/edgar/data/1539029/000119312516615374/d208521dex31.htm" TargetMode="External"/><Relationship Id="rId129" Type="http://schemas.openxmlformats.org/officeDocument/2006/relationships/hyperlink" Target="http://www.sec.gov/Archives/edgar/data/1539029/000119312516615374/d208521dex32.htm" TargetMode="External"/><Relationship Id="rId132" Type="http://schemas.openxmlformats.org/officeDocument/2006/relationships/hyperlink" Target="http://www.sec.gov/Archives/edgar/data/1539029/000119312516510413/d742552dex41.htm" TargetMode="External"/><Relationship Id="rId133" Type="http://schemas.openxmlformats.org/officeDocument/2006/relationships/hyperlink" Target="http://www.sec.gov/Archives/edgar/data/1539029/000119312516424684/d742552dex42.htm" TargetMode="External"/><Relationship Id="rId134" Type="http://schemas.openxmlformats.org/officeDocument/2006/relationships/hyperlink" Target="http://www.sec.gov/Archives/edgar/data/1539029/000119312516730463/d280787dex41.htm" TargetMode="External"/><Relationship Id="rId135" Type="http://schemas.openxmlformats.org/officeDocument/2006/relationships/hyperlink" Target="http://www.sec.gov/Archives/edgar/data/1539029/000119312516424684/d742552dex101.htm" TargetMode="External"/><Relationship Id="rId136" Type="http://schemas.openxmlformats.org/officeDocument/2006/relationships/hyperlink" Target="http://www.sec.gov/Archives/edgar/data/1539029/000119312516424684/d742552dex103.htm" TargetMode="External"/><Relationship Id="rId137" Type="http://schemas.openxmlformats.org/officeDocument/2006/relationships/hyperlink" Target="http://www.sec.gov/Archives/edgar/data/1539029/000119312516424684/d742552dex104.htm" TargetMode="External"/><Relationship Id="rId138" Type="http://schemas.openxmlformats.org/officeDocument/2006/relationships/hyperlink" Target="http://www.sec.gov/Archives/edgar/data/1539029/000119312516424684/d742552dex105.htm" TargetMode="External"/><Relationship Id="rId139" Type="http://schemas.openxmlformats.org/officeDocument/2006/relationships/hyperlink" Target="http://www.sec.gov/Archives/edgar/data/1539029/000119312516621364/d196989dex47.htm" TargetMode="External"/><Relationship Id="rId140" Type="http://schemas.openxmlformats.org/officeDocument/2006/relationships/hyperlink" Target="http://www.sec.gov/Archives/edgar/data/1539029/000119312516510413/d742552dex107.htm" TargetMode="External"/><Relationship Id="rId141" Type="http://schemas.openxmlformats.org/officeDocument/2006/relationships/hyperlink" Target="http://www.sec.gov/Archives/edgar/data/1539029/000119312516510413/d742552dex108.htm" TargetMode="External"/><Relationship Id="rId142" Type="http://schemas.openxmlformats.org/officeDocument/2006/relationships/hyperlink" Target="http://www.sec.gov/Archives/edgar/data/1539029/000119312516424684/d742552dex109.htm" TargetMode="External"/><Relationship Id="rId143" Type="http://schemas.openxmlformats.org/officeDocument/2006/relationships/hyperlink" Target="http://www.sec.gov/Archives/edgar/data/1539029/000119312516510413/d742552dex1012.htm" TargetMode="External"/><Relationship Id="rId144" Type="http://schemas.openxmlformats.org/officeDocument/2006/relationships/hyperlink" Target="http://www.sec.gov/Archives/edgar/data/1539029/000119312516424684/d742552dex1017.htm" TargetMode="External"/><Relationship Id="rId145" Type="http://schemas.openxmlformats.org/officeDocument/2006/relationships/hyperlink" Target="http://www.sec.gov/Archives/edgar/data/1539029/000119312516730463/d280787dex101.htm" TargetMode="External"/><Relationship Id="rId146" Type="http://schemas.openxmlformats.org/officeDocument/2006/relationships/hyperlink" Target="http://www.sec.gov/Archives/edgar/data/1539029/000119312516776461/d299560dex101.htm" TargetMode="External"/><Relationship Id="rId147" Type="http://schemas.openxmlformats.org/officeDocument/2006/relationships/hyperlink" Target="http://www.sec.gov/Archives/edgar/data/1539029/000156459017004643/clsd-ex1021_665.htm" TargetMode="External"/><Relationship Id="rId148" Type="http://schemas.openxmlformats.org/officeDocument/2006/relationships/hyperlink" Target="http://www.sec.gov/Archives/edgar/data/1539029/000119312517220267/d417455dex101.htm" TargetMode="External"/><Relationship Id="rId149" Type="http://schemas.openxmlformats.org/officeDocument/2006/relationships/hyperlink" Target="http://www.sec.gov/Archives/edgar/data/1539029/000156459017023267/clsd-ex101_70.htm" TargetMode="External"/><Relationship Id="rId150" Type="http://schemas.openxmlformats.org/officeDocument/2006/relationships/hyperlink" Target="http://www.sec.gov/Archives/edgar/data/1539029/000156459017023267/clsd-ex102_69.htm" TargetMode="External"/><Relationship Id="rId153" Type="http://schemas.openxmlformats.org/officeDocument/2006/relationships/hyperlink" Target="http://www.sec.gov/Archives/edgar/data/1539029/000156459017023267/clsd-ex103_68.htm" TargetMode="External"/><Relationship Id="rId154" Type="http://schemas.openxmlformats.org/officeDocument/2006/relationships/hyperlink" Target="http://www.sec.gov/Archives/edgar/data/1539029/000156459017023267/clsd-ex104_281.htm" TargetMode="External"/><Relationship Id="rId155" Type="http://schemas.openxmlformats.org/officeDocument/2006/relationships/hyperlink" Target="http://www.sec.gov/Archives/edgar/data/1539029/000156459017021295/clsd-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2019-12-28T23:56:41Z</dcterms:created>
  <dcterms:modified xsi:type="dcterms:W3CDTF">2019-12-28T23:56:41Z</dcterms:modified>
</cp:coreProperties>
</file>