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clsd-20220331.htm"/>
      <w:bookmarkStart w:id="1" w:name="ksclsd20220331"/>
      <w:bookmarkEnd w:id="0"/>
      <w:bookmarkEnd w:id="1"/>
      <w:r>
        <w:rPr/>
        <w:t> </w:t>
      </w:r>
    </w:p>
    <w:p>
      <w:pPr>
        <w:pStyle w:val="TextBody"/>
        <w:spacing w:lineRule="auto" w:line="273" w:before="0" w:after="0"/>
        <w:jc w:val="center"/>
        <w:rPr/>
      </w:pPr>
      <w:r>
        <w:rPr/>
        <w:t> </w:t>
      </w:r>
    </w:p>
    <w:p>
      <w:pPr>
        <w:pStyle w:val="TextBody"/>
        <w:spacing w:lineRule="auto" w:line="273" w:before="80" w:after="0"/>
        <w:jc w:val="center"/>
        <w:rPr>
          <w:rFonts w:ascii="Times New Roman" w:hAnsi="Times New Roman"/>
          <w:b/>
          <w:sz w:val="22"/>
        </w:rPr>
      </w:pPr>
      <w:r>
        <w:rPr>
          <w:rFonts w:ascii="Times New Roman" w:hAnsi="Times New Roman"/>
          <w:b/>
          <w:sz w:val="22"/>
        </w:rPr>
        <w:t>UNITED STATES</w:t>
      </w:r>
    </w:p>
    <w:p>
      <w:pPr>
        <w:pStyle w:val="TextBody"/>
        <w:spacing w:lineRule="auto" w:line="273" w:before="0" w:after="0"/>
        <w:jc w:val="center"/>
        <w:rPr>
          <w:rFonts w:ascii="Times New Roman" w:hAnsi="Times New Roman"/>
          <w:b/>
          <w:sz w:val="22"/>
        </w:rPr>
      </w:pPr>
      <w:r>
        <w:rPr>
          <w:rFonts w:ascii="Times New Roman" w:hAnsi="Times New Roman"/>
          <w:b/>
          <w:sz w:val="22"/>
        </w:rPr>
        <w:t>SECURITIES AND EXCHANGE COMMISSION</w:t>
      </w:r>
    </w:p>
    <w:p>
      <w:pPr>
        <w:pStyle w:val="TextBody"/>
        <w:spacing w:lineRule="auto" w:line="273" w:before="0" w:after="0"/>
        <w:jc w:val="center"/>
        <w:rPr>
          <w:rFonts w:ascii="Times New Roman" w:hAnsi="Times New Roman"/>
          <w:b/>
          <w:sz w:val="22"/>
        </w:rPr>
      </w:pPr>
      <w:r>
        <w:rPr>
          <w:rFonts w:ascii="Times New Roman" w:hAnsi="Times New Roman"/>
          <w:b/>
          <w:sz w:val="22"/>
        </w:rPr>
        <w:t>WASHINGTON, DC 20549</w:t>
      </w:r>
    </w:p>
    <w:p>
      <w:pPr>
        <w:pStyle w:val="TextBody"/>
        <w:pBdr>
          <w:bottom w:val="single" w:sz="4" w:space="1" w:color="000000"/>
        </w:pBdr>
        <w:spacing w:lineRule="auto" w:line="273" w:before="0" w:after="0"/>
        <w:jc w:val="center"/>
        <w:rPr/>
      </w:pPr>
      <w:r>
        <w:rPr/>
        <w:t> </w:t>
      </w:r>
    </w:p>
    <w:p>
      <w:pPr>
        <w:pStyle w:val="TextBody"/>
        <w:spacing w:lineRule="auto" w:line="273" w:before="80" w:after="0"/>
        <w:jc w:val="center"/>
        <w:rPr>
          <w:rFonts w:ascii="Times New Roman" w:hAnsi="Times New Roman"/>
          <w:b/>
          <w:sz w:val="26"/>
        </w:rPr>
      </w:pPr>
      <w:r>
        <w:rPr>
          <w:rFonts w:ascii="Times New Roman" w:hAnsi="Times New Roman"/>
          <w:b/>
          <w:sz w:val="26"/>
        </w:rPr>
        <w:t>FORM 10-Q</w:t>
      </w:r>
    </w:p>
    <w:p>
      <w:pPr>
        <w:pStyle w:val="TextBody"/>
        <w:pBdr>
          <w:bottom w:val="single" w:sz="4" w:space="1" w:color="000000"/>
        </w:pBdr>
        <w:spacing w:lineRule="auto" w:line="273" w:before="0" w:after="0"/>
        <w:jc w:val="center"/>
        <w:rPr/>
      </w:pPr>
      <w:r>
        <w:rPr/>
        <w:t> </w:t>
      </w:r>
    </w:p>
    <w:p>
      <w:pPr>
        <w:pStyle w:val="TextBody"/>
        <w:spacing w:lineRule="auto" w:line="273" w:before="80" w:after="0"/>
        <w:jc w:val="left"/>
        <w:rPr>
          <w:rFonts w:ascii="Times New Roman" w:hAnsi="Times New Roman"/>
          <w:b/>
          <w:sz w:val="20"/>
        </w:rPr>
      </w:pPr>
      <w:r>
        <w:rPr>
          <w:rFonts w:ascii="Times New Roman" w:hAnsi="Times New Roman"/>
          <w:b/>
          <w:sz w:val="20"/>
        </w:rPr>
        <w:t>(Mark One)</w:t>
      </w:r>
    </w:p>
    <w:p>
      <w:pPr>
        <w:pStyle w:val="TextBody"/>
        <w:spacing w:lineRule="auto" w:line="273" w:before="0" w:after="0"/>
        <w:jc w:val="left"/>
        <w:rPr/>
      </w:pPr>
      <w:r>
        <w:rPr/>
        <w:t xml:space="preserve">☒ </w:t>
      </w:r>
      <w:r>
        <w:rPr>
          <w:rFonts w:ascii="Times New Roman" w:hAnsi="Times New Roman"/>
          <w:b/>
          <w:sz w:val="20"/>
        </w:rPr>
        <w:t>QUARTERLY REPORT PURSUANT TO SECTION 13 OR 15(d) OF THE SECURITIES EXCHANGE ACT OF 1934</w:t>
      </w:r>
    </w:p>
    <w:p>
      <w:pPr>
        <w:pStyle w:val="TextBody"/>
        <w:spacing w:lineRule="auto" w:line="273" w:before="80" w:after="0"/>
        <w:jc w:val="center"/>
        <w:rPr>
          <w:rFonts w:ascii="Times New Roman" w:hAnsi="Times New Roman"/>
          <w:sz w:val="20"/>
        </w:rPr>
      </w:pPr>
      <w:r>
        <w:rPr>
          <w:rFonts w:ascii="Times New Roman" w:hAnsi="Times New Roman"/>
          <w:b/>
          <w:sz w:val="20"/>
        </w:rPr>
        <w:t>For the quarterly period ended March 31, 2022</w:t>
      </w:r>
      <w:r>
        <w:rPr>
          <w:rFonts w:ascii="Times New Roman" w:hAnsi="Times New Roman"/>
          <w:sz w:val="20"/>
        </w:rPr>
        <w:t xml:space="preserve"> </w:t>
      </w:r>
    </w:p>
    <w:p>
      <w:pPr>
        <w:pStyle w:val="TextBody"/>
        <w:spacing w:lineRule="auto" w:line="273" w:before="80" w:after="0"/>
        <w:jc w:val="center"/>
        <w:rPr>
          <w:rFonts w:ascii="Times New Roman" w:hAnsi="Times New Roman"/>
          <w:b/>
          <w:sz w:val="20"/>
        </w:rPr>
      </w:pPr>
      <w:r>
        <w:rPr>
          <w:rFonts w:ascii="Times New Roman" w:hAnsi="Times New Roman"/>
          <w:b/>
          <w:sz w:val="20"/>
        </w:rPr>
        <w:t>OR</w:t>
      </w:r>
    </w:p>
    <w:p>
      <w:pPr>
        <w:pStyle w:val="TextBody"/>
        <w:spacing w:lineRule="auto" w:line="273" w:before="80" w:after="0"/>
        <w:jc w:val="left"/>
        <w:rPr/>
      </w:pPr>
      <w:r>
        <w:rPr/>
        <w:t xml:space="preserve">☐ </w:t>
      </w:r>
      <w:r>
        <w:rPr>
          <w:rFonts w:ascii="Times New Roman" w:hAnsi="Times New Roman"/>
          <w:b/>
          <w:sz w:val="20"/>
        </w:rPr>
        <w:t>TRANSITION REPORT PURSUANT TO SECTION 13 OR 15(d) OF THE SECURITIES EXCHANGE ACT OF 1934</w:t>
      </w:r>
    </w:p>
    <w:p>
      <w:pPr>
        <w:pStyle w:val="TextBody"/>
        <w:spacing w:lineRule="auto" w:line="273" w:before="80" w:after="0"/>
        <w:jc w:val="center"/>
        <w:rPr>
          <w:rFonts w:ascii="Times New Roman" w:hAnsi="Times New Roman"/>
          <w:b/>
          <w:sz w:val="20"/>
        </w:rPr>
      </w:pPr>
      <w:r>
        <w:rPr>
          <w:rFonts w:ascii="Times New Roman" w:hAnsi="Times New Roman"/>
          <w:b/>
          <w:sz w:val="20"/>
        </w:rPr>
        <w:t>Commission File Number: 001-37783</w:t>
      </w:r>
    </w:p>
    <w:p>
      <w:pPr>
        <w:pStyle w:val="TextBody"/>
        <w:pBdr>
          <w:bottom w:val="single" w:sz="4" w:space="1" w:color="000000"/>
        </w:pBdr>
        <w:spacing w:lineRule="auto" w:line="273" w:before="0" w:after="0"/>
        <w:jc w:val="center"/>
        <w:rPr/>
      </w:pPr>
      <w:r>
        <w:rPr/>
        <w:t> </w:t>
      </w:r>
    </w:p>
    <w:p>
      <w:pPr>
        <w:pStyle w:val="TextBody"/>
        <w:spacing w:lineRule="auto" w:line="273" w:before="80" w:after="0"/>
        <w:jc w:val="center"/>
        <w:rPr>
          <w:rFonts w:ascii="Times New Roman" w:hAnsi="Times New Roman"/>
          <w:b/>
          <w:sz w:val="28"/>
        </w:rPr>
      </w:pPr>
      <w:r>
        <w:rPr>
          <w:rFonts w:ascii="Times New Roman" w:hAnsi="Times New Roman"/>
          <w:b/>
          <w:sz w:val="28"/>
        </w:rPr>
        <w:t>Clearside Biomedical, Inc.</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pBdr>
          <w:bottom w:val="single" w:sz="4" w:space="1" w:color="000000"/>
        </w:pBdr>
        <w:spacing w:lineRule="auto" w:line="273" w:before="0" w:after="0"/>
        <w:jc w:val="center"/>
        <w:rPr/>
      </w:pPr>
      <w:r>
        <w:rPr/>
        <w:t> </w:t>
      </w:r>
    </w:p>
    <w:p>
      <w:pPr>
        <w:pStyle w:val="TextBody"/>
        <w:spacing w:lineRule="auto" w:line="273" w:before="0" w:after="0"/>
        <w:jc w:val="left"/>
        <w:rPr/>
      </w:pPr>
      <w:r>
        <w:rPr/>
        <w:t> </w:t>
      </w:r>
    </w:p>
    <w:tbl>
      <w:tblPr>
        <w:tblW w:w="4637" w:type="dxa"/>
        <w:jc w:val="left"/>
        <w:tblInd w:w="0" w:type="dxa"/>
        <w:tblCellMar>
          <w:top w:w="28" w:type="dxa"/>
          <w:left w:w="28" w:type="dxa"/>
          <w:bottom w:w="28" w:type="dxa"/>
          <w:right w:w="28" w:type="dxa"/>
        </w:tblCellMar>
      </w:tblPr>
      <w:tblGrid>
        <w:gridCol w:w="3151"/>
        <w:gridCol w:w="1486"/>
      </w:tblGrid>
      <w:tr>
        <w:trPr/>
        <w:tc>
          <w:tcPr>
            <w:tcW w:w="315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Delaware</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45-2437375</w:t>
            </w:r>
          </w:p>
        </w:tc>
      </w:tr>
      <w:tr>
        <w:trPr/>
        <w:tc>
          <w:tcPr>
            <w:tcW w:w="31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(State or other jurisdiction of</w:t>
            </w:r>
          </w:p>
          <w:p>
            <w:pPr>
              <w:pStyle w:val="TableContents"/>
              <w:spacing w:lineRule="auto" w:line="252" w:before="0" w:after="15"/>
              <w:ind w:left="0" w:right="0" w:hanging="0"/>
              <w:jc w:val="center"/>
              <w:rPr>
                <w:rFonts w:ascii="Times New Roman" w:hAnsi="Times New Roman"/>
                <w:b/>
                <w:sz w:val="16"/>
              </w:rPr>
            </w:pPr>
            <w:r>
              <w:rPr>
                <w:rFonts w:ascii="Times New Roman" w:hAnsi="Times New Roman"/>
                <w:b/>
                <w:sz w:val="16"/>
              </w:rPr>
              <w:t>incorporation or organization)</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(I.R.S. Employer</w:t>
              <w:br/>
              <w:t>Identification No.)</w:t>
            </w:r>
          </w:p>
        </w:tc>
      </w:tr>
      <w:tr>
        <w:trPr/>
        <w:tc>
          <w:tcPr>
            <w:tcW w:w="31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900 North Point Parkway, Suite 200</w:t>
            </w:r>
          </w:p>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Alpharetta, GA</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30005</w:t>
            </w:r>
          </w:p>
        </w:tc>
      </w:tr>
      <w:tr>
        <w:trPr/>
        <w:tc>
          <w:tcPr>
            <w:tcW w:w="31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(Address of principal executive offices)</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(Zip Code)</w:t>
            </w:r>
          </w:p>
        </w:tc>
      </w:tr>
    </w:tbl>
    <w:p>
      <w:pPr>
        <w:pStyle w:val="TextBody"/>
        <w:spacing w:lineRule="auto" w:line="273" w:before="80" w:after="0"/>
        <w:jc w:val="center"/>
        <w:rPr>
          <w:rFonts w:ascii="Times New Roman" w:hAnsi="Times New Roman"/>
          <w:b/>
          <w:sz w:val="20"/>
        </w:rPr>
      </w:pPr>
      <w:r>
        <w:rPr>
          <w:rFonts w:ascii="Times New Roman" w:hAnsi="Times New Roman"/>
          <w:b/>
          <w:sz w:val="20"/>
        </w:rPr>
        <w:t>(678) 270-3631</w:t>
      </w:r>
    </w:p>
    <w:p>
      <w:pPr>
        <w:pStyle w:val="TextBody"/>
        <w:spacing w:lineRule="auto" w:line="273" w:before="80" w:after="0"/>
        <w:jc w:val="center"/>
        <w:rPr>
          <w:rFonts w:ascii="Times New Roman" w:hAnsi="Times New Roman"/>
          <w:b/>
          <w:sz w:val="20"/>
        </w:rPr>
      </w:pPr>
      <w:r>
        <w:rPr>
          <w:rFonts w:ascii="Times New Roman" w:hAnsi="Times New Roman"/>
          <w:b/>
          <w:sz w:val="20"/>
        </w:rPr>
        <w:t>Registrant’s telephone number, including area code</w:t>
      </w:r>
    </w:p>
    <w:p>
      <w:pPr>
        <w:pStyle w:val="TextBody"/>
        <w:spacing w:lineRule="auto" w:line="273" w:before="80" w:after="0"/>
        <w:jc w:val="center"/>
        <w:rPr>
          <w:rFonts w:ascii="Times New Roman" w:hAnsi="Times New Roman"/>
          <w:b/>
          <w:sz w:val="20"/>
        </w:rPr>
      </w:pPr>
      <w:r>
        <w:rPr>
          <w:rFonts w:ascii="Times New Roman" w:hAnsi="Times New Roman"/>
          <w:b/>
          <w:sz w:val="20"/>
        </w:rPr>
        <w:t>N/A</w:t>
      </w:r>
    </w:p>
    <w:p>
      <w:pPr>
        <w:pStyle w:val="TextBody"/>
        <w:spacing w:lineRule="auto" w:line="273" w:before="80" w:after="0"/>
        <w:jc w:val="center"/>
        <w:rPr>
          <w:rFonts w:ascii="Times New Roman" w:hAnsi="Times New Roman"/>
          <w:sz w:val="20"/>
        </w:rPr>
      </w:pPr>
      <w:r>
        <w:rPr>
          <w:rFonts w:ascii="Times New Roman" w:hAnsi="Times New Roman"/>
          <w:b/>
          <w:sz w:val="20"/>
        </w:rPr>
        <w:t>(Former name, former address and former fiscal year, if changed since last report)</w:t>
      </w:r>
      <w:r>
        <w:rPr>
          <w:rFonts w:ascii="Times New Roman" w:hAnsi="Times New Roman"/>
          <w:sz w:val="20"/>
        </w:rPr>
        <w:t xml:space="preserve"> </w:t>
      </w:r>
    </w:p>
    <w:p>
      <w:pPr>
        <w:pStyle w:val="TextBody"/>
        <w:pBdr>
          <w:bottom w:val="single" w:sz="4" w:space="1" w:color="000000"/>
        </w:pBdr>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Securities registered pursuant to Section 12(b) of the Act:</w:t>
      </w:r>
    </w:p>
    <w:p>
      <w:pPr>
        <w:pStyle w:val="TextBody"/>
        <w:spacing w:lineRule="auto" w:line="273" w:before="0" w:after="0"/>
        <w:jc w:val="left"/>
        <w:rPr/>
      </w:pPr>
      <w:r>
        <w:rPr/>
        <w:t> </w:t>
      </w:r>
    </w:p>
    <w:tbl>
      <w:tblPr>
        <w:tblW w:w="8928" w:type="dxa"/>
        <w:jc w:val="left"/>
        <w:tblInd w:w="0" w:type="dxa"/>
        <w:tblCellMar>
          <w:top w:w="28" w:type="dxa"/>
          <w:left w:w="28" w:type="dxa"/>
          <w:bottom w:w="28" w:type="dxa"/>
          <w:right w:w="28" w:type="dxa"/>
        </w:tblCellMar>
      </w:tblPr>
      <w:tblGrid>
        <w:gridCol w:w="3601"/>
        <w:gridCol w:w="1621"/>
        <w:gridCol w:w="3706"/>
      </w:tblGrid>
      <w:tr>
        <w:trPr/>
        <w:tc>
          <w:tcPr>
            <w:tcW w:w="3601"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3706"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Title of each class</w:t>
            </w:r>
          </w:p>
        </w:tc>
        <w:tc>
          <w:tcPr>
            <w:tcW w:w="16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Trading Symbol(s)</w:t>
            </w:r>
          </w:p>
        </w:tc>
        <w:tc>
          <w:tcPr>
            <w:tcW w:w="37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Name of each exchange on which registered</w:t>
            </w:r>
          </w:p>
        </w:tc>
      </w:tr>
      <w:tr>
        <w:trPr/>
        <w:tc>
          <w:tcPr>
            <w:tcW w:w="36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Common Stock, par value $0.001 per share</w:t>
            </w:r>
          </w:p>
        </w:tc>
        <w:tc>
          <w:tcPr>
            <w:tcW w:w="16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CLSD</w:t>
            </w:r>
          </w:p>
        </w:tc>
        <w:tc>
          <w:tcPr>
            <w:tcW w:w="37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The Nasdaq Stock Market LLC</w:t>
            </w:r>
          </w:p>
        </w:tc>
      </w:tr>
    </w:tbl>
    <w:p>
      <w:pPr>
        <w:pStyle w:val="TextBody"/>
        <w:spacing w:lineRule="auto" w:line="273" w:before="80" w:after="0"/>
        <w:jc w:val="left"/>
        <w:rPr>
          <w:rFonts w:ascii="Times New Roman" w:hAnsi="Times New Roman"/>
          <w:sz w:val="20"/>
        </w:rPr>
      </w:pPr>
      <w:r>
        <w:rPr>
          <w:rFonts w:ascii="Times New Roman" w:hAnsi="Times New Roman"/>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20"/>
        </w:rPr>
        <w:t>No ☐</w:t>
      </w:r>
    </w:p>
    <w:p>
      <w:pPr>
        <w:pStyle w:val="TextBody"/>
        <w:spacing w:lineRule="auto" w:line="273" w:before="80" w:after="0"/>
        <w:jc w:val="left"/>
        <w:rPr>
          <w:rFonts w:ascii="Times New Roman" w:hAnsi="Times New Roman"/>
          <w:sz w:val="20"/>
        </w:rPr>
      </w:pPr>
      <w:r>
        <w:rPr>
          <w:rFonts w:ascii="Times New Roman" w:hAnsi="Times New Roman"/>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20"/>
        </w:rPr>
        <w:t>No ☐</w:t>
      </w:r>
    </w:p>
    <w:p>
      <w:pPr>
        <w:pStyle w:val="TextBody"/>
        <w:spacing w:lineRule="auto" w:line="273" w:before="80" w:after="0"/>
        <w:jc w:val="left"/>
        <w:rPr>
          <w:rFonts w:ascii="Times New Roman" w:hAnsi="Times New Roman"/>
          <w:b w:val="false"/>
          <w:sz w:val="20"/>
        </w:rPr>
      </w:pPr>
      <w:r>
        <w:rPr>
          <w:rFonts w:ascii="Times New Roman" w:hAnsi="Times New Roman"/>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5407" w:type="dxa"/>
        <w:jc w:val="left"/>
        <w:tblInd w:w="0" w:type="dxa"/>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19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2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19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 w:hAnsi="Times New Roman"/>
          <w:b w:val="false"/>
          <w:sz w:val="20"/>
        </w:rPr>
        <w:t>No ☒</w:t>
      </w:r>
    </w:p>
    <w:p>
      <w:pPr>
        <w:pStyle w:val="TextBody"/>
        <w:spacing w:lineRule="auto" w:line="273" w:before="80" w:after="0"/>
        <w:jc w:val="left"/>
        <w:rPr>
          <w:rFonts w:ascii="Times New Roman" w:hAnsi="Times New Roman"/>
          <w:sz w:val="20"/>
        </w:rPr>
      </w:pPr>
      <w:r>
        <w:rPr>
          <w:rFonts w:ascii="Times New Roman" w:hAnsi="Times New Roman"/>
          <w:b w:val="false"/>
          <w:sz w:val="20"/>
        </w:rPr>
        <w:t>As of May 9, 2022, the registrant had</w:t>
      </w:r>
      <w:r>
        <w:rPr>
          <w:rFonts w:ascii="Times New Roman" w:hAnsi="Times New Roman"/>
          <w:sz w:val="20"/>
        </w:rPr>
        <w:t xml:space="preserve"> </w:t>
      </w:r>
      <w:r>
        <w:rPr>
          <w:rFonts w:ascii="Times New Roman" w:hAnsi="Times New Roman"/>
          <w:b w:val="false"/>
          <w:sz w:val="20"/>
        </w:rPr>
        <w:t>60,150,442</w:t>
      </w:r>
      <w:r>
        <w:rPr>
          <w:rFonts w:ascii="Times New Roman" w:hAnsi="Times New Roman"/>
          <w:sz w:val="20"/>
        </w:rPr>
        <w:t xml:space="preserve"> </w:t>
      </w:r>
      <w:r>
        <w:rPr>
          <w:rFonts w:ascii="Times New Roman" w:hAnsi="Times New Roman"/>
          <w:b w:val="false"/>
          <w:sz w:val="20"/>
        </w:rPr>
        <w:t>shares of common stock, $0.001 par value per share, outstanding.</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pPr>
      <w:r>
        <w:rPr/>
        <w:t> </w:t>
      </w:r>
    </w:p>
    <w:p>
      <w:pPr>
        <w:pStyle w:val="HorizontalLine"/>
        <w:rPr/>
      </w:pPr>
      <w:r>
        <w:rPr/>
      </w:r>
    </w:p>
    <w:p>
      <w:pPr>
        <w:pStyle w:val="TextBody"/>
        <w:spacing w:lineRule="auto" w:line="273" w:before="0" w:after="0"/>
        <w:jc w:val="left"/>
        <w:rPr/>
      </w:pPr>
      <w:r>
        <w:rPr/>
        <w:t> </w:t>
      </w:r>
    </w:p>
    <w:tbl>
      <w:tblPr>
        <w:tblW w:w="8688" w:type="dxa"/>
        <w:jc w:val="left"/>
        <w:tblInd w:w="0" w:type="dxa"/>
        <w:tblCellMar>
          <w:top w:w="28" w:type="dxa"/>
          <w:left w:w="28" w:type="dxa"/>
          <w:bottom w:w="28" w:type="dxa"/>
          <w:right w:w="28" w:type="dxa"/>
        </w:tblCellMar>
      </w:tblPr>
      <w:tblGrid>
        <w:gridCol w:w="811"/>
        <w:gridCol w:w="7366"/>
        <w:gridCol w:w="511"/>
      </w:tblGrid>
      <w:tr>
        <w:trPr/>
        <w:tc>
          <w:tcPr>
            <w:tcW w:w="811"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11" w:type="dxa"/>
            <w:tcBorders/>
            <w:shd w:fill="auto" w:val="clear"/>
            <w:vAlign w:val="center"/>
          </w:tcPr>
          <w:p>
            <w:pPr>
              <w:pStyle w:val="TableContents"/>
              <w:spacing w:lineRule="auto" w:line="252" w:before="0" w:after="0"/>
              <w:ind w:left="137" w:right="0" w:hanging="0"/>
              <w:jc w:val="left"/>
              <w:rPr/>
            </w:pPr>
            <w:r>
              <w:rPr/>
              <w:t> </w:t>
            </w:r>
          </w:p>
        </w:tc>
        <w:tc>
          <w:tcPr>
            <w:tcW w:w="7366"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Page</w:t>
            </w:r>
          </w:p>
        </w:tc>
      </w:tr>
      <w:tr>
        <w:trPr/>
        <w:tc>
          <w:tcPr>
            <w:tcW w:w="811" w:type="dxa"/>
            <w:tcBorders/>
            <w:shd w:fill="auto" w:val="clear"/>
            <w:vAlign w:val="center"/>
          </w:tcPr>
          <w:p>
            <w:pPr>
              <w:pStyle w:val="TableContents"/>
              <w:spacing w:lineRule="auto" w:line="252" w:before="0" w:after="0"/>
              <w:ind w:left="0" w:right="0" w:hanging="0"/>
              <w:jc w:val="center"/>
              <w:rPr/>
            </w:pPr>
            <w:r>
              <w:rPr/>
              <w:t> </w:t>
            </w:r>
          </w:p>
        </w:tc>
        <w:tc>
          <w:tcPr>
            <w:tcW w:w="736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PART I - FINANCIAL INFORMATION</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Financial Statements (unaudited)</w:t>
            </w:r>
          </w:p>
        </w:tc>
        <w:tc>
          <w:tcPr>
            <w:tcW w:w="511" w:type="dxa"/>
            <w:tcBorders/>
            <w:shd w:fill="auto" w:val="clear"/>
            <w:vAlign w:val="center"/>
          </w:tcPr>
          <w:p>
            <w:pPr>
              <w:pStyle w:val="TableContents"/>
              <w:spacing w:lineRule="auto" w:line="252" w:before="0" w:after="0"/>
              <w:ind w:left="0" w:right="0" w:firstLine="137"/>
              <w:jc w:val="right"/>
              <w:rPr/>
            </w:pPr>
            <w:r>
              <w:rPr/>
              <w:t> </w:t>
            </w:r>
          </w:p>
        </w:tc>
      </w:tr>
      <w:tr>
        <w:trPr/>
        <w:tc>
          <w:tcPr>
            <w:tcW w:w="811" w:type="dxa"/>
            <w:tcBorders/>
            <w:shd w:fill="auto" w:val="clear"/>
            <w:vAlign w:val="center"/>
          </w:tcPr>
          <w:p>
            <w:pPr>
              <w:pStyle w:val="TableContents"/>
              <w:spacing w:lineRule="auto" w:line="252" w:before="0" w:after="0"/>
              <w:ind w:left="137" w:right="0" w:hanging="0"/>
              <w:jc w:val="left"/>
              <w:rPr/>
            </w:pPr>
            <w:r>
              <w:rPr/>
              <w:t> </w:t>
            </w:r>
          </w:p>
        </w:tc>
        <w:tc>
          <w:tcPr>
            <w:tcW w:w="7366" w:type="dxa"/>
            <w:tcBorders/>
            <w:shd w:fill="auto" w:val="clear"/>
            <w:vAlign w:val="center"/>
          </w:tcPr>
          <w:p>
            <w:pPr>
              <w:pStyle w:val="TableContents"/>
              <w:spacing w:lineRule="auto" w:line="252" w:before="0" w:after="0"/>
              <w:ind w:left="0" w:right="0" w:hanging="0"/>
              <w:jc w:val="left"/>
              <w:rPr/>
            </w:pPr>
            <w:hyperlink w:anchor="balance_sheets">
              <w:r>
                <w:rPr>
                  <w:rStyle w:val="InternetLink"/>
                  <w:rFonts w:ascii="Times New Roman" w:hAnsi="Times New Roman"/>
                  <w:b w:val="false"/>
                  <w:sz w:val="20"/>
                  <w:u w:val="single"/>
                </w:rPr>
                <w:t>Balance Sheets as of March 31, 2022 and December 31, 2021</w:t>
              </w:r>
            </w:hyperlink>
          </w:p>
        </w:tc>
        <w:tc>
          <w:tcPr>
            <w:tcW w:w="511" w:type="dxa"/>
            <w:tcBorders/>
            <w:shd w:fill="auto" w:val="cle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3</w:t>
            </w:r>
          </w:p>
        </w:tc>
      </w:tr>
      <w:tr>
        <w:trPr/>
        <w:tc>
          <w:tcPr>
            <w:tcW w:w="811" w:type="dxa"/>
            <w:tcBorders/>
            <w:shd w:fill="auto" w:val="clear"/>
            <w:vAlign w:val="center"/>
          </w:tcPr>
          <w:p>
            <w:pPr>
              <w:pStyle w:val="TableContents"/>
              <w:spacing w:lineRule="auto" w:line="252" w:before="0" w:after="0"/>
              <w:ind w:left="137" w:right="0" w:hanging="0"/>
              <w:jc w:val="left"/>
              <w:rPr/>
            </w:pPr>
            <w:r>
              <w:rPr/>
              <w:t> </w:t>
            </w:r>
          </w:p>
        </w:tc>
        <w:tc>
          <w:tcPr>
            <w:tcW w:w="7366" w:type="dxa"/>
            <w:tcBorders/>
            <w:shd w:fill="auto" w:val="clear"/>
            <w:vAlign w:val="center"/>
          </w:tcPr>
          <w:p>
            <w:pPr>
              <w:pStyle w:val="TableContents"/>
              <w:spacing w:lineRule="auto" w:line="252" w:before="0" w:after="0"/>
              <w:ind w:left="0" w:right="0" w:hanging="0"/>
              <w:jc w:val="left"/>
              <w:rPr/>
            </w:pPr>
            <w:hyperlink w:anchor="statements_operations">
              <w:r>
                <w:rPr>
                  <w:rStyle w:val="InternetLink"/>
                  <w:rFonts w:ascii="Times New Roman" w:hAnsi="Times New Roman"/>
                  <w:b w:val="false"/>
                  <w:sz w:val="20"/>
                  <w:u w:val="single"/>
                </w:rPr>
                <w:t>Statements of Operations for the three months ended March 31, 2022 and 2021</w:t>
              </w:r>
            </w:hyperlink>
            <w:hyperlink w:anchor="statements_operations">
              <w:r>
                <w:rPr>
                  <w:rStyle w:val="InternetLink"/>
                  <w:rFonts w:ascii="Times New Roman" w:hAnsi="Times New Roman"/>
                  <w:sz w:val="20"/>
                </w:rPr>
                <w:t xml:space="preserve"> </w:t>
              </w:r>
            </w:hyperlink>
          </w:p>
        </w:tc>
        <w:tc>
          <w:tcPr>
            <w:tcW w:w="511" w:type="dxa"/>
            <w:tcBorders/>
            <w:shd w:fill="auto" w:val="cle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4</w:t>
            </w:r>
          </w:p>
        </w:tc>
      </w:tr>
      <w:tr>
        <w:trPr/>
        <w:tc>
          <w:tcPr>
            <w:tcW w:w="811" w:type="dxa"/>
            <w:tcBorders/>
            <w:shd w:fill="auto" w:val="clear"/>
            <w:vAlign w:val="center"/>
          </w:tcPr>
          <w:p>
            <w:pPr>
              <w:pStyle w:val="TableContents"/>
              <w:spacing w:lineRule="auto" w:line="252" w:before="0" w:after="0"/>
              <w:ind w:left="137" w:right="0" w:hanging="0"/>
              <w:jc w:val="left"/>
              <w:rPr/>
            </w:pPr>
            <w:r>
              <w:rPr/>
              <w:t> </w:t>
            </w:r>
          </w:p>
        </w:tc>
        <w:tc>
          <w:tcPr>
            <w:tcW w:w="7366" w:type="dxa"/>
            <w:tcBorders/>
            <w:shd w:fill="auto" w:val="clear"/>
            <w:vAlign w:val="center"/>
          </w:tcPr>
          <w:p>
            <w:pPr>
              <w:pStyle w:val="TableContents"/>
              <w:spacing w:lineRule="auto" w:line="252" w:before="0" w:after="0"/>
              <w:ind w:left="0" w:right="0" w:hanging="0"/>
              <w:jc w:val="left"/>
              <w:rPr/>
            </w:pPr>
            <w:hyperlink w:anchor="statements_stockholders">
              <w:r>
                <w:rPr>
                  <w:rStyle w:val="InternetLink"/>
                  <w:rFonts w:ascii="Times New Roman" w:hAnsi="Times New Roman"/>
                  <w:b w:val="false"/>
                  <w:sz w:val="20"/>
                  <w:u w:val="single"/>
                </w:rPr>
                <w:t>Statements of Stockholders’ Equity for the three months ended March 31, 2022 and 2021</w:t>
              </w:r>
            </w:hyperlink>
            <w:hyperlink w:anchor="statements_stockholders">
              <w:r>
                <w:rPr>
                  <w:rStyle w:val="InternetLink"/>
                  <w:rFonts w:ascii="Times New Roman" w:hAnsi="Times New Roman"/>
                  <w:sz w:val="20"/>
                </w:rPr>
                <w:t xml:space="preserve"> </w:t>
              </w:r>
            </w:hyperlink>
          </w:p>
        </w:tc>
        <w:tc>
          <w:tcPr>
            <w:tcW w:w="511" w:type="dxa"/>
            <w:tcBorders/>
            <w:shd w:fill="auto" w:val="cle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5</w:t>
            </w:r>
          </w:p>
        </w:tc>
      </w:tr>
      <w:tr>
        <w:trPr/>
        <w:tc>
          <w:tcPr>
            <w:tcW w:w="811" w:type="dxa"/>
            <w:tcBorders/>
            <w:shd w:fill="auto" w:val="clear"/>
            <w:vAlign w:val="center"/>
          </w:tcPr>
          <w:p>
            <w:pPr>
              <w:pStyle w:val="TableContents"/>
              <w:spacing w:lineRule="auto" w:line="252" w:before="0" w:after="0"/>
              <w:ind w:left="137" w:right="0" w:hanging="0"/>
              <w:jc w:val="left"/>
              <w:rPr/>
            </w:pPr>
            <w:r>
              <w:rPr/>
              <w:t> </w:t>
            </w:r>
          </w:p>
        </w:tc>
        <w:tc>
          <w:tcPr>
            <w:tcW w:w="7366" w:type="dxa"/>
            <w:tcBorders/>
            <w:shd w:fill="auto" w:val="clear"/>
            <w:vAlign w:val="center"/>
          </w:tcPr>
          <w:p>
            <w:pPr>
              <w:pStyle w:val="TableContents"/>
              <w:spacing w:lineRule="auto" w:line="252" w:before="0" w:after="0"/>
              <w:ind w:left="0" w:right="0" w:hanging="0"/>
              <w:jc w:val="left"/>
              <w:rPr/>
            </w:pPr>
            <w:hyperlink w:anchor="statements_cash_flows">
              <w:r>
                <w:rPr>
                  <w:rStyle w:val="InternetLink"/>
                  <w:rFonts w:ascii="Times New Roman" w:hAnsi="Times New Roman"/>
                  <w:b w:val="false"/>
                  <w:sz w:val="20"/>
                  <w:u w:val="single"/>
                </w:rPr>
                <w:t>Statements of Cash Flows for the three months ended March 31, 2022 and 2021</w:t>
              </w:r>
            </w:hyperlink>
            <w:hyperlink w:anchor="statements_cash_flows">
              <w:r>
                <w:rPr>
                  <w:rStyle w:val="InternetLink"/>
                  <w:rFonts w:ascii="Times New Roman" w:hAnsi="Times New Roman"/>
                  <w:sz w:val="20"/>
                </w:rPr>
                <w:t xml:space="preserve"> </w:t>
              </w:r>
            </w:hyperlink>
          </w:p>
        </w:tc>
        <w:tc>
          <w:tcPr>
            <w:tcW w:w="511" w:type="dxa"/>
            <w:tcBorders/>
            <w:shd w:fill="auto" w:val="cle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6</w:t>
            </w:r>
          </w:p>
        </w:tc>
      </w:tr>
      <w:tr>
        <w:trPr/>
        <w:tc>
          <w:tcPr>
            <w:tcW w:w="811" w:type="dxa"/>
            <w:tcBorders/>
            <w:shd w:fill="auto" w:val="clear"/>
            <w:vAlign w:val="center"/>
          </w:tcPr>
          <w:p>
            <w:pPr>
              <w:pStyle w:val="TableContents"/>
              <w:spacing w:lineRule="auto" w:line="252" w:before="0" w:after="0"/>
              <w:ind w:left="137" w:right="0" w:hanging="0"/>
              <w:jc w:val="left"/>
              <w:rPr/>
            </w:pPr>
            <w:r>
              <w:rPr/>
              <w:t> </w:t>
            </w:r>
          </w:p>
        </w:tc>
        <w:tc>
          <w:tcPr>
            <w:tcW w:w="7366" w:type="dxa"/>
            <w:tcBorders/>
            <w:shd w:fill="auto" w:val="clear"/>
            <w:vAlign w:val="center"/>
          </w:tcPr>
          <w:p>
            <w:pPr>
              <w:pStyle w:val="TableContents"/>
              <w:spacing w:lineRule="auto" w:line="252" w:before="0" w:after="0"/>
              <w:ind w:left="0" w:right="0" w:hanging="0"/>
              <w:jc w:val="left"/>
              <w:rPr/>
            </w:pPr>
            <w:hyperlink w:anchor="notes_to_the_financial_statements">
              <w:r>
                <w:rPr>
                  <w:rStyle w:val="InternetLink"/>
                  <w:rFonts w:ascii="Times New Roman" w:hAnsi="Times New Roman"/>
                  <w:b w:val="false"/>
                  <w:sz w:val="20"/>
                  <w:u w:val="single"/>
                </w:rPr>
                <w:t>Notes to the Financial Statements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66" w:type="dxa"/>
            <w:tcBorders/>
            <w:shd w:fill="auto" w:val="clear"/>
            <w:vAlign w:val="center"/>
          </w:tcPr>
          <w:p>
            <w:pPr>
              <w:pStyle w:val="TableContents"/>
              <w:spacing w:lineRule="auto" w:line="252" w:before="0" w:after="0"/>
              <w:ind w:left="0" w:right="0" w:hanging="0"/>
              <w:jc w:val="left"/>
              <w:rPr/>
            </w:pPr>
            <w:hyperlink w:anchor="item_2_managements_discussion_analysis_f">
              <w:r>
                <w:rPr>
                  <w:rStyle w:val="InternetLink"/>
                  <w:rFonts w:ascii="Times New Roman" w:hAnsi="Times New Roman"/>
                  <w:b w:val="false"/>
                  <w:sz w:val="20"/>
                  <w:u w:val="single"/>
                </w:rPr>
                <w:t>Management’s Discussion and Analysis of Financial Condition and Results of Operations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66" w:type="dxa"/>
            <w:tcBorders/>
            <w:shd w:fill="auto" w:val="clear"/>
            <w:vAlign w:val="center"/>
          </w:tcPr>
          <w:p>
            <w:pPr>
              <w:pStyle w:val="TableContents"/>
              <w:spacing w:lineRule="auto" w:line="252" w:before="0" w:after="0"/>
              <w:ind w:left="0" w:right="0" w:hanging="0"/>
              <w:jc w:val="left"/>
              <w:rPr/>
            </w:pPr>
            <w:hyperlink w:anchor="item_3_quantitative_qualitative_disclosu">
              <w:r>
                <w:rPr>
                  <w:rStyle w:val="InternetLink"/>
                  <w:rFonts w:ascii="Times New Roman" w:hAnsi="Times New Roman"/>
                  <w:b w:val="false"/>
                  <w:sz w:val="20"/>
                  <w:u w:val="single"/>
                </w:rPr>
                <w:t>Quantitative and Qualitative Disclosures About Market Risk</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66" w:type="dxa"/>
            <w:tcBorders/>
            <w:shd w:fill="auto" w:val="clear"/>
            <w:vAlign w:val="center"/>
          </w:tcPr>
          <w:p>
            <w:pPr>
              <w:pStyle w:val="TableContents"/>
              <w:spacing w:lineRule="auto" w:line="252" w:before="0" w:after="0"/>
              <w:ind w:left="0" w:right="0" w:hanging="0"/>
              <w:jc w:val="left"/>
              <w:rPr/>
            </w:pPr>
            <w:hyperlink w:anchor="item_4_controls_procedures">
              <w:r>
                <w:rPr>
                  <w:rStyle w:val="InternetLink"/>
                  <w:rFonts w:ascii="Times New Roman" w:hAnsi="Times New Roman"/>
                  <w:b w:val="false"/>
                  <w:sz w:val="20"/>
                  <w:u w:val="single"/>
                </w:rPr>
                <w:t>Controls and Procedures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w:t>
            </w:r>
          </w:p>
        </w:tc>
      </w:tr>
      <w:tr>
        <w:trPr/>
        <w:tc>
          <w:tcPr>
            <w:tcW w:w="811" w:type="dxa"/>
            <w:tcBorders/>
            <w:shd w:fill="auto" w:val="clear"/>
            <w:vAlign w:val="center"/>
          </w:tcPr>
          <w:p>
            <w:pPr>
              <w:pStyle w:val="TableContents"/>
              <w:spacing w:lineRule="auto" w:line="252" w:before="0" w:after="0"/>
              <w:ind w:left="0" w:right="0" w:hanging="0"/>
              <w:jc w:val="left"/>
              <w:rPr/>
            </w:pPr>
            <w:r>
              <w:rPr/>
              <w:t> </w:t>
            </w:r>
          </w:p>
        </w:tc>
        <w:tc>
          <w:tcPr>
            <w:tcW w:w="736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PART II - OTHER INFORMATION</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66" w:type="dxa"/>
            <w:tcBorders/>
            <w:shd w:fill="auto" w:val="clear"/>
            <w:vAlign w:val="center"/>
          </w:tcPr>
          <w:p>
            <w:pPr>
              <w:pStyle w:val="TableContents"/>
              <w:spacing w:lineRule="auto" w:line="252" w:before="0" w:after="0"/>
              <w:ind w:left="0" w:right="0" w:hanging="0"/>
              <w:jc w:val="left"/>
              <w:rPr/>
            </w:pPr>
            <w:hyperlink w:anchor="item_1_legal_proceedings">
              <w:r>
                <w:rPr>
                  <w:rStyle w:val="InternetLink"/>
                  <w:rFonts w:ascii="Times New Roman" w:hAnsi="Times New Roman"/>
                  <w:b w:val="false"/>
                  <w:sz w:val="20"/>
                  <w:u w:val="single"/>
                </w:rPr>
                <w:t>Legal Proceedings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7366" w:type="dxa"/>
            <w:tcBorders/>
            <w:shd w:fill="auto" w:val="cle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66" w:type="dxa"/>
            <w:tcBorders/>
            <w:shd w:fill="auto" w:val="clear"/>
            <w:vAlign w:val="center"/>
          </w:tcPr>
          <w:p>
            <w:pPr>
              <w:pStyle w:val="TableContents"/>
              <w:spacing w:lineRule="auto" w:line="252" w:before="0" w:after="0"/>
              <w:ind w:left="0" w:right="0" w:hanging="0"/>
              <w:jc w:val="left"/>
              <w:rPr/>
            </w:pPr>
            <w:hyperlink w:anchor="item_2_unregistered_sales_equity_securit">
              <w:r>
                <w:rPr>
                  <w:rStyle w:val="InternetLink"/>
                  <w:rFonts w:ascii="Times New Roman" w:hAnsi="Times New Roman"/>
                  <w:b w:val="false"/>
                  <w:sz w:val="20"/>
                  <w:u w:val="single"/>
                </w:rPr>
                <w:t>Unregistered Sales of Equity Securities and Use of Proceeds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w:t>
            </w:r>
          </w:p>
        </w:tc>
      </w:tr>
      <w:tr>
        <w:trPr/>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7366" w:type="dxa"/>
            <w:tcBorders/>
            <w:shd w:fill="auto" w:val="clear"/>
            <w:vAlign w:val="center"/>
          </w:tcPr>
          <w:p>
            <w:pPr>
              <w:pStyle w:val="TableContents"/>
              <w:spacing w:lineRule="auto" w:line="252" w:before="0" w:after="0"/>
              <w:ind w:left="0" w:right="0" w:hanging="0"/>
              <w:jc w:val="left"/>
              <w:rPr/>
            </w:pPr>
            <w:hyperlink w:anchor="item_6_exhibits">
              <w:r>
                <w:rPr>
                  <w:rStyle w:val="InternetLink"/>
                  <w:rFonts w:ascii="Times New Roman" w:hAnsi="Times New Roman"/>
                  <w:b w:val="false"/>
                  <w:sz w:val="20"/>
                  <w:u w:val="single"/>
                </w:rPr>
                <w:t>Exhibits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w:t>
            </w:r>
          </w:p>
        </w:tc>
      </w:tr>
      <w:tr>
        <w:trPr/>
        <w:tc>
          <w:tcPr>
            <w:tcW w:w="8177" w:type="dxa"/>
            <w:gridSpan w:val="2"/>
            <w:tcBorders/>
            <w:shd w:fill="auto" w:val="cle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PART I – FINANCIAL INFORMATION</w:t>
      </w:r>
    </w:p>
    <w:p>
      <w:pPr>
        <w:pStyle w:val="TextBody"/>
        <w:spacing w:lineRule="auto" w:line="273" w:before="0" w:after="0"/>
        <w:jc w:val="left"/>
        <w:rPr>
          <w:rFonts w:ascii="Times New Roman" w:hAnsi="Times New Roman"/>
          <w:b/>
          <w:sz w:val="20"/>
        </w:rPr>
      </w:pPr>
      <w:r>
        <w:rPr>
          <w:rFonts w:ascii="Times New Roman" w:hAnsi="Times New Roman"/>
          <w:b/>
          <w:sz w:val="20"/>
        </w:rPr>
        <w:t>Item 1. Financial Statements</w:t>
      </w:r>
    </w:p>
    <w:p>
      <w:pPr>
        <w:pStyle w:val="TextBody"/>
        <w:spacing w:lineRule="auto" w:line="273" w:before="0" w:after="0"/>
        <w:jc w:val="center"/>
        <w:rPr>
          <w:rFonts w:ascii="Times New Roman" w:hAnsi="Times New Roman"/>
          <w:b/>
          <w:sz w:val="20"/>
        </w:rPr>
      </w:pPr>
      <w:r>
        <w:rPr>
          <w:rFonts w:ascii="Times New Roman" w:hAnsi="Times New Roman"/>
          <w:b/>
          <w:sz w:val="20"/>
        </w:rPr>
        <w:t>CLEARSIDE BIOMEDICAL, INC.</w:t>
      </w:r>
    </w:p>
    <w:p>
      <w:pPr>
        <w:pStyle w:val="TextBody"/>
        <w:spacing w:lineRule="auto" w:line="273" w:before="0" w:after="0"/>
        <w:jc w:val="center"/>
        <w:rPr>
          <w:rFonts w:ascii="Times New Roman" w:hAnsi="Times New Roman"/>
          <w:b/>
          <w:sz w:val="20"/>
        </w:rPr>
      </w:pPr>
      <w:bookmarkStart w:id="2" w:name="balance_sheets"/>
      <w:bookmarkEnd w:id="2"/>
      <w:r>
        <w:rPr>
          <w:rFonts w:ascii="Times New Roman" w:hAnsi="Times New Roman"/>
          <w:b/>
          <w:sz w:val="20"/>
        </w:rPr>
        <w:t>Balance Sheets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(in thousands, except share and per share data)</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(unaudited)</w:t>
      </w:r>
    </w:p>
    <w:p>
      <w:pPr>
        <w:pStyle w:val="TextBody"/>
        <w:spacing w:lineRule="auto" w:line="273" w:before="0" w:after="0"/>
        <w:jc w:val="left"/>
        <w:rPr/>
      </w:pPr>
      <w:r>
        <w:rPr/>
        <w:t> </w:t>
      </w:r>
    </w:p>
    <w:tbl>
      <w:tblPr>
        <w:tblW w:w="9547" w:type="dxa"/>
        <w:jc w:val="left"/>
        <w:tblInd w:w="0" w:type="dxa"/>
        <w:tblCellMar>
          <w:top w:w="28" w:type="dxa"/>
          <w:left w:w="28" w:type="dxa"/>
          <w:bottom w:w="28" w:type="dxa"/>
          <w:right w:w="28" w:type="dxa"/>
        </w:tblCellMar>
      </w:tblPr>
      <w:tblGrid>
        <w:gridCol w:w="5866"/>
        <w:gridCol w:w="146"/>
        <w:gridCol w:w="211"/>
        <w:gridCol w:w="841"/>
        <w:gridCol w:w="166"/>
        <w:gridCol w:w="146"/>
        <w:gridCol w:w="252"/>
        <w:gridCol w:w="1008"/>
        <w:gridCol w:w="911"/>
      </w:tblGrid>
      <w:tr>
        <w:trPr/>
        <w:tc>
          <w:tcPr>
            <w:tcW w:w="5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r>
      <w:tr>
        <w:trPr/>
        <w:tc>
          <w:tcPr>
            <w:tcW w:w="58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w:t>
              <w:br/>
              <w:t>2021</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pPr>
            <w:r>
              <w:rPr/>
              <w:t> </w:t>
            </w:r>
          </w:p>
        </w:tc>
        <w:tc>
          <w:tcPr>
            <w:tcW w:w="911" w:type="dxa"/>
            <w:tcBorders/>
            <w:shd w:fill="auto" w:val="clear"/>
            <w:vAlign w:val="center"/>
          </w:tcPr>
          <w:p>
            <w:pPr>
              <w:pStyle w:val="TableContents"/>
              <w:spacing w:lineRule="auto" w:line="252" w:before="0" w:after="0"/>
              <w:ind w:left="0" w:right="0" w:hanging="0"/>
              <w:jc w:val="righ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pPr>
            <w:r>
              <w:rPr/>
              <w:t> </w:t>
            </w:r>
          </w:p>
        </w:tc>
        <w:tc>
          <w:tcPr>
            <w:tcW w:w="911" w:type="dxa"/>
            <w:tcBorders/>
            <w:shd w:fill="auto" w:val="clear"/>
            <w:vAlign w:val="center"/>
          </w:tcPr>
          <w:p>
            <w:pPr>
              <w:pStyle w:val="TableContents"/>
              <w:spacing w:lineRule="auto" w:line="252" w:before="0" w:after="0"/>
              <w:ind w:left="0" w:right="0" w:firstLine="200"/>
              <w:jc w:val="righ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34,372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30,436</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10,000</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Prepaid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921</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779</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86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35,274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42,136</w:t>
            </w:r>
          </w:p>
        </w:tc>
        <w:tc>
          <w:tcPr>
            <w:tcW w:w="911" w:type="dxa"/>
            <w:tcBorders/>
            <w:shd w:fill="auto" w:val="clear"/>
            <w:vAlign w:val="center"/>
          </w:tcPr>
          <w:p>
            <w:pPr>
              <w:pStyle w:val="TableContents"/>
              <w:spacing w:lineRule="auto" w:line="252" w:before="0" w:after="0"/>
              <w:ind w:left="0" w:right="0" w:hanging="0"/>
              <w:jc w:val="lef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238</w:t>
            </w:r>
          </w:p>
        </w:tc>
        <w:tc>
          <w:tcPr>
            <w:tcW w:w="911" w:type="dxa"/>
            <w:tcBorders/>
            <w:shd w:fill="auto" w:val="clear"/>
            <w:vAlign w:val="center"/>
          </w:tcPr>
          <w:p>
            <w:pPr>
              <w:pStyle w:val="TableContents"/>
              <w:spacing w:lineRule="auto" w:line="252" w:before="0" w:after="0"/>
              <w:ind w:left="0" w:right="0" w:hanging="0"/>
              <w:jc w:val="lef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369</w:t>
            </w:r>
          </w:p>
        </w:tc>
        <w:tc>
          <w:tcPr>
            <w:tcW w:w="911" w:type="dxa"/>
            <w:tcBorders/>
            <w:shd w:fill="auto" w:val="clear"/>
            <w:vAlign w:val="center"/>
          </w:tcPr>
          <w:p>
            <w:pPr>
              <w:pStyle w:val="TableContents"/>
              <w:spacing w:lineRule="auto" w:line="252" w:before="0" w:after="0"/>
              <w:ind w:left="0" w:right="0" w:hanging="0"/>
              <w:jc w:val="lef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5866"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36,059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42,903</w:t>
            </w:r>
          </w:p>
        </w:tc>
        <w:tc>
          <w:tcPr>
            <w:tcW w:w="9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pPr>
            <w:r>
              <w:rPr/>
              <w:t> </w:t>
            </w:r>
          </w:p>
        </w:tc>
        <w:tc>
          <w:tcPr>
            <w:tcW w:w="911" w:type="dxa"/>
            <w:tcBorders/>
            <w:shd w:fill="auto" w:val="clear"/>
            <w:vAlign w:val="center"/>
          </w:tcPr>
          <w:p>
            <w:pPr>
              <w:pStyle w:val="TableContents"/>
              <w:spacing w:lineRule="auto" w:line="252" w:before="0" w:after="0"/>
              <w:ind w:left="0" w:right="0" w:hanging="0"/>
              <w:jc w:val="righ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pPr>
            <w:r>
              <w:rPr/>
              <w:t> </w:t>
            </w:r>
          </w:p>
        </w:tc>
        <w:tc>
          <w:tcPr>
            <w:tcW w:w="911" w:type="dxa"/>
            <w:tcBorders/>
            <w:shd w:fill="auto" w:val="clear"/>
            <w:vAlign w:val="center"/>
          </w:tcPr>
          <w:p>
            <w:pPr>
              <w:pStyle w:val="TableContents"/>
              <w:spacing w:lineRule="auto" w:line="252" w:before="0" w:after="0"/>
              <w:ind w:left="0" w:right="0" w:firstLine="200"/>
              <w:jc w:val="righ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941</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3,312</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Current portion of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86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4,640</w:t>
            </w:r>
          </w:p>
        </w:tc>
        <w:tc>
          <w:tcPr>
            <w:tcW w:w="911" w:type="dxa"/>
            <w:tcBorders/>
            <w:shd w:fill="auto" w:val="clear"/>
            <w:vAlign w:val="center"/>
          </w:tcPr>
          <w:p>
            <w:pPr>
              <w:pStyle w:val="TableContents"/>
              <w:spacing w:lineRule="auto" w:line="252" w:before="0" w:after="0"/>
              <w:ind w:left="0" w:right="0" w:hanging="0"/>
              <w:jc w:val="lef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288</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700"/>
              <w:jc w:val="left"/>
              <w:rPr/>
            </w:pPr>
            <w:r>
              <w:rPr/>
              <w:t> </w:t>
            </w:r>
          </w:p>
        </w:tc>
      </w:tr>
      <w:tr>
        <w:trPr/>
        <w:tc>
          <w:tcPr>
            <w:tcW w:w="5866" w:type="dxa"/>
            <w:tcBorders/>
            <w:shd w:fill="auto" w:val="clear"/>
            <w:vAlign w:val="center"/>
          </w:tcPr>
          <w:p>
            <w:pPr>
              <w:pStyle w:val="TableContents"/>
              <w:spacing w:lineRule="auto" w:line="252" w:before="0" w:after="0"/>
              <w:ind w:left="70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4,928</w:t>
            </w:r>
          </w:p>
        </w:tc>
        <w:tc>
          <w:tcPr>
            <w:tcW w:w="911" w:type="dxa"/>
            <w:tcBorders/>
            <w:shd w:fill="auto" w:val="clear"/>
            <w:vAlign w:val="center"/>
          </w:tcPr>
          <w:p>
            <w:pPr>
              <w:pStyle w:val="TableContents"/>
              <w:spacing w:lineRule="auto" w:line="252" w:before="0" w:after="0"/>
              <w:ind w:left="0" w:right="0" w:hanging="0"/>
              <w:jc w:val="lef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Commitments and contingencies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pPr>
            <w:r>
              <w:rPr/>
              <w:t> </w:t>
            </w:r>
          </w:p>
        </w:tc>
        <w:tc>
          <w:tcPr>
            <w:tcW w:w="911" w:type="dxa"/>
            <w:tcBorders/>
            <w:shd w:fill="auto" w:val="clear"/>
            <w:vAlign w:val="center"/>
          </w:tcPr>
          <w:p>
            <w:pPr>
              <w:pStyle w:val="TableContents"/>
              <w:spacing w:lineRule="auto" w:line="252" w:before="0" w:after="0"/>
              <w:ind w:left="0" w:right="0" w:hanging="0"/>
              <w:jc w:val="right"/>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pPr>
            <w:r>
              <w:rPr/>
              <w:t> </w:t>
            </w:r>
          </w:p>
        </w:tc>
        <w:tc>
          <w:tcPr>
            <w:tcW w:w="911" w:type="dxa"/>
            <w:tcBorders/>
            <w:shd w:fill="auto" w:val="clear"/>
            <w:vAlign w:val="center"/>
          </w:tcPr>
          <w:p>
            <w:pPr>
              <w:pStyle w:val="TableContents"/>
              <w:spacing w:lineRule="auto" w:line="252" w:before="0" w:after="0"/>
              <w:ind w:left="0" w:right="0" w:firstLine="200"/>
              <w:jc w:val="righ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Preferred stock, $0.001</w:t>
            </w:r>
            <w:r>
              <w:rPr>
                <w:rFonts w:ascii="Times New Roman" w:hAnsi="Times New Roman"/>
                <w:sz w:val="20"/>
              </w:rPr>
              <w:t> </w:t>
            </w:r>
            <w:r>
              <w:rPr>
                <w:rFonts w:ascii="Times New Roman" w:hAnsi="Times New Roman"/>
                <w:b w:val="false"/>
                <w:sz w:val="20"/>
              </w:rPr>
              <w:t>par value; 10,000,000</w:t>
            </w:r>
            <w:r>
              <w:rPr>
                <w:rFonts w:ascii="Times New Roman" w:hAnsi="Times New Roman"/>
                <w:sz w:val="20"/>
              </w:rPr>
              <w:t> </w:t>
            </w:r>
            <w:r>
              <w:rPr>
                <w:rFonts w:ascii="Times New Roman" w:hAnsi="Times New Roman"/>
                <w:b w:val="false"/>
                <w:sz w:val="20"/>
              </w:rPr>
              <w:t>shares authorized and no</w:t>
              <w:br/>
              <w:t>   shares issued at March 31, 2022 and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pPr>
            <w:r>
              <w:rPr/>
              <w:t>—</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Common stock, $0.001</w:t>
            </w:r>
            <w:r>
              <w:rPr>
                <w:rFonts w:ascii="Times New Roman" w:hAnsi="Times New Roman"/>
                <w:sz w:val="20"/>
              </w:rPr>
              <w:t> </w:t>
            </w:r>
            <w:r>
              <w:rPr>
                <w:rFonts w:ascii="Times New Roman" w:hAnsi="Times New Roman"/>
                <w:b w:val="false"/>
                <w:sz w:val="20"/>
              </w:rPr>
              <w:t>par value; 100,000,000</w:t>
            </w:r>
            <w:r>
              <w:rPr>
                <w:rFonts w:ascii="Times New Roman" w:hAnsi="Times New Roman"/>
                <w:sz w:val="20"/>
              </w:rPr>
              <w:t> </w:t>
            </w:r>
            <w:r>
              <w:rPr>
                <w:rFonts w:ascii="Times New Roman" w:hAnsi="Times New Roman"/>
                <w:b w:val="false"/>
                <w:sz w:val="20"/>
              </w:rPr>
              <w:t>shares authorized at</w:t>
              <w:br/>
              <w:t>  March 31, 2022 and December 31, 2021; 60,147,618</w:t>
            </w:r>
            <w:r>
              <w:rPr>
                <w:rFonts w:ascii="Times New Roman" w:hAnsi="Times New Roman"/>
                <w:sz w:val="20"/>
              </w:rPr>
              <w:t> </w:t>
            </w:r>
            <w:r>
              <w:rPr>
                <w:rFonts w:ascii="Times New Roman" w:hAnsi="Times New Roman"/>
                <w:b w:val="false"/>
                <w:sz w:val="20"/>
              </w:rPr>
              <w:t>and</w:t>
              <w:br/>
              <w:t>  59,722,930</w:t>
            </w:r>
            <w:r>
              <w:rPr>
                <w:rFonts w:ascii="Times New Roman" w:hAnsi="Times New Roman"/>
                <w:sz w:val="20"/>
              </w:rPr>
              <w:t> </w:t>
            </w:r>
            <w:r>
              <w:rPr>
                <w:rFonts w:ascii="Times New Roman" w:hAnsi="Times New Roman"/>
                <w:b w:val="false"/>
                <w:sz w:val="20"/>
              </w:rPr>
              <w:t>shares issued and outstanding at March 31, 2022</w:t>
              <w:br/>
              <w:t>   and December 31,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294,778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293,406</w:t>
            </w:r>
          </w:p>
        </w:tc>
        <w:tc>
          <w:tcPr>
            <w:tcW w:w="911" w:type="dxa"/>
            <w:tcBorders/>
            <w:shd w:fill="auto" w:val="clear"/>
            <w:vAlign w:val="center"/>
          </w:tcPr>
          <w:p>
            <w:pPr>
              <w:pStyle w:val="TableContents"/>
              <w:spacing w:lineRule="auto" w:line="252" w:before="0" w:after="0"/>
              <w:ind w:left="0" w:right="0" w:firstLine="200"/>
              <w:jc w:val="lef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(263,135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(255,491</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700"/>
              <w:jc w:val="left"/>
              <w:rPr>
                <w:rFonts w:ascii="Times New Roman" w:hAnsi="Times New Roman"/>
                <w:b w:val="false"/>
                <w:sz w:val="20"/>
              </w:rPr>
            </w:pPr>
            <w:r>
              <w:rPr>
                <w:rFonts w:ascii="Times New Roman" w:hAnsi="Times New Roman"/>
                <w:b w:val="false"/>
                <w:sz w:val="20"/>
              </w:rPr>
              <w:t>)</w:t>
            </w:r>
          </w:p>
        </w:tc>
      </w:tr>
      <w:tr>
        <w:trPr/>
        <w:tc>
          <w:tcPr>
            <w:tcW w:w="5866" w:type="dxa"/>
            <w:tcBorders/>
            <w:shd w:fill="auto" w:val="clear"/>
            <w:vAlign w:val="center"/>
          </w:tcPr>
          <w:p>
            <w:pPr>
              <w:pStyle w:val="TableContents"/>
              <w:spacing w:lineRule="auto" w:line="252" w:before="0" w:after="0"/>
              <w:ind w:left="700" w:right="0" w:hanging="0"/>
              <w:jc w:val="left"/>
              <w:rPr>
                <w:rFonts w:ascii="Times New Roman" w:hAnsi="Times New Roman"/>
                <w:b w:val="false"/>
                <w:sz w:val="20"/>
              </w:rPr>
            </w:pPr>
            <w:r>
              <w:rPr>
                <w:rFonts w:ascii="Times New Roman" w:hAnsi="Times New Roman"/>
                <w:b w:val="false"/>
                <w:sz w:val="20"/>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31,703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37,975</w:t>
            </w:r>
          </w:p>
        </w:tc>
        <w:tc>
          <w:tcPr>
            <w:tcW w:w="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700"/>
              <w:jc w:val="left"/>
              <w:rPr/>
            </w:pPr>
            <w:r>
              <w:rPr/>
              <w:t> </w:t>
            </w:r>
          </w:p>
        </w:tc>
      </w:tr>
      <w:tr>
        <w:trPr/>
        <w:tc>
          <w:tcPr>
            <w:tcW w:w="5866" w:type="dxa"/>
            <w:tcBorders/>
            <w:shd w:fill="auto" w:val="clear"/>
            <w:vAlign w:val="center"/>
          </w:tcPr>
          <w:p>
            <w:pPr>
              <w:pStyle w:val="TableContents"/>
              <w:spacing w:lineRule="auto" w:line="252" w:before="0" w:after="0"/>
              <w:ind w:left="700" w:right="0" w:hanging="0"/>
              <w:jc w:val="left"/>
              <w:rPr>
                <w:rFonts w:ascii="Times New Roman" w:hAnsi="Times New Roman"/>
                <w:b w:val="false"/>
                <w:sz w:val="20"/>
              </w:rPr>
            </w:pPr>
            <w:r>
              <w:rPr>
                <w:rFonts w:ascii="Times New Roman" w:hAnsi="Times New Roman"/>
                <w:b w:val="false"/>
                <w:sz w:val="20"/>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36,059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42,903</w:t>
            </w:r>
          </w:p>
        </w:tc>
        <w:tc>
          <w:tcPr>
            <w:tcW w:w="9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Times New Roman" w:hAnsi="Times New Roman"/>
          <w:b w:val="false"/>
          <w:i/>
          <w:sz w:val="20"/>
        </w:rPr>
      </w:pPr>
      <w:r>
        <w:rPr>
          <w:rFonts w:ascii="Times New Roman" w:hAnsi="Times New Roman"/>
          <w:b w:val="false"/>
          <w:i/>
          <w:sz w:val="20"/>
        </w:rPr>
        <w:t>See accompanying notes to the financial statements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CLEARSIDE BIOMEDICAL, INC.</w:t>
      </w:r>
    </w:p>
    <w:p>
      <w:pPr>
        <w:pStyle w:val="TextBody"/>
        <w:spacing w:lineRule="auto" w:line="273" w:before="0" w:after="0"/>
        <w:jc w:val="center"/>
        <w:rPr>
          <w:rFonts w:ascii="Times New Roman" w:hAnsi="Times New Roman"/>
          <w:b/>
          <w:sz w:val="20"/>
        </w:rPr>
      </w:pPr>
      <w:bookmarkStart w:id="3" w:name="statements_operations"/>
      <w:bookmarkEnd w:id="3"/>
      <w:r>
        <w:rPr>
          <w:rFonts w:ascii="Times New Roman" w:hAnsi="Times New Roman"/>
          <w:b/>
          <w:sz w:val="20"/>
        </w:rPr>
        <w:t>Statements of Operations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(in thousands, except share and per share data)</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(unaudited)</w:t>
      </w:r>
    </w:p>
    <w:p>
      <w:pPr>
        <w:pStyle w:val="TextBody"/>
        <w:spacing w:lineRule="auto" w:line="273" w:before="0" w:after="0"/>
        <w:jc w:val="left"/>
        <w:rPr/>
      </w:pPr>
      <w:r>
        <w:rPr/>
        <w:t> </w:t>
      </w:r>
    </w:p>
    <w:tbl>
      <w:tblPr>
        <w:tblW w:w="8374" w:type="dxa"/>
        <w:jc w:val="left"/>
        <w:tblInd w:w="0" w:type="dxa"/>
        <w:tblCellMar>
          <w:top w:w="28" w:type="dxa"/>
          <w:left w:w="28" w:type="dxa"/>
          <w:bottom w:w="28" w:type="dxa"/>
          <w:right w:w="28" w:type="dxa"/>
        </w:tblCellMar>
      </w:tblPr>
      <w:tblGrid>
        <w:gridCol w:w="4831"/>
        <w:gridCol w:w="146"/>
        <w:gridCol w:w="211"/>
        <w:gridCol w:w="1036"/>
        <w:gridCol w:w="166"/>
        <w:gridCol w:w="146"/>
        <w:gridCol w:w="211"/>
        <w:gridCol w:w="1036"/>
        <w:gridCol w:w="591"/>
      </w:tblGrid>
      <w:tr>
        <w:trPr/>
        <w:tc>
          <w:tcPr>
            <w:tcW w:w="4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License and 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8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5,490</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8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2,893</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48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8,383</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(7,646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(8,349</w:t>
            </w:r>
          </w:p>
        </w:tc>
        <w:tc>
          <w:tcPr>
            <w:tcW w:w="5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998</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(7,351</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of common stock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(0.13</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 average shares outstanding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60,064,209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57,038,664</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Times New Roman" w:hAnsi="Times New Roman"/>
          <w:b w:val="false"/>
          <w:i/>
          <w:sz w:val="20"/>
        </w:rPr>
      </w:pPr>
      <w:r>
        <w:rPr>
          <w:rFonts w:ascii="Times New Roman" w:hAnsi="Times New Roman"/>
          <w:b w:val="false"/>
          <w:i/>
          <w:sz w:val="20"/>
        </w:rPr>
        <w:t>See accompanying notes to the financial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CLEARSIDE BIOMEDICAL, INC.</w:t>
      </w:r>
    </w:p>
    <w:p>
      <w:pPr>
        <w:pStyle w:val="TextBody"/>
        <w:spacing w:lineRule="auto" w:line="273" w:before="0" w:after="0"/>
        <w:jc w:val="center"/>
        <w:rPr>
          <w:rFonts w:ascii="Times New Roman" w:hAnsi="Times New Roman"/>
          <w:b/>
          <w:sz w:val="20"/>
        </w:rPr>
      </w:pPr>
      <w:bookmarkStart w:id="4" w:name="statements_stockholders"/>
      <w:bookmarkEnd w:id="4"/>
      <w:r>
        <w:rPr>
          <w:rFonts w:ascii="Times New Roman" w:hAnsi="Times New Roman"/>
          <w:b/>
          <w:sz w:val="20"/>
        </w:rPr>
        <w:t>Statements of Stockholders’ Equity</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(in thousands, except share data)</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(unaudited)</w:t>
      </w:r>
    </w:p>
    <w:tbl>
      <w:tblPr>
        <w:tblW w:w="10205" w:type="dxa"/>
        <w:jc w:val="left"/>
        <w:tblInd w:w="0" w:type="dxa"/>
        <w:tblCellMar>
          <w:top w:w="28" w:type="dxa"/>
          <w:left w:w="28" w:type="dxa"/>
          <w:bottom w:w="28" w:type="dxa"/>
          <w:right w:w="28" w:type="dxa"/>
        </w:tblCellMar>
      </w:tblPr>
      <w:tblGrid>
        <w:gridCol w:w="3532"/>
        <w:gridCol w:w="146"/>
        <w:gridCol w:w="146"/>
        <w:gridCol w:w="916"/>
        <w:gridCol w:w="146"/>
        <w:gridCol w:w="146"/>
        <w:gridCol w:w="249"/>
        <w:gridCol w:w="442"/>
        <w:gridCol w:w="146"/>
        <w:gridCol w:w="146"/>
        <w:gridCol w:w="275"/>
        <w:gridCol w:w="971"/>
        <w:gridCol w:w="146"/>
        <w:gridCol w:w="146"/>
        <w:gridCol w:w="217"/>
        <w:gridCol w:w="834"/>
        <w:gridCol w:w="166"/>
        <w:gridCol w:w="146"/>
        <w:gridCol w:w="264"/>
        <w:gridCol w:w="813"/>
        <w:gridCol w:w="212"/>
      </w:tblGrid>
      <w:tr>
        <w:trPr/>
        <w:tc>
          <w:tcPr>
            <w:tcW w:w="3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53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15"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 2022</w:t>
            </w:r>
          </w:p>
        </w:tc>
        <w:tc>
          <w:tcPr>
            <w:tcW w:w="2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3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7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2" w:type="dxa"/>
            <w:tcBorders/>
            <w:shd w:fill="auto" w:val="clear"/>
            <w:vAlign w:val="center"/>
          </w:tcPr>
          <w:p>
            <w:pPr>
              <w:pStyle w:val="TableContents"/>
              <w:spacing w:lineRule="auto" w:line="252" w:before="0" w:after="0"/>
              <w:ind w:left="0" w:right="0" w:hanging="0"/>
              <w:jc w:val="center"/>
              <w:rPr/>
            </w:pPr>
            <w:r>
              <w:rPr/>
              <w:t> </w:t>
            </w:r>
          </w:p>
        </w:tc>
      </w:tr>
      <w:tr>
        <w:trPr/>
        <w:tc>
          <w:tcPr>
            <w:tcW w:w="353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7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Stockholders'</w:t>
            </w:r>
          </w:p>
        </w:tc>
        <w:tc>
          <w:tcPr>
            <w:tcW w:w="212" w:type="dxa"/>
            <w:tcBorders/>
            <w:shd w:fill="auto" w:val="clear"/>
            <w:vAlign w:val="center"/>
          </w:tcPr>
          <w:p>
            <w:pPr>
              <w:pStyle w:val="TableContents"/>
              <w:spacing w:lineRule="auto" w:line="252" w:before="0" w:after="0"/>
              <w:ind w:left="0" w:right="0" w:hanging="0"/>
              <w:jc w:val="center"/>
              <w:rPr/>
            </w:pPr>
            <w:r>
              <w:rPr/>
              <w:t> </w:t>
            </w:r>
          </w:p>
        </w:tc>
      </w:tr>
      <w:tr>
        <w:trPr/>
        <w:tc>
          <w:tcPr>
            <w:tcW w:w="353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Paid-In-Capital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59,722,930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44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293,406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(255,491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37,975</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22,727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81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Vesting and settlement of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375,331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813" w:type="dxa"/>
            <w:tcBorders/>
            <w:shd w:fill="auto" w:val="clear"/>
            <w:vAlign w:val="center"/>
          </w:tcPr>
          <w:p>
            <w:pPr>
              <w:pStyle w:val="TableContents"/>
              <w:spacing w:lineRule="auto" w:line="252" w:before="0" w:after="0"/>
              <w:ind w:left="0" w:right="0" w:hanging="0"/>
              <w:jc w:val="right"/>
              <w:rPr/>
            </w:pPr>
            <w:r>
              <w:rPr/>
              <w:t>—</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common shares under employee stock</w:t>
              <w:br/>
              <w:t>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26,630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81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Share-based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81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1,307</w:t>
            </w:r>
          </w:p>
        </w:tc>
        <w:tc>
          <w:tcPr>
            <w:tcW w:w="212" w:type="dxa"/>
            <w:tcBorders/>
            <w:shd w:fill="auto" w:val="clear"/>
            <w:vAlign w:val="center"/>
          </w:tcPr>
          <w:p>
            <w:pPr>
              <w:pStyle w:val="TableContents"/>
              <w:spacing w:lineRule="auto" w:line="252" w:before="0" w:after="0"/>
              <w:ind w:left="0" w:right="0" w:hanging="0"/>
              <w:jc w:val="left"/>
              <w:rPr/>
            </w:pPr>
            <w:r>
              <w:rPr/>
              <w:t> </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(7,644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(7,644</w:t>
            </w:r>
          </w:p>
        </w:tc>
        <w:tc>
          <w:tcPr>
            <w:tcW w:w="2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53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60,147,618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294,778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(263,135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31,703</w:t>
            </w:r>
          </w:p>
        </w:tc>
        <w:tc>
          <w:tcPr>
            <w:tcW w:w="2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10186" w:type="dxa"/>
        <w:jc w:val="left"/>
        <w:tblInd w:w="0" w:type="dxa"/>
        <w:tblCellMar>
          <w:top w:w="28" w:type="dxa"/>
          <w:left w:w="28" w:type="dxa"/>
          <w:bottom w:w="28" w:type="dxa"/>
          <w:right w:w="28" w:type="dxa"/>
        </w:tblCellMar>
      </w:tblPr>
      <w:tblGrid>
        <w:gridCol w:w="3511"/>
        <w:gridCol w:w="146"/>
        <w:gridCol w:w="146"/>
        <w:gridCol w:w="916"/>
        <w:gridCol w:w="146"/>
        <w:gridCol w:w="146"/>
        <w:gridCol w:w="249"/>
        <w:gridCol w:w="442"/>
        <w:gridCol w:w="146"/>
        <w:gridCol w:w="146"/>
        <w:gridCol w:w="275"/>
        <w:gridCol w:w="971"/>
        <w:gridCol w:w="146"/>
        <w:gridCol w:w="146"/>
        <w:gridCol w:w="217"/>
        <w:gridCol w:w="834"/>
        <w:gridCol w:w="166"/>
        <w:gridCol w:w="146"/>
        <w:gridCol w:w="265"/>
        <w:gridCol w:w="815"/>
        <w:gridCol w:w="21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18"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 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Stockholders'</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Paid-In-Capital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51,860,941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44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264,578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(255,867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8,763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common shares under a direct</w:t>
              <w:br/>
              <w:t>   registered offering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4,209,050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11,074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8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11,078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common shares under at-the-market</w:t>
              <w:br/>
              <w:t>   sales agreement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1,186,579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8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3,249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62,493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8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Vesting and settlement of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227,754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815"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common shares under employee</w:t>
              <w:br/>
              <w:t>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31,908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8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Share-based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83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8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1,154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(7,351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(7,351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57,578,725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280,145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(263,218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16,985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Times New Roman" w:hAnsi="Times New Roman"/>
          <w:b w:val="false"/>
          <w:i/>
          <w:sz w:val="20"/>
        </w:rPr>
      </w:pPr>
      <w:r>
        <w:rPr>
          <w:rFonts w:ascii="Times New Roman" w:hAnsi="Times New Roman"/>
          <w:b w:val="false"/>
          <w:i/>
          <w:sz w:val="20"/>
        </w:rPr>
        <w:t>See accompanying notes to the financial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CLEARSIDE BIOMEDICAL, INC.</w:t>
      </w:r>
    </w:p>
    <w:p>
      <w:pPr>
        <w:pStyle w:val="TextBody"/>
        <w:spacing w:lineRule="auto" w:line="273" w:before="0" w:after="0"/>
        <w:jc w:val="center"/>
        <w:rPr>
          <w:rFonts w:ascii="Times New Roman" w:hAnsi="Times New Roman"/>
          <w:b/>
          <w:sz w:val="20"/>
        </w:rPr>
      </w:pPr>
      <w:bookmarkStart w:id="5" w:name="statements_cash_flows"/>
      <w:bookmarkEnd w:id="5"/>
      <w:r>
        <w:rPr>
          <w:rFonts w:ascii="Times New Roman" w:hAnsi="Times New Roman"/>
          <w:b/>
          <w:sz w:val="20"/>
        </w:rPr>
        <w:t>Statements of Cash Flows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(in thousands)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(unaudited)</w:t>
      </w:r>
    </w:p>
    <w:p>
      <w:pPr>
        <w:pStyle w:val="TextBody"/>
        <w:spacing w:lineRule="auto" w:line="273" w:before="0" w:after="0"/>
        <w:jc w:val="left"/>
        <w:rPr/>
      </w:pPr>
      <w:r>
        <w:rPr/>
        <w:t> </w:t>
      </w:r>
    </w:p>
    <w:tbl>
      <w:tblPr>
        <w:tblW w:w="8874" w:type="dxa"/>
        <w:jc w:val="left"/>
        <w:tblInd w:w="0" w:type="dxa"/>
        <w:tblCellMar>
          <w:top w:w="28" w:type="dxa"/>
          <w:left w:w="28" w:type="dxa"/>
          <w:bottom w:w="28" w:type="dxa"/>
          <w:right w:w="28" w:type="dxa"/>
        </w:tblCellMar>
      </w:tblPr>
      <w:tblGrid>
        <w:gridCol w:w="6031"/>
        <w:gridCol w:w="146"/>
        <w:gridCol w:w="211"/>
        <w:gridCol w:w="676"/>
        <w:gridCol w:w="166"/>
        <w:gridCol w:w="146"/>
        <w:gridCol w:w="211"/>
        <w:gridCol w:w="676"/>
        <w:gridCol w:w="61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(7,644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(7,351</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Share-based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Gain on extinguishment of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(998</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Other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Accounts payable and 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1,348</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(5,559</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Proceeds from registered direct offering,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11,078</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Proceeds from at-the-market sales agreement,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3,249</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Proceeds from 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Proceeds from shares issued under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14,419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8,860</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30,696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17,647</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34,632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26,507</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Supplemental disclosure of noncash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Forgiveness of PPP Loan and accrued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998</w:t>
            </w:r>
          </w:p>
        </w:tc>
        <w:tc>
          <w:tcPr>
            <w:tcW w:w="6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Reconciliation of cash, cash equivalents and restricted cash:</w:t>
      </w:r>
    </w:p>
    <w:tbl>
      <w:tblPr>
        <w:tblW w:w="8989" w:type="dxa"/>
        <w:jc w:val="left"/>
        <w:tblInd w:w="0" w:type="dxa"/>
        <w:tblCellMar>
          <w:top w:w="28" w:type="dxa"/>
          <w:left w:w="28" w:type="dxa"/>
          <w:bottom w:w="28" w:type="dxa"/>
          <w:right w:w="28" w:type="dxa"/>
        </w:tblCellMar>
      </w:tblPr>
      <w:tblGrid>
        <w:gridCol w:w="6586"/>
        <w:gridCol w:w="146"/>
        <w:gridCol w:w="211"/>
        <w:gridCol w:w="676"/>
        <w:gridCol w:w="146"/>
        <w:gridCol w:w="146"/>
        <w:gridCol w:w="211"/>
        <w:gridCol w:w="676"/>
        <w:gridCol w:w="191"/>
      </w:tblGrid>
      <w:tr>
        <w:trPr/>
        <w:tc>
          <w:tcPr>
            <w:tcW w:w="6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5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5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34,372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26,147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58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Restricted cash (including $100</w:t>
            </w:r>
            <w:r>
              <w:rPr>
                <w:rFonts w:ascii="Times New Roman" w:hAnsi="Times New Roman"/>
                <w:sz w:val="20"/>
              </w:rPr>
              <w:t> </w:t>
            </w:r>
            <w:r>
              <w:rPr>
                <w:rFonts w:ascii="Times New Roman" w:hAnsi="Times New Roman"/>
                <w:b w:val="false"/>
                <w:sz w:val="20"/>
              </w:rPr>
              <w:t>for each period recorded in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at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34,632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26,507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Times New Roman" w:hAnsi="Times New Roman"/>
          <w:b w:val="false"/>
          <w:i/>
          <w:sz w:val="20"/>
        </w:rPr>
      </w:pPr>
      <w:r>
        <w:rPr>
          <w:rFonts w:ascii="Times New Roman" w:hAnsi="Times New Roman"/>
          <w:b w:val="false"/>
          <w:i/>
          <w:sz w:val="20"/>
        </w:rPr>
        <w:t>See accompanying notes to the financial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CLEARSIDE BIOMEDICAL, INC.</w:t>
      </w:r>
    </w:p>
    <w:p>
      <w:pPr>
        <w:pStyle w:val="TextBody"/>
        <w:spacing w:lineRule="auto" w:line="273" w:before="240" w:after="0"/>
        <w:jc w:val="center"/>
        <w:rPr>
          <w:rFonts w:ascii="Times New Roman" w:hAnsi="Times New Roman"/>
          <w:b/>
          <w:sz w:val="20"/>
        </w:rPr>
      </w:pPr>
      <w:bookmarkStart w:id="6" w:name="notes_to_the_financial_statements"/>
      <w:bookmarkEnd w:id="6"/>
      <w:r>
        <w:rPr>
          <w:rFonts w:ascii="Times New Roman" w:hAnsi="Times New Roman"/>
          <w:b/>
          <w:sz w:val="20"/>
        </w:rPr>
        <w:t>Notes to the Financial Statements</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1. The Company</w:t>
      </w:r>
    </w:p>
    <w:p>
      <w:pPr>
        <w:pStyle w:val="TextBody"/>
        <w:spacing w:lineRule="auto" w:line="273" w:before="120" w:after="0"/>
        <w:jc w:val="left"/>
        <w:rPr>
          <w:rFonts w:ascii="Times New Roman" w:hAnsi="Times New Roman"/>
          <w:sz w:val="20"/>
        </w:rPr>
      </w:pPr>
      <w:r>
        <w:rPr>
          <w:rFonts w:ascii="Times New Roman" w:hAnsi="Times New Roman"/>
          <w:b w:val="false"/>
          <w:sz w:val="20"/>
        </w:rPr>
        <w:t>Clearside Biomedical, Inc. (the “Company”) is a biopharmaceutical company focused on revolutionizing the delivery of therapies to the back of the eye through the suprachoroidal space (SCS</w:t>
      </w:r>
      <w:r>
        <w:rPr>
          <w:rFonts w:ascii="Times New Roman" w:hAnsi="Times New Roman"/>
          <w:b w:val="false"/>
          <w:sz w:val="13"/>
        </w:rPr>
        <w:t>®</w:t>
      </w:r>
      <w:r>
        <w:rPr>
          <w:rFonts w:ascii="Times New Roman" w:hAnsi="Times New Roman"/>
          <w:b w:val="false"/>
          <w:sz w:val="20"/>
        </w:rPr>
        <w:t>). Incorporated in the State of Delaware on May 26, 2011, the Company has its corporate headquarters in Alpharetta, Georgia.</w:t>
      </w:r>
    </w:p>
    <w:p>
      <w:pPr>
        <w:pStyle w:val="TextBody"/>
        <w:spacing w:lineRule="auto" w:line="273" w:before="120" w:after="240"/>
        <w:jc w:val="left"/>
        <w:rPr>
          <w:rFonts w:ascii="Times New Roman" w:hAnsi="Times New Roman"/>
          <w:sz w:val="20"/>
        </w:rPr>
      </w:pPr>
      <w:r>
        <w:rPr>
          <w:rFonts w:ascii="Times New Roman" w:hAnsi="Times New Roman"/>
          <w:b w:val="false"/>
          <w:sz w:val="20"/>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Company's licensees successfully commercialize XIPERE</w:t>
      </w:r>
      <w:r>
        <w:rPr>
          <w:rFonts w:ascii="Times New Roman" w:hAnsi="Times New Roman"/>
          <w:b w:val="false"/>
          <w:sz w:val="13"/>
        </w:rPr>
        <w:t>®</w:t>
      </w:r>
      <w:r>
        <w:rPr>
          <w:rFonts w:ascii="Times New Roman" w:hAnsi="Times New Roman"/>
          <w:b w:val="false"/>
          <w:sz w:val="20"/>
        </w:rPr>
        <w:t>, its other licensees receive regulatory approval and successfully commercializes its product candidates or the Company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pStyle w:val="TextBody"/>
        <w:spacing w:lineRule="auto" w:line="273" w:before="240" w:after="0"/>
        <w:jc w:val="left"/>
        <w:rPr>
          <w:rFonts w:ascii="Times New Roman" w:hAnsi="Times New Roman"/>
          <w:b/>
          <w:i/>
          <w:sz w:val="20"/>
        </w:rPr>
      </w:pPr>
      <w:r>
        <w:rPr>
          <w:rFonts w:ascii="Times New Roman" w:hAnsi="Times New Roman"/>
          <w:b/>
          <w:i/>
          <w:sz w:val="20"/>
        </w:rPr>
        <w:t>Liquidity</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had cash and cash equivalents of $34.4</w:t>
      </w:r>
      <w:r>
        <w:rPr>
          <w:rFonts w:ascii="Times New Roman" w:hAnsi="Times New Roman"/>
          <w:sz w:val="20"/>
        </w:rPr>
        <w:t xml:space="preserve"> </w:t>
      </w:r>
      <w:r>
        <w:rPr>
          <w:rFonts w:ascii="Times New Roman" w:hAnsi="Times New Roman"/>
          <w:b w:val="false"/>
          <w:sz w:val="20"/>
        </w:rPr>
        <w:t>million as of March 31, 2022.</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October 25, 2021, the Company announced that the U.S. Food and Drug Administration (the "FDA") approved XIPERE (triamcinolone acetonide injectable suspension) for the treatment of macular edema associated with uveitis, a form of eye inflammation. In January 2022, the Company received $10.0</w:t>
      </w:r>
      <w:r>
        <w:rPr>
          <w:rFonts w:ascii="Times New Roman" w:hAnsi="Times New Roman"/>
          <w:sz w:val="20"/>
        </w:rPr>
        <w:t xml:space="preserve"> </w:t>
      </w:r>
      <w:r>
        <w:rPr>
          <w:rFonts w:ascii="Times New Roman" w:hAnsi="Times New Roman"/>
          <w:b w:val="false"/>
          <w:sz w:val="20"/>
        </w:rPr>
        <w:t>million from Bausch + Lomb, a division of Bausch Health Companies, Inc. ("Bausch"), upon completion of pre-launch activities for XIPERE pursuant to the license agreement granting Bausch an exclusive license to develop and commercialize XIPERE in the United States and Canada. Bausch launched XIPERE in the United States in the first quarter of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has funded its operations primarily through the sale of common stock and convertible preferred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products were to receive regulatory approval, the Company would need to obtain financing to prepare for the potential commercialization of its product candidates, if the Company decides to commercialize the products on its own.</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suffered recurring losses and negative cash flows from operations since inception and anticipates incurring additional losses until such time, if ever, that it can generate significant revenue from its licensees' commercialization of XIPERE. In the absence of product or other revenues, the amount, timing, nature or source of which cannot be predicted, the Company’s losses will continue as it conducts its research and development activities.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Based on its current plans and forecasted expenses, the Company expects that its cash and cash equivalents as of the filing date, May 12, 2022, will enable it to fund its planned operating expenses and capital expenditure requirements for at least the next twelve months from that date.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2. Significant Accounting Policies</w:t>
      </w:r>
    </w:p>
    <w:p>
      <w:pPr>
        <w:pStyle w:val="TextBody"/>
        <w:spacing w:lineRule="auto" w:line="273" w:before="120" w:after="0"/>
        <w:jc w:val="left"/>
        <w:rPr>
          <w:rFonts w:ascii="Times New Roman" w:hAnsi="Times New Roman"/>
          <w:b/>
          <w:i/>
          <w:sz w:val="20"/>
        </w:rPr>
      </w:pPr>
      <w:r>
        <w:rPr>
          <w:rFonts w:ascii="Times New Roman" w:hAnsi="Times New Roman"/>
          <w:b/>
          <w:i/>
          <w:sz w:val="20"/>
        </w:rPr>
        <w:t>Basis of Presentation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Company’s financial statements have been prepared in conformity with accounting principles generally accepted in the United States of America (“U.S. GAAP”).</w:t>
      </w:r>
    </w:p>
    <w:p>
      <w:pPr>
        <w:pStyle w:val="TextBody"/>
        <w:spacing w:lineRule="auto" w:line="273" w:before="240" w:after="0"/>
        <w:jc w:val="left"/>
        <w:rPr>
          <w:rFonts w:ascii="Times New Roman" w:hAnsi="Times New Roman"/>
          <w:b/>
          <w:i/>
          <w:sz w:val="20"/>
        </w:rPr>
      </w:pPr>
      <w:r>
        <w:rPr>
          <w:rFonts w:ascii="Times New Roman" w:hAnsi="Times New Roman"/>
          <w:b/>
          <w:i/>
          <w:sz w:val="20"/>
        </w:rPr>
        <w:t>Unaudited Interim Financial Information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accompanying balance sheet as of March 31, 2022, statements of operations for the three months ended March 31, 2022 and 2021, statements of stockholders’ equity for the three months ended March 31, 2022 and 2021 and statements of cash flows for the three months ended March 31, 2022 and 2021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March 31, 2022, its results of its operations for the three months ended March 31, 2022 and 2021, its changes in stockholders’ equity for the three months ended March 31, 2022 and 2021 and its cash flows for the three months ended March 31, 2022 and 2021. The financial data and other information disclosed in these notes related to the three months ended March 31, 2022 and 2021 are unaudited. The results for the three months ended March 31, 2022 are not indicative of results to be expected for the year ending December 31, 2022, any other interim periods or any future year or period. These unaudited financial statements should be read in conjunction with the audited financial statements and related footnotes, which are included in the Company’s Annual Report on Form 10-K for the year ended December 31, 2021.</w:t>
      </w:r>
    </w:p>
    <w:p>
      <w:pPr>
        <w:pStyle w:val="TextBody"/>
        <w:spacing w:lineRule="auto" w:line="273" w:before="240" w:after="0"/>
        <w:jc w:val="left"/>
        <w:rPr>
          <w:rFonts w:ascii="Times New Roman" w:hAnsi="Times New Roman"/>
          <w:b/>
          <w:i/>
          <w:sz w:val="20"/>
        </w:rPr>
      </w:pPr>
      <w:r>
        <w:rPr>
          <w:rFonts w:ascii="Times New Roman" w:hAnsi="Times New Roman"/>
          <w:b/>
          <w:i/>
          <w:sz w:val="20"/>
        </w:rPr>
        <w:t>Use of Estimates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pStyle w:val="TextBody"/>
        <w:spacing w:lineRule="auto" w:line="273" w:before="240" w:after="0"/>
        <w:jc w:val="both"/>
        <w:rPr>
          <w:rFonts w:ascii="Times New Roman" w:hAnsi="Times New Roman"/>
          <w:b/>
          <w:i/>
          <w:sz w:val="20"/>
        </w:rPr>
      </w:pPr>
      <w:r>
        <w:rPr>
          <w:rFonts w:ascii="Times New Roman" w:hAnsi="Times New Roman"/>
          <w:b/>
          <w:i/>
          <w:sz w:val="20"/>
        </w:rPr>
        <w:t>Effects of COVID-19</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COVID-19 pandemic is expected to continue to result in global economic uncertainty.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financial statements.</w:t>
      </w:r>
    </w:p>
    <w:p>
      <w:pPr>
        <w:pStyle w:val="TextBody"/>
        <w:spacing w:lineRule="auto" w:line="273" w:before="240" w:after="0"/>
        <w:jc w:val="left"/>
        <w:rPr>
          <w:rFonts w:ascii="Times New Roman" w:hAnsi="Times New Roman"/>
          <w:b/>
          <w:i/>
          <w:sz w:val="20"/>
        </w:rPr>
      </w:pPr>
      <w:r>
        <w:rPr>
          <w:rFonts w:ascii="Times New Roman" w:hAnsi="Times New Roman"/>
          <w:b/>
          <w:i/>
          <w:sz w:val="20"/>
        </w:rPr>
        <w:t>Revenue Recognition</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The Company recognizes revenue from its contracts with customers under Financial Accounting Standards Board (“FASB”) Accounting Standards Codification (“ASC”) Topic 606, </w:t>
      </w:r>
      <w:r>
        <w:rPr>
          <w:rFonts w:ascii="Times New Roman" w:hAnsi="Times New Roman"/>
          <w:b w:val="false"/>
          <w:i/>
          <w:sz w:val="20"/>
        </w:rPr>
        <w:t xml:space="preserve">Revenue from Contracts with Customers </w:t>
      </w:r>
      <w:r>
        <w:rPr>
          <w:rFonts w:ascii="Times New Roman" w:hAnsi="Times New Roman"/>
          <w:b w:val="false"/>
          <w:sz w:val="20"/>
        </w:rPr>
        <w:t>(“ASC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i/>
          <w:sz w:val="20"/>
        </w:rPr>
      </w:pPr>
      <w:r>
        <w:rPr>
          <w:rFonts w:ascii="Times New Roman" w:hAnsi="Times New Roman"/>
          <w:b/>
          <w:i/>
          <w:sz w:val="20"/>
        </w:rPr>
        <w:t>Research and Development Costs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Research and development costs are charged to expense as incurred and include: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employee-related expenses, including salaries, benefits, travel and share-based compensation expense for research and development personnel;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expenses incurred under agreements with contract research organizations, contract manufacturing organizations and consultants that conduct preclinical studies and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preclinical and clinical development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submitting regulatory approval applications for the Company’s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training physicians on the suprachoroidal injection procedure and educating and providing them with appropriate product candidate information;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technology and intellectual property licenses;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for the Company’s research and development facility;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depreciation expense for assets used in research and development activities.</w:t>
      </w:r>
    </w:p>
    <w:p>
      <w:pPr>
        <w:pStyle w:val="TextBody"/>
        <w:spacing w:lineRule="auto" w:line="273" w:before="120" w:after="0"/>
        <w:jc w:val="left"/>
        <w:rPr>
          <w:rFonts w:ascii="Times New Roman" w:hAnsi="Times New Roman"/>
          <w:sz w:val="20"/>
        </w:rPr>
      </w:pPr>
      <w:r>
        <w:rPr>
          <w:rFonts w:ascii="Times New Roman" w:hAnsi="Times New Roman"/>
          <w:b w:val="false"/>
          <w:sz w:val="20"/>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Share-Based Compensation</w:t>
      </w:r>
    </w:p>
    <w:p>
      <w:pPr>
        <w:pStyle w:val="TextBody"/>
        <w:spacing w:lineRule="auto" w:line="273" w:before="120" w:after="0"/>
        <w:jc w:val="left"/>
        <w:rPr>
          <w:rFonts w:ascii="Times New Roman" w:hAnsi="Times New Roman"/>
          <w:sz w:val="20"/>
        </w:rPr>
      </w:pPr>
      <w:r>
        <w:rPr>
          <w:rFonts w:ascii="Times New Roman" w:hAnsi="Times New Roman"/>
          <w:b w:val="false"/>
          <w:sz w:val="20"/>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All share-based compensation costs are recorded in general and administrative or research and development costs in the statements of operations based upon the recipient's underlying role within the Company.</w:t>
      </w:r>
    </w:p>
    <w:p>
      <w:pPr>
        <w:pStyle w:val="TextBody"/>
        <w:spacing w:lineRule="auto" w:line="273" w:before="240" w:after="0"/>
        <w:jc w:val="left"/>
        <w:rPr>
          <w:rFonts w:ascii="Times New Roman" w:hAnsi="Times New Roman"/>
          <w:b/>
          <w:i/>
          <w:sz w:val="20"/>
        </w:rPr>
      </w:pPr>
      <w:r>
        <w:rPr>
          <w:rFonts w:ascii="Times New Roman" w:hAnsi="Times New Roman"/>
          <w:b/>
          <w:i/>
          <w:sz w:val="20"/>
        </w:rPr>
        <w:t>Cash Equivalents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Cash equivalents consist of short-term, highly liquid investments with an original term of three months or less at the date of purchase.</w:t>
      </w:r>
    </w:p>
    <w:p>
      <w:pPr>
        <w:pStyle w:val="TextBody"/>
        <w:spacing w:lineRule="auto" w:line="273" w:before="240" w:after="0"/>
        <w:jc w:val="left"/>
        <w:rPr>
          <w:rFonts w:ascii="Times New Roman" w:hAnsi="Times New Roman"/>
          <w:b/>
          <w:i/>
          <w:sz w:val="20"/>
        </w:rPr>
      </w:pPr>
      <w:r>
        <w:rPr>
          <w:rFonts w:ascii="Times New Roman" w:hAnsi="Times New Roman"/>
          <w:b/>
          <w:i/>
          <w:sz w:val="20"/>
        </w:rPr>
        <w:t>Concentration of Credit Risk Arising From Cash Deposits in Excess of Insured Limits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maintains its cash in bank deposits that at times may exceed federally insured limits. The Company has not experienced any loss in such accounts. The Company believes it is not exposed to any significant risks with respect to its cash balances.</w:t>
      </w:r>
    </w:p>
    <w:p>
      <w:pPr>
        <w:pStyle w:val="TextBody"/>
        <w:spacing w:lineRule="auto" w:line="273" w:before="240" w:after="0"/>
        <w:jc w:val="left"/>
        <w:rPr/>
      </w:pPr>
      <w:r>
        <w:rPr/>
        <w:t> </w:t>
      </w:r>
    </w:p>
    <w:p>
      <w:pPr>
        <w:pStyle w:val="TextBody"/>
        <w:spacing w:lineRule="auto" w:line="273" w:before="120" w:after="0"/>
        <w:jc w:val="left"/>
        <w:rPr/>
      </w:pPr>
      <w:r>
        <w:rPr/>
        <w:t> </w:t>
      </w:r>
    </w:p>
    <w:p>
      <w:pPr>
        <w:pStyle w:val="TextBody"/>
        <w:spacing w:lineRule="auto" w:line="273" w:before="120" w:after="0"/>
        <w:jc w:val="left"/>
        <w:rPr/>
      </w:pPr>
      <w:r>
        <w:rPr/>
        <w:t> </w:t>
      </w:r>
    </w:p>
    <w:p>
      <w:pPr>
        <w:pStyle w:val="TextBody"/>
        <w:spacing w:lineRule="auto" w:line="273" w:before="12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3. Property and Equipment, Net</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Property and equipment, net consisted of the following (dollar amounts in thousands):</w:t>
      </w:r>
    </w:p>
    <w:tbl>
      <w:tblPr>
        <w:tblW w:w="6697" w:type="dxa"/>
        <w:jc w:val="left"/>
        <w:tblInd w:w="0" w:type="dxa"/>
        <w:tblCellMar>
          <w:top w:w="28" w:type="dxa"/>
          <w:left w:w="28" w:type="dxa"/>
          <w:bottom w:w="28" w:type="dxa"/>
          <w:right w:w="28" w:type="dxa"/>
        </w:tblCellMar>
      </w:tblPr>
      <w:tblGrid>
        <w:gridCol w:w="2731"/>
        <w:gridCol w:w="146"/>
        <w:gridCol w:w="1126"/>
        <w:gridCol w:w="146"/>
        <w:gridCol w:w="222"/>
        <w:gridCol w:w="663"/>
        <w:gridCol w:w="166"/>
        <w:gridCol w:w="146"/>
        <w:gridCol w:w="307"/>
        <w:gridCol w:w="833"/>
        <w:gridCol w:w="21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Estimated</w:t>
              <w:br/>
              <w:t>Useful Lives</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8"/>
              </w:rPr>
            </w:pPr>
            <w:r>
              <w:rPr>
                <w:rFonts w:ascii="Times New Roman" w:hAnsi="Times New Roman"/>
                <w:b/>
                <w:sz w:val="18"/>
              </w:rPr>
              <w:t>December</w:t>
            </w:r>
            <w:r>
              <w:rPr>
                <w:rFonts w:ascii="Times New Roman" w:hAnsi="Times New Roman"/>
                <w:sz w:val="18"/>
              </w:rPr>
              <w:t xml:space="preserve"> </w:t>
            </w:r>
            <w:r>
              <w:rPr>
                <w:rFonts w:ascii="Times New Roman" w:hAnsi="Times New Roman"/>
                <w:b/>
                <w:sz w:val="18"/>
              </w:rPr>
              <w:t>31,</w:t>
              <w:b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Machinery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Lesser of</w:t>
              <w:br/>
              <w:t>useful life</w:t>
            </w:r>
            <w:r>
              <w:rPr>
                <w:rFonts w:ascii="Times New Roman" w:hAnsi="Times New Roman"/>
                <w:sz w:val="20"/>
              </w:rPr>
              <w:t xml:space="preserve"> </w:t>
            </w:r>
            <w:r>
              <w:rPr>
                <w:rFonts w:ascii="Times New Roman" w:hAnsi="Times New Roman"/>
                <w:b w:val="false"/>
                <w:sz w:val="20"/>
              </w:rPr>
              <w:t>or</w:t>
              <w:br/>
              <w:t>remaining</w:t>
              <w:br/>
              <w:t>lease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Accumulated 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238</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4. Accrued Liabilities</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Accrued liabilities consisted of the following (in thousands):</w:t>
      </w:r>
    </w:p>
    <w:tbl>
      <w:tblPr>
        <w:tblW w:w="5610" w:type="dxa"/>
        <w:jc w:val="left"/>
        <w:tblInd w:w="0" w:type="dxa"/>
        <w:tblCellMar>
          <w:top w:w="28" w:type="dxa"/>
          <w:left w:w="28" w:type="dxa"/>
          <w:bottom w:w="28" w:type="dxa"/>
          <w:right w:w="28" w:type="dxa"/>
        </w:tblCellMar>
      </w:tblPr>
      <w:tblGrid>
        <w:gridCol w:w="2956"/>
        <w:gridCol w:w="146"/>
        <w:gridCol w:w="239"/>
        <w:gridCol w:w="646"/>
        <w:gridCol w:w="146"/>
        <w:gridCol w:w="146"/>
        <w:gridCol w:w="307"/>
        <w:gridCol w:w="833"/>
        <w:gridCol w:w="1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shd w:fill="auto" w:val="clear"/>
            <w:vAlign w:val="center"/>
          </w:tcPr>
          <w:p>
            <w:pPr>
              <w:pStyle w:val="TableContents"/>
              <w:spacing w:lineRule="auto" w:line="252" w:before="0" w:after="0"/>
              <w:ind w:left="0" w:right="0" w:hanging="0"/>
              <w:jc w:val="center"/>
              <w:rPr>
                <w:rFonts w:ascii="Times New Roman" w:hAnsi="Times New Roman"/>
                <w:sz w:val="18"/>
              </w:rPr>
            </w:pPr>
            <w:r>
              <w:rPr>
                <w:rFonts w:ascii="Times New Roman" w:hAnsi="Times New Roman"/>
                <w:b/>
                <w:sz w:val="18"/>
              </w:rPr>
              <w:t>December</w:t>
            </w:r>
            <w:r>
              <w:rPr>
                <w:rFonts w:ascii="Times New Roman" w:hAnsi="Times New Roman"/>
                <w:sz w:val="18"/>
              </w:rPr>
              <w:t xml:space="preserve"> </w:t>
            </w:r>
            <w:r>
              <w:rPr>
                <w:rFonts w:ascii="Times New Roman" w:hAnsi="Times New Roman"/>
                <w:b/>
                <w:sz w:val="18"/>
              </w:rPr>
              <w:t>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employee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2,171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3,312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120"/>
        <w:jc w:val="left"/>
        <w:rPr>
          <w:rFonts w:ascii="Times New Roman" w:hAnsi="Times New Roman"/>
          <w:sz w:val="20"/>
        </w:rPr>
      </w:pPr>
      <w:r>
        <w:rPr>
          <w:rFonts w:ascii="Times New Roman" w:hAnsi="Times New Roman"/>
          <w:b/>
          <w:sz w:val="20"/>
        </w:rPr>
        <w:t>5</w:t>
      </w:r>
      <w:r>
        <w:rPr>
          <w:rFonts w:ascii="Times New Roman" w:hAnsi="Times New Roman"/>
          <w:b w:val="false"/>
          <w:sz w:val="20"/>
        </w:rPr>
        <w:t xml:space="preserve">. </w:t>
      </w:r>
      <w:r>
        <w:rPr>
          <w:rFonts w:ascii="Times New Roman" w:hAnsi="Times New Roman"/>
          <w:b/>
          <w:sz w:val="20"/>
        </w:rPr>
        <w:t>CARES Act Paycheck Protection Program Loan</w:t>
      </w:r>
    </w:p>
    <w:p>
      <w:pPr>
        <w:pStyle w:val="TextBody"/>
        <w:spacing w:lineRule="auto" w:line="273" w:before="0" w:after="120"/>
        <w:jc w:val="left"/>
        <w:rPr>
          <w:rFonts w:ascii="Times New Roman" w:hAnsi="Times New Roman"/>
          <w:sz w:val="20"/>
        </w:rPr>
      </w:pPr>
      <w:r>
        <w:rPr>
          <w:rFonts w:ascii="Times New Roman" w:hAnsi="Times New Roman"/>
          <w:b w:val="false"/>
          <w:sz w:val="20"/>
        </w:rPr>
        <w:t>On April 20, 2020, the Company entered into a loan agreement with Silicon Valley Bank (the “PPP Lender”) under the terms of which the PPP Lender made a loan to the Company in an aggregate principal amount of $1.0</w:t>
      </w:r>
      <w:r>
        <w:rPr>
          <w:rFonts w:ascii="Times New Roman" w:hAnsi="Times New Roman"/>
          <w:sz w:val="20"/>
        </w:rPr>
        <w:t xml:space="preserve"> </w:t>
      </w:r>
      <w:r>
        <w:rPr>
          <w:rFonts w:ascii="Times New Roman" w:hAnsi="Times New Roman"/>
          <w:b w:val="false"/>
          <w:sz w:val="20"/>
        </w:rPr>
        <w:t>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pStyle w:val="TextBody"/>
        <w:spacing w:lineRule="auto" w:line="273" w:before="0" w:after="120"/>
        <w:jc w:val="left"/>
        <w:rPr>
          <w:rFonts w:ascii="Times New Roman" w:hAnsi="Times New Roman"/>
          <w:sz w:val="20"/>
        </w:rPr>
      </w:pPr>
      <w:r>
        <w:rPr>
          <w:rFonts w:ascii="Times New Roman" w:hAnsi="Times New Roman"/>
          <w:b w:val="false"/>
          <w:sz w:val="20"/>
        </w:rPr>
        <w:t>The CARES Act and the PPP provide a mechanism for forgiveness of up to the full amount borrowed. On January 11, 2021, the Company was notified by the PPP Lender that the PPP Loan had been forgiven in full, including approximately $7,000</w:t>
      </w:r>
      <w:r>
        <w:rPr>
          <w:rFonts w:ascii="Times New Roman" w:hAnsi="Times New Roman"/>
          <w:sz w:val="20"/>
        </w:rPr>
        <w:t xml:space="preserve"> </w:t>
      </w:r>
      <w:r>
        <w:rPr>
          <w:rFonts w:ascii="Times New Roman" w:hAnsi="Times New Roman"/>
          <w:b w:val="false"/>
          <w:sz w:val="20"/>
        </w:rPr>
        <w:t xml:space="preserve">of accrued interest. In accordance with ASC 405-20, </w:t>
      </w:r>
      <w:r>
        <w:rPr>
          <w:rFonts w:ascii="Times New Roman" w:hAnsi="Times New Roman"/>
          <w:b w:val="false"/>
          <w:i/>
          <w:sz w:val="20"/>
        </w:rPr>
        <w:t>Extinguishment of Liabilities</w:t>
      </w:r>
      <w:r>
        <w:rPr>
          <w:rFonts w:ascii="Times New Roman" w:hAnsi="Times New Roman"/>
          <w:b w:val="false"/>
          <w:sz w:val="20"/>
        </w:rPr>
        <w:t>, the income from the forgiveness of the amount borrowed and the accrued interest was recognized in the statement of operations in other income as a gain on extinguishment of debt.</w:t>
      </w:r>
    </w:p>
    <w:p>
      <w:pPr>
        <w:pStyle w:val="TextBody"/>
        <w:spacing w:lineRule="auto" w:line="273" w:before="240" w:after="0"/>
        <w:jc w:val="left"/>
        <w:rPr>
          <w:rFonts w:ascii="Times New Roman" w:hAnsi="Times New Roman"/>
          <w:b/>
          <w:sz w:val="20"/>
        </w:rPr>
      </w:pPr>
      <w:r>
        <w:rPr>
          <w:rFonts w:ascii="Times New Roman" w:hAnsi="Times New Roman"/>
          <w:b/>
          <w:sz w:val="20"/>
        </w:rPr>
        <w:t>6. Common Stock</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amended and restated certificate of incorporation authorizes the Company to issue 100,000,000</w:t>
      </w:r>
      <w:r>
        <w:rPr>
          <w:rFonts w:ascii="Times New Roman" w:hAnsi="Times New Roman"/>
          <w:sz w:val="20"/>
        </w:rPr>
        <w:t xml:space="preserve"> </w:t>
      </w:r>
      <w:r>
        <w:rPr>
          <w:rFonts w:ascii="Times New Roman" w:hAnsi="Times New Roman"/>
          <w:b w:val="false"/>
          <w:sz w:val="20"/>
        </w:rPr>
        <w:t>shares of $0.001</w:t>
      </w:r>
      <w:r>
        <w:rPr>
          <w:rFonts w:ascii="Times New Roman" w:hAnsi="Times New Roman"/>
          <w:sz w:val="20"/>
        </w:rPr>
        <w:t xml:space="preserve"> </w:t>
      </w:r>
      <w:r>
        <w:rPr>
          <w:rFonts w:ascii="Times New Roman" w:hAnsi="Times New Roman"/>
          <w:b w:val="false"/>
          <w:sz w:val="20"/>
        </w:rPr>
        <w:t>par value common stock. As of March 31, 2022 and December 31, 2021, there were 60,147,618</w:t>
      </w:r>
      <w:r>
        <w:rPr>
          <w:rFonts w:ascii="Times New Roman" w:hAnsi="Times New Roman"/>
          <w:sz w:val="20"/>
        </w:rPr>
        <w:t xml:space="preserve"> </w:t>
      </w:r>
      <w:r>
        <w:rPr>
          <w:rFonts w:ascii="Times New Roman" w:hAnsi="Times New Roman"/>
          <w:b w:val="false"/>
          <w:sz w:val="20"/>
        </w:rPr>
        <w:t>and 59,722,930</w:t>
      </w:r>
      <w:r>
        <w:rPr>
          <w:rFonts w:ascii="Times New Roman" w:hAnsi="Times New Roman"/>
          <w:sz w:val="20"/>
        </w:rPr>
        <w:t xml:space="preserve"> </w:t>
      </w:r>
      <w:r>
        <w:rPr>
          <w:rFonts w:ascii="Times New Roman" w:hAnsi="Times New Roman"/>
          <w:b w:val="false"/>
          <w:sz w:val="20"/>
        </w:rPr>
        <w:t>shares of common stock outstanding, respectively.</w:t>
      </w:r>
    </w:p>
    <w:p>
      <w:pPr>
        <w:pStyle w:val="TextBody"/>
        <w:spacing w:lineRule="auto" w:line="273" w:before="240" w:after="0"/>
        <w:jc w:val="left"/>
        <w:rPr>
          <w:rFonts w:ascii="Times New Roman" w:hAnsi="Times New Roman"/>
          <w:b/>
          <w:sz w:val="20"/>
        </w:rPr>
      </w:pPr>
      <w:r>
        <w:rPr>
          <w:rFonts w:ascii="Times New Roman" w:hAnsi="Times New Roman"/>
          <w:b/>
          <w:sz w:val="20"/>
        </w:rPr>
        <w:t>7. Stock Purchase Warrants</w:t>
      </w:r>
    </w:p>
    <w:p>
      <w:pPr>
        <w:pStyle w:val="TextBody"/>
        <w:spacing w:lineRule="auto" w:line="273" w:before="120" w:after="0"/>
        <w:jc w:val="left"/>
        <w:rPr>
          <w:rFonts w:ascii="Times New Roman" w:hAnsi="Times New Roman"/>
          <w:sz w:val="20"/>
        </w:rPr>
      </w:pPr>
      <w:r>
        <w:rPr>
          <w:rFonts w:ascii="Times New Roman" w:hAnsi="Times New Roman"/>
          <w:b w:val="false"/>
          <w:sz w:val="20"/>
        </w:rPr>
        <w:t>In September 2016, in connection with a loan agreement, the Company issued warrants to purchase up to 29,796</w:t>
      </w:r>
      <w:r>
        <w:rPr>
          <w:rFonts w:ascii="Times New Roman" w:hAnsi="Times New Roman"/>
          <w:sz w:val="20"/>
        </w:rPr>
        <w:t xml:space="preserve"> </w:t>
      </w:r>
      <w:r>
        <w:rPr>
          <w:rFonts w:ascii="Times New Roman" w:hAnsi="Times New Roman"/>
          <w:b w:val="false"/>
          <w:sz w:val="20"/>
        </w:rPr>
        <w:t>shares of common stock at a price per share of $10.74. The warrants expire in September 2026, or earlier upon the occurrence of specified mergers or acquisitions of the Company, and are immediately exercisable. The warrants were recorded in equity and had a weighted average remaining life of 4.5</w:t>
      </w:r>
      <w:r>
        <w:rPr>
          <w:rFonts w:ascii="Times New Roman" w:hAnsi="Times New Roman"/>
          <w:sz w:val="20"/>
        </w:rPr>
        <w:t xml:space="preserve"> </w:t>
      </w:r>
      <w:r>
        <w:rPr>
          <w:rFonts w:ascii="Times New Roman" w:hAnsi="Times New Roman"/>
          <w:b w:val="false"/>
          <w:sz w:val="20"/>
        </w:rPr>
        <w:t>years as of March 31, 2022.</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8. Share-Based Compensation</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Share-based compensation is accounted for in accordance with the provisions of ASC 718, </w:t>
      </w:r>
      <w:r>
        <w:rPr>
          <w:rFonts w:ascii="Times New Roman" w:hAnsi="Times New Roman"/>
          <w:b w:val="false"/>
          <w:i/>
          <w:sz w:val="20"/>
        </w:rPr>
        <w:t>Compensation-Stock Compensation</w:t>
      </w:r>
      <w:r>
        <w:rPr>
          <w:rFonts w:ascii="Times New Roman" w:hAnsi="Times New Roman"/>
          <w:b w:val="false"/>
          <w:sz w:val="20"/>
        </w:rPr>
        <w:t>.</w:t>
      </w:r>
      <w:r>
        <w:rPr>
          <w:rFonts w:ascii="Times New Roman" w:hAnsi="Times New Roman"/>
          <w:sz w:val="20"/>
        </w:rPr>
        <w:t xml:space="preserve"> </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Stock Options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Share-based compensation expense for options granted under the 2011 Plan and the 2016 Plan is reflected in the statements of operations as follows (in thousands):</w:t>
      </w:r>
    </w:p>
    <w:p>
      <w:pPr>
        <w:pStyle w:val="TextBody"/>
        <w:spacing w:lineRule="auto" w:line="273" w:before="0" w:after="0"/>
        <w:jc w:val="left"/>
        <w:rPr/>
      </w:pPr>
      <w:r>
        <w:rPr/>
        <w:t> </w:t>
      </w:r>
    </w:p>
    <w:tbl>
      <w:tblPr>
        <w:tblW w:w="4602" w:type="dxa"/>
        <w:jc w:val="left"/>
        <w:tblInd w:w="0" w:type="dxa"/>
        <w:tblCellMar>
          <w:top w:w="28" w:type="dxa"/>
          <w:left w:w="28" w:type="dxa"/>
          <w:bottom w:w="28" w:type="dxa"/>
          <w:right w:w="28" w:type="dxa"/>
        </w:tblCellMar>
      </w:tblPr>
      <w:tblGrid>
        <w:gridCol w:w="2311"/>
        <w:gridCol w:w="146"/>
        <w:gridCol w:w="238"/>
        <w:gridCol w:w="475"/>
        <w:gridCol w:w="164"/>
        <w:gridCol w:w="164"/>
        <w:gridCol w:w="238"/>
        <w:gridCol w:w="475"/>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1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402</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377</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514</w:t>
            </w:r>
          </w:p>
        </w:tc>
        <w:tc>
          <w:tcPr>
            <w:tcW w:w="1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916</w:t>
            </w:r>
          </w:p>
        </w:tc>
        <w:tc>
          <w:tcPr>
            <w:tcW w:w="1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summarizes the activity related to stock options during the three months ended March 31, 2022:</w:t>
      </w:r>
    </w:p>
    <w:p>
      <w:pPr>
        <w:pStyle w:val="TextBody"/>
        <w:spacing w:lineRule="auto" w:line="273" w:before="0" w:after="0"/>
        <w:jc w:val="left"/>
        <w:rPr/>
      </w:pPr>
      <w:r>
        <w:rPr/>
        <w:t> </w:t>
      </w:r>
    </w:p>
    <w:tbl>
      <w:tblPr>
        <w:tblW w:w="6762" w:type="dxa"/>
        <w:jc w:val="left"/>
        <w:tblInd w:w="0" w:type="dxa"/>
        <w:tblCellMar>
          <w:top w:w="28" w:type="dxa"/>
          <w:left w:w="28" w:type="dxa"/>
          <w:bottom w:w="28" w:type="dxa"/>
          <w:right w:w="28" w:type="dxa"/>
        </w:tblCellMar>
      </w:tblPr>
      <w:tblGrid>
        <w:gridCol w:w="3601"/>
        <w:gridCol w:w="146"/>
        <w:gridCol w:w="146"/>
        <w:gridCol w:w="931"/>
        <w:gridCol w:w="166"/>
        <w:gridCol w:w="146"/>
        <w:gridCol w:w="415"/>
        <w:gridCol w:w="920"/>
        <w:gridCol w:w="291"/>
      </w:tblGrid>
      <w:tr>
        <w:trPr/>
        <w:tc>
          <w:tcPr>
            <w:tcW w:w="3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3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w:t>
            </w:r>
          </w:p>
        </w:tc>
        <w:tc>
          <w:tcPr>
            <w:tcW w:w="291" w:type="dxa"/>
            <w:tcBorders/>
            <w:shd w:fill="auto" w:val="cle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 of</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3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Average</w:t>
            </w:r>
          </w:p>
        </w:tc>
        <w:tc>
          <w:tcPr>
            <w:tcW w:w="291" w:type="dxa"/>
            <w:tcBorders/>
            <w:shd w:fill="auto" w:val="cle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Exercise Price</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5,762,328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1,310,940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9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2.17</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(22,727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9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0.15</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920" w:type="dxa"/>
            <w:tcBorders/>
            <w:shd w:fill="auto" w:val="clear"/>
            <w:vAlign w:val="center"/>
          </w:tcPr>
          <w:p>
            <w:pPr>
              <w:pStyle w:val="TableContents"/>
              <w:spacing w:lineRule="auto" w:line="252" w:before="0" w:after="0"/>
              <w:ind w:left="0" w:right="0" w:hanging="0"/>
              <w:jc w:val="right"/>
              <w:rPr/>
            </w:pPr>
            <w:r>
              <w:rPr/>
              <w:t>—</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7,050,541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9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35" w:type="dxa"/>
            <w:gridSpan w:val="2"/>
            <w:tcBorders/>
            <w:shd w:fill="auto" w:val="clear"/>
            <w:vAlign w:val="center"/>
          </w:tcPr>
          <w:p>
            <w:pPr>
              <w:pStyle w:val="TableContents"/>
              <w:spacing w:lineRule="auto" w:line="252" w:before="0" w:after="0"/>
              <w:ind w:left="0" w:right="0" w:hanging="0"/>
              <w:jc w:val="left"/>
              <w:rPr/>
            </w:pPr>
            <w:r>
              <w:rPr/>
              <w:t> </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exercisable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3,148,502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9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35" w:type="dxa"/>
            <w:gridSpan w:val="2"/>
            <w:tcBorders/>
            <w:shd w:fill="auto" w:val="clear"/>
            <w:vAlign w:val="center"/>
          </w:tcPr>
          <w:p>
            <w:pPr>
              <w:pStyle w:val="TableContents"/>
              <w:spacing w:lineRule="auto" w:line="252" w:before="0" w:after="0"/>
              <w:ind w:left="0" w:right="0" w:hanging="0"/>
              <w:jc w:val="left"/>
              <w:rPr/>
            </w:pPr>
            <w:r>
              <w:rPr/>
              <w:t> </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exercisable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3,743,739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9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4.47</w:t>
            </w:r>
          </w:p>
        </w:tc>
        <w:tc>
          <w:tcPr>
            <w:tcW w:w="2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March 31, 2022, the Company had $6.9</w:t>
      </w:r>
      <w:r>
        <w:rPr>
          <w:rFonts w:ascii="Times New Roman" w:hAnsi="Times New Roman"/>
          <w:sz w:val="20"/>
        </w:rPr>
        <w:t xml:space="preserve"> </w:t>
      </w:r>
      <w:r>
        <w:rPr>
          <w:rFonts w:ascii="Times New Roman" w:hAnsi="Times New Roman"/>
          <w:b w:val="false"/>
          <w:sz w:val="20"/>
        </w:rPr>
        <w:t>million of unrecognized compensation expense related to unvested stock options, which is expected to be recognized over a weighted average period of 2.8</w:t>
      </w:r>
      <w:r>
        <w:rPr>
          <w:rFonts w:ascii="Times New Roman" w:hAnsi="Times New Roman"/>
          <w:sz w:val="20"/>
        </w:rPr>
        <w:t xml:space="preserve"> </w:t>
      </w:r>
      <w:r>
        <w:rPr>
          <w:rFonts w:ascii="Times New Roman" w:hAnsi="Times New Roman"/>
          <w:b w:val="false"/>
          <w:sz w:val="20"/>
        </w:rPr>
        <w:t>years.</w:t>
      </w:r>
      <w:r>
        <w:rPr>
          <w:rFonts w:ascii="Times New Roman" w:hAnsi="Times New Roman"/>
          <w:sz w:val="20"/>
        </w:rPr>
        <w:t xml:space="preserve"> </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Restricted Stock Units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has granted restricted stock units (“RSUs”) to employees from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total share-based compensation expense related to RSUs is reflected in the statements of operations as follows (in thousands):</w:t>
      </w:r>
    </w:p>
    <w:p>
      <w:pPr>
        <w:pStyle w:val="TextBody"/>
        <w:spacing w:lineRule="auto" w:line="273" w:before="0" w:after="0"/>
        <w:jc w:val="left"/>
        <w:rPr/>
      </w:pPr>
      <w:r>
        <w:rPr/>
        <w:t> </w:t>
      </w:r>
    </w:p>
    <w:tbl>
      <w:tblPr>
        <w:tblW w:w="4602" w:type="dxa"/>
        <w:jc w:val="left"/>
        <w:tblInd w:w="0" w:type="dxa"/>
        <w:tblCellMar>
          <w:top w:w="28" w:type="dxa"/>
          <w:left w:w="28" w:type="dxa"/>
          <w:bottom w:w="28" w:type="dxa"/>
          <w:right w:w="28" w:type="dxa"/>
        </w:tblCellMar>
      </w:tblPr>
      <w:tblGrid>
        <w:gridCol w:w="2311"/>
        <w:gridCol w:w="146"/>
        <w:gridCol w:w="238"/>
        <w:gridCol w:w="475"/>
        <w:gridCol w:w="164"/>
        <w:gridCol w:w="164"/>
        <w:gridCol w:w="238"/>
        <w:gridCol w:w="475"/>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1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197</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w:t>
            </w:r>
          </w:p>
        </w:tc>
        <w:tc>
          <w:tcPr>
            <w:tcW w:w="1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383</w:t>
            </w:r>
          </w:p>
        </w:tc>
        <w:tc>
          <w:tcPr>
            <w:tcW w:w="1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summarizes the activity related to RSUs during the three months ended March 31, 2022:</w:t>
      </w:r>
    </w:p>
    <w:p>
      <w:pPr>
        <w:pStyle w:val="TextBody"/>
        <w:spacing w:lineRule="auto" w:line="273" w:before="0" w:after="0"/>
        <w:jc w:val="left"/>
        <w:rPr/>
      </w:pPr>
      <w:r>
        <w:rPr/>
        <w:t> </w:t>
      </w:r>
    </w:p>
    <w:tbl>
      <w:tblPr>
        <w:tblW w:w="7887" w:type="dxa"/>
        <w:jc w:val="left"/>
        <w:tblInd w:w="0" w:type="dxa"/>
        <w:tblCellMar>
          <w:top w:w="28" w:type="dxa"/>
          <w:left w:w="28" w:type="dxa"/>
          <w:bottom w:w="28" w:type="dxa"/>
          <w:right w:w="28" w:type="dxa"/>
        </w:tblCellMar>
      </w:tblPr>
      <w:tblGrid>
        <w:gridCol w:w="4381"/>
        <w:gridCol w:w="146"/>
        <w:gridCol w:w="146"/>
        <w:gridCol w:w="931"/>
        <w:gridCol w:w="166"/>
        <w:gridCol w:w="146"/>
        <w:gridCol w:w="523"/>
        <w:gridCol w:w="1157"/>
        <w:gridCol w:w="29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 Average</w:t>
            </w:r>
          </w:p>
        </w:tc>
        <w:tc>
          <w:tcPr>
            <w:tcW w:w="291" w:type="dxa"/>
            <w:tcBorders/>
            <w:shd w:fill="auto" w:val="cle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 of</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Grant Date</w:t>
            </w:r>
          </w:p>
        </w:tc>
        <w:tc>
          <w:tcPr>
            <w:tcW w:w="291" w:type="dxa"/>
            <w:tcBorders/>
            <w:shd w:fill="auto" w:val="cle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RSUs 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1,317,347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3.58</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438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648,460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3" w:type="dxa"/>
            <w:tcBorders/>
            <w:shd w:fill="auto" w:val="clear"/>
            <w:vAlign w:val="center"/>
          </w:tcPr>
          <w:p>
            <w:pPr>
              <w:pStyle w:val="TableContents"/>
              <w:spacing w:lineRule="auto" w:line="252" w:before="0" w:after="0"/>
              <w:ind w:left="0" w:right="0" w:hanging="0"/>
              <w:jc w:val="left"/>
              <w:rPr/>
            </w:pPr>
            <w:r>
              <w:rPr/>
              <w:t> </w:t>
            </w:r>
          </w:p>
        </w:tc>
        <w:tc>
          <w:tcPr>
            <w:tcW w:w="11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438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(375,331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3" w:type="dxa"/>
            <w:tcBorders/>
            <w:shd w:fill="auto" w:val="clear"/>
            <w:vAlign w:val="center"/>
          </w:tcPr>
          <w:p>
            <w:pPr>
              <w:pStyle w:val="TableContents"/>
              <w:spacing w:lineRule="auto" w:line="252" w:before="0" w:after="0"/>
              <w:ind w:left="0" w:right="0" w:hanging="0"/>
              <w:jc w:val="left"/>
              <w:rPr/>
            </w:pPr>
            <w:r>
              <w:rPr/>
              <w:t> </w:t>
            </w:r>
          </w:p>
        </w:tc>
        <w:tc>
          <w:tcPr>
            <w:tcW w:w="11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3.44</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RSUs 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1,590,476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3" w:type="dxa"/>
            <w:tcBorders/>
            <w:shd w:fill="auto" w:val="clear"/>
            <w:vAlign w:val="center"/>
          </w:tcPr>
          <w:p>
            <w:pPr>
              <w:pStyle w:val="TableContents"/>
              <w:spacing w:lineRule="auto" w:line="252" w:before="0" w:after="0"/>
              <w:ind w:left="0" w:right="0" w:hanging="0"/>
              <w:jc w:val="left"/>
              <w:rPr/>
            </w:pPr>
            <w:r>
              <w:rPr/>
              <w:t> </w:t>
            </w:r>
          </w:p>
        </w:tc>
        <w:tc>
          <w:tcPr>
            <w:tcW w:w="11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3.04</w:t>
            </w:r>
          </w:p>
        </w:tc>
        <w:tc>
          <w:tcPr>
            <w:tcW w:w="2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March 31, 2022, the Company had $4.5</w:t>
      </w:r>
      <w:r>
        <w:rPr>
          <w:rFonts w:ascii="Times New Roman" w:hAnsi="Times New Roman"/>
          <w:sz w:val="20"/>
        </w:rPr>
        <w:t xml:space="preserve"> </w:t>
      </w:r>
      <w:r>
        <w:rPr>
          <w:rFonts w:ascii="Times New Roman" w:hAnsi="Times New Roman"/>
          <w:b w:val="false"/>
          <w:sz w:val="20"/>
        </w:rPr>
        <w:t>million of unrecognized compensation expense related to the RSUs which is expected to be recognized over a weighted average period of 3.0</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Employee Stock Purchase Plan</w:t>
      </w:r>
    </w:p>
    <w:p>
      <w:pPr>
        <w:pStyle w:val="TextBody"/>
        <w:spacing w:lineRule="auto" w:line="273" w:before="120" w:after="0"/>
        <w:jc w:val="left"/>
        <w:rPr>
          <w:rFonts w:ascii="Times New Roman" w:hAnsi="Times New Roman"/>
          <w:sz w:val="20"/>
        </w:rPr>
      </w:pPr>
      <w:r>
        <w:rPr>
          <w:rFonts w:ascii="Times New Roman" w:hAnsi="Times New Roman"/>
          <w:b w:val="false"/>
          <w:sz w:val="20"/>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share-based compensation expense recognized for the 2016 ESPP is reflected in the statements of operations and comprehensive loss as follows (in thousands):</w:t>
      </w:r>
      <w:r>
        <w:rPr>
          <w:rFonts w:ascii="Times New Roman" w:hAnsi="Times New Roman"/>
          <w:sz w:val="20"/>
        </w:rPr>
        <w:t xml:space="preserve"> </w:t>
      </w:r>
    </w:p>
    <w:p>
      <w:pPr>
        <w:pStyle w:val="TextBody"/>
        <w:spacing w:lineRule="auto" w:line="273" w:before="0" w:after="0"/>
        <w:jc w:val="left"/>
        <w:rPr/>
      </w:pPr>
      <w:r>
        <w:rPr/>
        <w:t> </w:t>
      </w:r>
    </w:p>
    <w:tbl>
      <w:tblPr>
        <w:tblW w:w="4601" w:type="dxa"/>
        <w:jc w:val="left"/>
        <w:tblInd w:w="0" w:type="dxa"/>
        <w:tblCellMar>
          <w:top w:w="28" w:type="dxa"/>
          <w:left w:w="28" w:type="dxa"/>
          <w:bottom w:w="28" w:type="dxa"/>
          <w:right w:w="28" w:type="dxa"/>
        </w:tblCellMar>
      </w:tblPr>
      <w:tblGrid>
        <w:gridCol w:w="2311"/>
        <w:gridCol w:w="146"/>
        <w:gridCol w:w="298"/>
        <w:gridCol w:w="298"/>
        <w:gridCol w:w="206"/>
        <w:gridCol w:w="206"/>
        <w:gridCol w:w="298"/>
        <w:gridCol w:w="447"/>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06" w:type="dxa"/>
            <w:tcBorders/>
            <w:shd w:fill="auto" w:val="clear"/>
            <w:vAlign w:val="center"/>
          </w:tcPr>
          <w:p>
            <w:pPr>
              <w:pStyle w:val="TableContents"/>
              <w:spacing w:lineRule="auto" w:line="252" w:before="0" w:after="0"/>
              <w:ind w:left="0" w:right="0" w:hanging="0"/>
              <w:jc w:val="left"/>
              <w:rPr/>
            </w:pPr>
            <w:r>
              <w:rPr/>
              <w:t> </w:t>
            </w:r>
          </w:p>
        </w:tc>
        <w:tc>
          <w:tcPr>
            <w:tcW w:w="7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206" w:type="dxa"/>
            <w:tcBorders/>
            <w:shd w:fill="auto" w:val="clear"/>
            <w:vAlign w:val="center"/>
          </w:tcPr>
          <w:p>
            <w:pPr>
              <w:pStyle w:val="TableContents"/>
              <w:spacing w:lineRule="auto" w:line="252" w:before="0" w:after="0"/>
              <w:ind w:left="0" w:right="0" w:hanging="0"/>
              <w:jc w:val="left"/>
              <w:rPr/>
            </w:pPr>
            <w:r>
              <w:rPr/>
              <w:t> </w:t>
            </w:r>
          </w:p>
        </w:tc>
        <w:tc>
          <w:tcPr>
            <w:tcW w:w="206" w:type="dxa"/>
            <w:tcBorders/>
            <w:shd w:fill="auto" w:val="clear"/>
            <w:vAlign w:val="center"/>
          </w:tcPr>
          <w:p>
            <w:pPr>
              <w:pStyle w:val="TableContents"/>
              <w:spacing w:lineRule="auto" w:line="252" w:before="0" w:after="0"/>
              <w:ind w:left="0" w:right="0" w:hanging="0"/>
              <w:jc w:val="left"/>
              <w:rPr/>
            </w:pPr>
            <w:r>
              <w:rPr/>
              <w:t> </w:t>
            </w:r>
          </w:p>
        </w:tc>
        <w:tc>
          <w:tcPr>
            <w:tcW w:w="2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4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three months ended March 31, 2022, the Company issued 26,630</w:t>
      </w:r>
      <w:r>
        <w:rPr>
          <w:rFonts w:ascii="Times New Roman" w:hAnsi="Times New Roman"/>
          <w:sz w:val="20"/>
        </w:rPr>
        <w:t xml:space="preserve"> </w:t>
      </w:r>
      <w:r>
        <w:rPr>
          <w:rFonts w:ascii="Times New Roman" w:hAnsi="Times New Roman"/>
          <w:b w:val="false"/>
          <w:sz w:val="20"/>
        </w:rPr>
        <w:t>shares of common stock purchased under the 2016 ESPP.</w:t>
      </w:r>
    </w:p>
    <w:p>
      <w:pPr>
        <w:pStyle w:val="TextBody"/>
        <w:spacing w:lineRule="auto" w:line="273" w:before="360" w:after="0"/>
        <w:jc w:val="left"/>
        <w:rPr>
          <w:rFonts w:ascii="Times New Roman" w:hAnsi="Times New Roman"/>
          <w:b/>
          <w:sz w:val="20"/>
        </w:rPr>
      </w:pPr>
      <w:r>
        <w:rPr>
          <w:rFonts w:ascii="Times New Roman" w:hAnsi="Times New Roman"/>
          <w:b/>
          <w:sz w:val="20"/>
        </w:rPr>
        <w:t>9. Commitments and Contingencies</w:t>
      </w:r>
    </w:p>
    <w:p>
      <w:pPr>
        <w:pStyle w:val="TextBody"/>
        <w:spacing w:lineRule="auto" w:line="273" w:before="120" w:after="0"/>
        <w:jc w:val="left"/>
        <w:rPr>
          <w:rFonts w:ascii="Times New Roman" w:hAnsi="Times New Roman"/>
          <w:b/>
          <w:i/>
          <w:sz w:val="20"/>
        </w:rPr>
      </w:pPr>
      <w:r>
        <w:rPr>
          <w:rFonts w:ascii="Times New Roman" w:hAnsi="Times New Roman"/>
          <w:b/>
          <w:i/>
          <w:sz w:val="20"/>
        </w:rPr>
        <w:t>Lease Commitment Summary</w:t>
      </w:r>
    </w:p>
    <w:p>
      <w:pPr>
        <w:pStyle w:val="TextBody"/>
        <w:spacing w:lineRule="auto" w:line="273" w:before="120" w:after="0"/>
        <w:jc w:val="left"/>
        <w:rPr>
          <w:rFonts w:ascii="Times New Roman" w:hAnsi="Times New Roman"/>
          <w:sz w:val="20"/>
        </w:rPr>
      </w:pPr>
      <w:r>
        <w:rPr>
          <w:rFonts w:ascii="Times New Roman" w:hAnsi="Times New Roman"/>
          <w:b w:val="false"/>
          <w:sz w:val="20"/>
        </w:rPr>
        <w:t>In November 2016, the Company signed an office lease agreement to lease approximately 20,000</w:t>
      </w:r>
      <w:r>
        <w:rPr>
          <w:rFonts w:ascii="Times New Roman" w:hAnsi="Times New Roman"/>
          <w:sz w:val="20"/>
        </w:rPr>
        <w:t xml:space="preserve"> </w:t>
      </w:r>
      <w:r>
        <w:rPr>
          <w:rFonts w:ascii="Times New Roman" w:hAnsi="Times New Roman"/>
          <w:b w:val="false"/>
          <w:sz w:val="20"/>
        </w:rPr>
        <w:t>square feet of office space in Alpharetta, Georgia for its corporate headquarters. The lease agreement is for a 6.5</w:t>
      </w:r>
      <w:r>
        <w:rPr>
          <w:rFonts w:ascii="Times New Roman" w:hAnsi="Times New Roman"/>
          <w:sz w:val="20"/>
        </w:rPr>
        <w:t xml:space="preserve"> </w:t>
      </w:r>
      <w:r>
        <w:rPr>
          <w:rFonts w:ascii="Times New Roman" w:hAnsi="Times New Roman"/>
          <w:b w:val="false"/>
          <w:sz w:val="20"/>
        </w:rPr>
        <w:t>year term with a renewal option for one additional five-year</w:t>
      </w:r>
      <w:r>
        <w:rPr>
          <w:rFonts w:ascii="Times New Roman" w:hAnsi="Times New Roman"/>
          <w:sz w:val="20"/>
        </w:rPr>
        <w:t xml:space="preserve"> </w:t>
      </w:r>
      <w:r>
        <w:rPr>
          <w:rFonts w:ascii="Times New Roman" w:hAnsi="Times New Roman"/>
          <w:b w:val="false"/>
          <w:sz w:val="20"/>
        </w:rPr>
        <w:t>term. Rental payments are $35,145</w:t>
      </w:r>
      <w:r>
        <w:rPr>
          <w:rFonts w:ascii="Times New Roman" w:hAnsi="Times New Roman"/>
          <w:sz w:val="20"/>
        </w:rPr>
        <w:t xml:space="preserve"> </w:t>
      </w:r>
      <w:r>
        <w:rPr>
          <w:rFonts w:ascii="Times New Roman" w:hAnsi="Times New Roman"/>
          <w:b w:val="false"/>
          <w:sz w:val="20"/>
        </w:rPr>
        <w:t>per month subject to an increase of 3% per year. Rent expense under this lease is recognized on a straight-line basis over the term of the lease. In addition, the lease agreement requires payment of the pro-rata share of the annual operating expenses associated with the premises.</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The Company’s operating leases included on the balance sheet are as follows (in thousands):</w:t>
      </w:r>
    </w:p>
    <w:tbl>
      <w:tblPr>
        <w:tblW w:w="5403" w:type="dxa"/>
        <w:jc w:val="left"/>
        <w:tblInd w:w="0" w:type="dxa"/>
        <w:tblCellMar>
          <w:top w:w="28" w:type="dxa"/>
          <w:left w:w="28" w:type="dxa"/>
          <w:bottom w:w="28" w:type="dxa"/>
          <w:right w:w="28" w:type="dxa"/>
        </w:tblCellMar>
      </w:tblPr>
      <w:tblGrid>
        <w:gridCol w:w="3691"/>
        <w:gridCol w:w="146"/>
        <w:gridCol w:w="324"/>
        <w:gridCol w:w="651"/>
        <w:gridCol w:w="5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324</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36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Current portion of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391</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36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36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591</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w:t>
      </w:r>
      <w:r>
        <w:rPr>
          <w:rFonts w:ascii="Times New Roman" w:hAnsi="Times New Roman"/>
          <w:sz w:val="20"/>
        </w:rPr>
        <w:t xml:space="preserve"> </w:t>
      </w:r>
      <w:r>
        <w:rPr>
          <w:rFonts w:ascii="Times New Roman" w:hAnsi="Times New Roman"/>
          <w:b w:val="false"/>
          <w:sz w:val="20"/>
        </w:rPr>
        <w:t>The present value of the lease payments is calculated using an incremental borrowing rate as the Company’s leases do not provide an implicit interest rate. At March 31, 2022, the Company’s weighted average discount rate was 11.0% and the weighted average lease term was 1.5</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Minimum lease payments were as follows at March 31, 2022 (in thousands):</w:t>
      </w:r>
    </w:p>
    <w:p>
      <w:pPr>
        <w:pStyle w:val="TextBody"/>
        <w:spacing w:lineRule="auto" w:line="273" w:before="0" w:after="0"/>
        <w:jc w:val="left"/>
        <w:rPr/>
      </w:pPr>
      <w:r>
        <w:rPr/>
        <w:t> </w:t>
      </w:r>
    </w:p>
    <w:tbl>
      <w:tblPr>
        <w:tblW w:w="3945" w:type="dxa"/>
        <w:jc w:val="left"/>
        <w:tblInd w:w="0" w:type="dxa"/>
        <w:tblCellMar>
          <w:top w:w="28" w:type="dxa"/>
          <w:left w:w="28" w:type="dxa"/>
          <w:bottom w:w="28" w:type="dxa"/>
          <w:right w:w="28" w:type="dxa"/>
        </w:tblCellMar>
      </w:tblPr>
      <w:tblGrid>
        <w:gridCol w:w="2656"/>
        <w:gridCol w:w="146"/>
        <w:gridCol w:w="211"/>
        <w:gridCol w:w="421"/>
        <w:gridCol w:w="511"/>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Year Ending December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shd w:fill="auto" w:val="clear"/>
            <w:vAlign w:val="center"/>
          </w:tcPr>
          <w:p>
            <w:pPr>
              <w:pStyle w:val="TableContents"/>
              <w:spacing w:lineRule="auto" w:line="252" w:before="0" w:after="0"/>
              <w:ind w:left="0" w:right="0" w:hanging="0"/>
              <w:jc w:val="right"/>
              <w:rPr/>
            </w:pPr>
            <w:r>
              <w:rPr/>
              <w:t> </w:t>
            </w:r>
          </w:p>
        </w:tc>
        <w:tc>
          <w:tcPr>
            <w:tcW w:w="511" w:type="dxa"/>
            <w:tcBorders/>
            <w:shd w:fill="auto" w:val="clear"/>
            <w:vAlign w:val="center"/>
          </w:tcPr>
          <w:p>
            <w:pPr>
              <w:pStyle w:val="TableContents"/>
              <w:spacing w:lineRule="auto" w:line="252" w:before="0" w:after="0"/>
              <w:ind w:left="0" w:right="0" w:hanging="0"/>
              <w:jc w:val="right"/>
              <w:rPr/>
            </w:pPr>
            <w:r>
              <w:rPr/>
              <w:t> </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6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minimum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624</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26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Less imputed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300"/>
              <w:jc w:val="left"/>
              <w:rPr>
                <w:rFonts w:ascii="Times New Roman" w:hAnsi="Times New Roman"/>
                <w:b w:val="false"/>
                <w:sz w:val="20"/>
              </w:rPr>
            </w:pPr>
            <w:r>
              <w:rPr>
                <w:rFonts w:ascii="Times New Roman" w:hAnsi="Times New Roman"/>
                <w:b w:val="false"/>
                <w:sz w:val="20"/>
              </w:rPr>
              <w:t>)</w:t>
            </w:r>
          </w:p>
        </w:tc>
      </w:tr>
      <w:tr>
        <w:trPr/>
        <w:tc>
          <w:tcPr>
            <w:tcW w:w="2656"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Total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591</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Equipment leases with an initial term of 12 months or less are not recorded with operating lease liabilities. The Company recognizes expense for these leases on a straight-line basis over the lease term. The equipment leases were deemed to be immaterial.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Operating lease cost was $62,000</w:t>
      </w:r>
      <w:r>
        <w:rPr>
          <w:rFonts w:ascii="Times New Roman" w:hAnsi="Times New Roman"/>
          <w:sz w:val="20"/>
        </w:rPr>
        <w:t xml:space="preserve"> </w:t>
      </w:r>
      <w:r>
        <w:rPr>
          <w:rFonts w:ascii="Times New Roman" w:hAnsi="Times New Roman"/>
          <w:b w:val="false"/>
          <w:sz w:val="20"/>
        </w:rPr>
        <w:t>for each of the three months ended March 31, 2022 and 2021. Variable lease cost was $24,000</w:t>
      </w:r>
      <w:r>
        <w:rPr>
          <w:rFonts w:ascii="Times New Roman" w:hAnsi="Times New Roman"/>
          <w:sz w:val="20"/>
        </w:rPr>
        <w:t xml:space="preserve"> </w:t>
      </w:r>
      <w:r>
        <w:rPr>
          <w:rFonts w:ascii="Times New Roman" w:hAnsi="Times New Roman"/>
          <w:b w:val="false"/>
          <w:sz w:val="20"/>
        </w:rPr>
        <w:t>for each of the three months ended March 31, 2022 and 2021. Short-term lease cost was $21,000</w:t>
      </w:r>
      <w:r>
        <w:rPr>
          <w:rFonts w:ascii="Times New Roman" w:hAnsi="Times New Roman"/>
          <w:sz w:val="20"/>
        </w:rPr>
        <w:t xml:space="preserve"> </w:t>
      </w:r>
      <w:r>
        <w:rPr>
          <w:rFonts w:ascii="Times New Roman" w:hAnsi="Times New Roman"/>
          <w:b w:val="false"/>
          <w:sz w:val="20"/>
        </w:rPr>
        <w:t>and $2,000</w:t>
      </w:r>
      <w:r>
        <w:rPr>
          <w:rFonts w:ascii="Times New Roman" w:hAnsi="Times New Roman"/>
          <w:sz w:val="20"/>
        </w:rPr>
        <w:t xml:space="preserve"> </w:t>
      </w:r>
      <w:r>
        <w:rPr>
          <w:rFonts w:ascii="Times New Roman" w:hAnsi="Times New Roman"/>
          <w:b w:val="false"/>
          <w:sz w:val="20"/>
        </w:rPr>
        <w:t>for the three months ended March 31, 2022 and 2021. Cash payments included in operating activities on the statement of cash flows for operating lease liabilities were $99,000</w:t>
      </w:r>
      <w:r>
        <w:rPr>
          <w:rFonts w:ascii="Times New Roman" w:hAnsi="Times New Roman"/>
          <w:sz w:val="20"/>
        </w:rPr>
        <w:t xml:space="preserve"> </w:t>
      </w:r>
      <w:r>
        <w:rPr>
          <w:rFonts w:ascii="Times New Roman" w:hAnsi="Times New Roman"/>
          <w:b w:val="false"/>
          <w:sz w:val="20"/>
        </w:rPr>
        <w:t>and $95,000</w:t>
      </w:r>
      <w:r>
        <w:rPr>
          <w:rFonts w:ascii="Times New Roman" w:hAnsi="Times New Roman"/>
          <w:sz w:val="20"/>
        </w:rPr>
        <w:t xml:space="preserve"> </w:t>
      </w:r>
      <w:r>
        <w:rPr>
          <w:rFonts w:ascii="Times New Roman" w:hAnsi="Times New Roman"/>
          <w:b w:val="false"/>
          <w:sz w:val="20"/>
        </w:rPr>
        <w:t>for the three months ended March 31, 2022 and 2021, respectively.</w:t>
      </w:r>
    </w:p>
    <w:p>
      <w:pPr>
        <w:pStyle w:val="TextBody"/>
        <w:spacing w:lineRule="auto" w:line="273" w:before="240" w:after="0"/>
        <w:jc w:val="left"/>
        <w:rPr>
          <w:rFonts w:ascii="Times New Roman" w:hAnsi="Times New Roman"/>
          <w:b/>
          <w:i/>
          <w:sz w:val="20"/>
        </w:rPr>
      </w:pPr>
      <w:r>
        <w:rPr>
          <w:rFonts w:ascii="Times New Roman" w:hAnsi="Times New Roman"/>
          <w:b/>
          <w:i/>
          <w:sz w:val="20"/>
        </w:rPr>
        <w:t>Contract Service Providers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pStyle w:val="TextBody"/>
        <w:spacing w:lineRule="auto" w:line="273" w:before="360" w:after="0"/>
        <w:jc w:val="left"/>
        <w:rPr>
          <w:rFonts w:ascii="Times New Roman" w:hAnsi="Times New Roman"/>
          <w:b/>
          <w:sz w:val="20"/>
        </w:rPr>
      </w:pPr>
      <w:r>
        <w:rPr>
          <w:rFonts w:ascii="Times New Roman" w:hAnsi="Times New Roman"/>
          <w:b/>
          <w:sz w:val="20"/>
        </w:rPr>
        <w:t>10. License and Other Agreements</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Bausch + Lomb</w:t>
      </w:r>
    </w:p>
    <w:p>
      <w:pPr>
        <w:pStyle w:val="TextBody"/>
        <w:spacing w:lineRule="auto" w:line="273" w:before="120" w:after="0"/>
        <w:jc w:val="left"/>
        <w:rPr>
          <w:rFonts w:ascii="Times New Roman" w:hAnsi="Times New Roman"/>
          <w:sz w:val="20"/>
        </w:rPr>
      </w:pPr>
      <w:r>
        <w:rPr>
          <w:rFonts w:ascii="Times New Roman" w:hAnsi="Times New Roman"/>
          <w:b w:val="false"/>
          <w:sz w:val="20"/>
        </w:rPr>
        <w:t>On October 22, 2019, the Company entered into a License Agreement (as amended, the "Bausch License Agreement”) with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(“Other Products,” and together with XIPERE, the “Products”), subject to specified exceptions, in the United States and Canada (the “Territory”) for the treatment of ophthalmology indications, including non-infectious uveitis.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Pursuant to the Bausch License Agreement, Bausch paid the Company an upfront payment of $5.0</w:t>
      </w:r>
      <w:r>
        <w:rPr>
          <w:rFonts w:ascii="Times New Roman" w:hAnsi="Times New Roman"/>
          <w:sz w:val="20"/>
        </w:rPr>
        <w:t xml:space="preserve"> </w:t>
      </w:r>
      <w:r>
        <w:rPr>
          <w:rFonts w:ascii="Times New Roman" w:hAnsi="Times New Roman"/>
          <w:b w:val="false"/>
          <w:sz w:val="20"/>
        </w:rPr>
        <w:t>million in October 2019. In October 2021, the FDA approved XIPERE. The Company received</w:t>
      </w:r>
      <w:r>
        <w:rPr>
          <w:rFonts w:ascii="Times New Roman" w:hAnsi="Times New Roman"/>
          <w:sz w:val="20"/>
        </w:rPr>
        <w:t xml:space="preserve"> </w:t>
      </w:r>
      <w:r>
        <w:rPr>
          <w:rFonts w:ascii="Times New Roman" w:hAnsi="Times New Roman"/>
          <w:b w:val="false"/>
          <w:sz w:val="20"/>
        </w:rPr>
        <w:t>$5.0</w:t>
      </w:r>
      <w:r>
        <w:rPr>
          <w:rFonts w:ascii="Times New Roman" w:hAnsi="Times New Roman"/>
          <w:sz w:val="20"/>
        </w:rPr>
        <w:t xml:space="preserve"> </w:t>
      </w:r>
      <w:r>
        <w:rPr>
          <w:rFonts w:ascii="Times New Roman" w:hAnsi="Times New Roman"/>
          <w:b w:val="false"/>
          <w:sz w:val="20"/>
        </w:rPr>
        <w:t>million from Bausch as a result of the approval. In December 2021, $10.0</w:t>
      </w:r>
      <w:r>
        <w:rPr>
          <w:rFonts w:ascii="Times New Roman" w:hAnsi="Times New Roman"/>
          <w:sz w:val="20"/>
        </w:rPr>
        <w:t xml:space="preserve"> </w:t>
      </w:r>
      <w:r>
        <w:rPr>
          <w:rFonts w:ascii="Times New Roman" w:hAnsi="Times New Roman"/>
          <w:b w:val="false"/>
          <w:sz w:val="20"/>
        </w:rPr>
        <w:t>million was recorded upon completion of pre-launch activities for XIPERE and payment was received in January 2022. In addition, Bausch has agreed to pay up to an aggregate of $55.0</w:t>
      </w:r>
      <w:r>
        <w:rPr>
          <w:rFonts w:ascii="Times New Roman" w:hAnsi="Times New Roman"/>
          <w:sz w:val="20"/>
        </w:rPr>
        <w:t xml:space="preserve"> </w:t>
      </w:r>
      <w:r>
        <w:rPr>
          <w:rFonts w:ascii="Times New Roman" w:hAnsi="Times New Roman"/>
          <w:b w:val="false"/>
          <w:sz w:val="20"/>
        </w:rPr>
        <w:t>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w:t>
      </w:r>
      <w:r>
        <w:rPr>
          <w:rFonts w:ascii="Times New Roman" w:hAnsi="Times New Roman"/>
          <w:sz w:val="20"/>
        </w:rPr>
        <w:t xml:space="preserve"> </w:t>
      </w:r>
      <w:r>
        <w:rPr>
          <w:rFonts w:ascii="Times New Roman" w:hAnsi="Times New Roman"/>
          <w:b w:val="false"/>
          <w:sz w:val="20"/>
        </w:rPr>
        <w:t>million of cumulative net sales of all products in the Territory. Bausch launched XIPERE in the United States in the first quarter of 2022.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Arctic Vision (Hong Kong) Limited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“Arctic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pStyle w:val="TextBody"/>
        <w:spacing w:lineRule="auto" w:line="273" w:before="120" w:after="0"/>
        <w:jc w:val="left"/>
        <w:rPr>
          <w:rFonts w:ascii="Times New Roman" w:hAnsi="Times New Roman"/>
          <w:sz w:val="20"/>
        </w:rPr>
      </w:pPr>
      <w:r>
        <w:rPr>
          <w:rFonts w:ascii="Times New Roman" w:hAnsi="Times New Roman"/>
          <w:b w:val="false"/>
          <w:sz w:val="20"/>
        </w:rPr>
        <w:t>Pursuant to the License Agreement, Arctic Vision paid the Company an upfront payment of $4.0</w:t>
      </w:r>
      <w:r>
        <w:rPr>
          <w:rFonts w:ascii="Times New Roman" w:hAnsi="Times New Roman"/>
          <w:sz w:val="20"/>
        </w:rPr>
        <w:t xml:space="preserve"> </w:t>
      </w:r>
      <w:r>
        <w:rPr>
          <w:rFonts w:ascii="Times New Roman" w:hAnsi="Times New Roman"/>
          <w:b w:val="false"/>
          <w:sz w:val="20"/>
        </w:rPr>
        <w:t>million in March 2020. In December 2021, the Company received a milestone payment of $4.0</w:t>
      </w:r>
      <w:r>
        <w:rPr>
          <w:rFonts w:ascii="Times New Roman" w:hAnsi="Times New Roman"/>
          <w:sz w:val="20"/>
        </w:rPr>
        <w:t xml:space="preserve"> </w:t>
      </w:r>
      <w:r>
        <w:rPr>
          <w:rFonts w:ascii="Times New Roman" w:hAnsi="Times New Roman"/>
          <w:b w:val="false"/>
          <w:sz w:val="20"/>
        </w:rPr>
        <w:t>million following the receipt of FDA approval of XIPERE in the United States. In addition, Arctic Vision has agreed to pay the Company up to $22.5</w:t>
      </w:r>
      <w:r>
        <w:rPr>
          <w:rFonts w:ascii="Times New Roman" w:hAnsi="Times New Roman"/>
          <w:sz w:val="20"/>
        </w:rPr>
        <w:t xml:space="preserve"> </w:t>
      </w:r>
      <w:r>
        <w:rPr>
          <w:rFonts w:ascii="Times New Roman" w:hAnsi="Times New Roman"/>
          <w:b w:val="false"/>
          <w:sz w:val="20"/>
        </w:rPr>
        <w:t>million in development and sales milestones. Further, during the applicable royalty term, the Company will also be entitled to receive tiered royalties of ten</w:t>
      </w:r>
      <w:r>
        <w:rPr>
          <w:rFonts w:ascii="Times New Roman" w:hAnsi="Times New Roman"/>
          <w:sz w:val="20"/>
        </w:rPr>
        <w:t xml:space="preserve"> </w:t>
      </w:r>
      <w:r>
        <w:rPr>
          <w:rFonts w:ascii="Times New Roman" w:hAnsi="Times New Roman"/>
          <w:b w:val="false"/>
          <w:sz w:val="20"/>
        </w:rPr>
        <w:t>to twelve</w:t>
      </w:r>
      <w:r>
        <w:rPr>
          <w:rFonts w:ascii="Times New Roman" w:hAnsi="Times New Roman"/>
          <w:sz w:val="20"/>
        </w:rPr>
        <w:t xml:space="preserve"> </w:t>
      </w:r>
      <w:r>
        <w:rPr>
          <w:rFonts w:ascii="Times New Roman" w:hAnsi="Times New Roman"/>
          <w:b w:val="false"/>
          <w:sz w:val="20"/>
        </w:rPr>
        <w:t>percent of net sales based on achieving certain annual net sales thresholds in the Territory, subject to customary reductions, payable on a product-by-product and country-by-country basis, commencing at launch in such country and lasting until the latest of (i) the date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that all valid claims within the licensed patent rights covering XIPERE have expired, (ii) the date of the loss of marketing or regulatory exclusivity of XIPERE in a given country, or (iii) ten years from the first commercial sale of XIPERE in a given country.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w:t>
      </w:r>
      <w:r>
        <w:rPr>
          <w:rFonts w:ascii="Times New Roman" w:hAnsi="Times New Roman"/>
          <w:sz w:val="20"/>
        </w:rPr>
        <w:t xml:space="preserve"> </w:t>
      </w:r>
      <w:r>
        <w:rPr>
          <w:rFonts w:ascii="Times New Roman" w:hAnsi="Times New Roman"/>
          <w:b w:val="false"/>
          <w:sz w:val="20"/>
        </w:rPr>
        <w:t>received an aggregate of $3.0</w:t>
      </w:r>
      <w:r>
        <w:rPr>
          <w:rFonts w:ascii="Times New Roman" w:hAnsi="Times New Roman"/>
          <w:sz w:val="20"/>
        </w:rPr>
        <w:t xml:space="preserve"> </w:t>
      </w:r>
      <w:r>
        <w:rPr>
          <w:rFonts w:ascii="Times New Roman" w:hAnsi="Times New Roman"/>
          <w:b w:val="false"/>
          <w:sz w:val="20"/>
        </w:rPr>
        <w:t>million in consideration for the expansion of the Arctic Territory.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Other</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11. Fair Value Measurements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material financial instruments at March 31, 2022 and December 31, 2021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significant transfers between Levels 1, 2 and 3 during the three months ended March 31, 2022 and the year ended December 31, 2021.</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12. Net Loss Per Share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pStyle w:val="TextBody"/>
        <w:spacing w:lineRule="auto" w:line="273" w:before="120" w:after="0"/>
        <w:jc w:val="left"/>
        <w:rPr/>
      </w:pPr>
      <w:r>
        <w:rPr/>
        <w:t> </w:t>
      </w:r>
    </w:p>
    <w:tbl>
      <w:tblPr>
        <w:tblW w:w="5559" w:type="dxa"/>
        <w:jc w:val="left"/>
        <w:tblInd w:w="0" w:type="dxa"/>
        <w:tblCellMar>
          <w:top w:w="28" w:type="dxa"/>
          <w:left w:w="28" w:type="dxa"/>
          <w:bottom w:w="28" w:type="dxa"/>
          <w:right w:w="28" w:type="dxa"/>
        </w:tblCellMar>
      </w:tblPr>
      <w:tblGrid>
        <w:gridCol w:w="2776"/>
        <w:gridCol w:w="146"/>
        <w:gridCol w:w="146"/>
        <w:gridCol w:w="931"/>
        <w:gridCol w:w="146"/>
        <w:gridCol w:w="146"/>
        <w:gridCol w:w="146"/>
        <w:gridCol w:w="931"/>
        <w:gridCol w:w="19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Three Months Ended </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7,050,541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5,816,856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1,590,476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1,504,861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 purchase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29,796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29,796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7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8,670,813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7,351,513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4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bookmarkStart w:id="7" w:name="item_2_managements_discussion_analysis_f"/>
      <w:bookmarkEnd w:id="7"/>
      <w:r>
        <w:rPr>
          <w:rFonts w:ascii="Times New Roman" w:hAnsi="Times New Roman"/>
          <w:b/>
          <w:sz w:val="20"/>
        </w:rPr>
        <w:t>Item 2. Management’s Discussion and Analysis of</w:t>
      </w:r>
      <w:r>
        <w:rPr>
          <w:rFonts w:ascii="Times New Roman" w:hAnsi="Times New Roman"/>
          <w:sz w:val="20"/>
        </w:rPr>
        <w:t xml:space="preserve"> </w:t>
      </w:r>
      <w:r>
        <w:rPr>
          <w:rFonts w:ascii="Times New Roman" w:hAnsi="Times New Roman"/>
          <w:b/>
          <w:sz w:val="20"/>
        </w:rPr>
        <w:t>Financial Condition and Results of Operations.</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2021 appearing in our Annual Report on Form 10-K filed with the SEC on March 11, 2022.</w:t>
      </w:r>
    </w:p>
    <w:p>
      <w:pPr>
        <w:pStyle w:val="TextBody"/>
        <w:spacing w:lineRule="auto" w:line="273" w:before="240" w:after="0"/>
        <w:jc w:val="left"/>
        <w:rPr>
          <w:rFonts w:ascii="Times New Roman" w:hAnsi="Times New Roman"/>
          <w:b/>
          <w:sz w:val="20"/>
        </w:rPr>
      </w:pPr>
      <w:r>
        <w:rPr>
          <w:rFonts w:ascii="Times New Roman" w:hAnsi="Times New Roman"/>
          <w:b/>
          <w:sz w:val="20"/>
        </w:rPr>
        <w:t>Overview</w:t>
      </w:r>
    </w:p>
    <w:p>
      <w:pPr>
        <w:pStyle w:val="TextBody"/>
        <w:spacing w:lineRule="auto" w:line="273" w:before="120" w:after="0"/>
        <w:jc w:val="left"/>
        <w:rPr>
          <w:rFonts w:ascii="Times New Roman" w:hAnsi="Times New Roman"/>
          <w:sz w:val="20"/>
        </w:rPr>
      </w:pPr>
      <w:r>
        <w:rPr>
          <w:rFonts w:ascii="Times New Roman" w:hAnsi="Times New Roman"/>
          <w:b w:val="false"/>
          <w:sz w:val="20"/>
        </w:rPr>
        <w:t>We are a biopharmaceutical company focused on revolutionizing the delivery of therapies to the back of the eye through the suprachoroidal space, or SCS</w:t>
      </w:r>
      <w:r>
        <w:rPr>
          <w:rFonts w:ascii="Times New Roman" w:hAnsi="Times New Roman"/>
          <w:b w:val="false"/>
          <w:sz w:val="13"/>
        </w:rPr>
        <w:t>®</w:t>
      </w:r>
      <w:r>
        <w:rPr>
          <w:rFonts w:ascii="Times New Roman" w:hAnsi="Times New Roman"/>
          <w:b w:val="false"/>
          <w:sz w:val="20"/>
        </w:rPr>
        <w:t>. Our novel SCS injection platform, utilizing our proprietary SCS Microinjector</w:t>
      </w:r>
      <w:r>
        <w:rPr>
          <w:rFonts w:ascii="Times New Roman" w:hAnsi="Times New Roman"/>
          <w:b w:val="false"/>
          <w:sz w:val="13"/>
        </w:rPr>
        <w:t>®</w:t>
      </w:r>
      <w:r>
        <w:rPr>
          <w:rFonts w:ascii="Times New Roman" w:hAnsi="Times New Roman"/>
          <w:b w:val="false"/>
          <w:sz w:val="20"/>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spacing w:lineRule="auto" w:line="273" w:before="120" w:after="0"/>
        <w:jc w:val="left"/>
        <w:rPr>
          <w:rFonts w:ascii="Times New Roman" w:hAnsi="Times New Roman"/>
          <w:sz w:val="20"/>
        </w:rPr>
      </w:pPr>
      <w:r>
        <w:rPr>
          <w:rFonts w:ascii="Times New Roman" w:hAnsi="Times New Roman"/>
          <w:b w:val="false"/>
          <w:sz w:val="20"/>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hAnsi="Times New Roman"/>
          <w:b w:val="false"/>
          <w:sz w:val="13"/>
        </w:rPr>
        <w:t xml:space="preserve">® </w:t>
      </w:r>
      <w:r>
        <w:rPr>
          <w:rFonts w:ascii="Times New Roman" w:hAnsi="Times New Roman"/>
          <w:b w:val="false"/>
          <w:sz w:val="20"/>
        </w:rPr>
        <w:t>(triamcinolone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believe that we are creating a broad therapeutic platform for developing product candidates to treat serious eye diseases.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current development status of our pipeline of internal product candidates and external collaborations is summarized in the chart below:</w:t>
      </w:r>
    </w:p>
    <w:p>
      <w:pPr>
        <w:pStyle w:val="TextBody"/>
        <w:spacing w:lineRule="auto" w:line="273" w:before="120" w:after="120"/>
        <w:jc w:val="left"/>
        <w:rPr/>
      </w:pPr>
      <w:r>
        <w:rPr/>
        <w:drawing>
          <wp:inline distT="0" distB="0" distL="0" distR="0">
            <wp:extent cx="6858000" cy="3276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276600"/>
                    </a:xfrm>
                    <a:prstGeom prst="rect">
                      <a:avLst/>
                    </a:prstGeom>
                  </pic:spPr>
                </pic:pic>
              </a:graphicData>
            </a:graphic>
          </wp:inline>
        </w:drawing>
      </w: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Internal Pipeline</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XIPERE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first product, XIPERE, is a proprietary, preservative-free suspension of the corticosteroid triamcinolone acetonide, or TA,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 XIPERE is delivered into the suprachoroidal space via a novel route of administration utilizing our SCS Microinjector. XIPERE was approved by the FDA for the treatment of macular edema associated with uveitis.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evaluating options for potential submissions to regulatory agencies to seek regulatory approval of XIPERE for the treatment of patients with macular edema associated with uveitis in additional territories outside of territories licensed by Arctic Vison and Bausch.</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CLS-AX</w:t>
      </w:r>
    </w:p>
    <w:p>
      <w:pPr>
        <w:pStyle w:val="TextBody"/>
        <w:spacing w:lineRule="auto" w:line="273" w:before="120" w:after="0"/>
        <w:jc w:val="left"/>
        <w:rPr>
          <w:rFonts w:ascii="Times New Roman" w:hAnsi="Times New Roman"/>
          <w:sz w:val="20"/>
        </w:rPr>
      </w:pPr>
      <w:r>
        <w:rPr>
          <w:rFonts w:ascii="Times New Roman" w:hAnsi="Times New Roman"/>
          <w:b w:val="false"/>
          <w:sz w:val="20"/>
        </w:rPr>
        <w:t>CLS-AX, our most advanced product candidate, is our proprietary suspension of the tyrosine kinase inhibitor axitinib for suprachoroidal injection delivered via our SCS Microinjector. CLS-AX is an inhibitor of vascular endothelial growth factor receptor-1, -2 and -3 that we believe may benefit patients who respond sub optimally to current anti-VEGF therapies. We are developing CLS-AX for administration to the SCS as a long-acting therapy for wet age-related macular degeneration, or wet AMD, a retinal degenerative disease that causes a progressive loss of central vision.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August 2020, we announced that the FDA had accepted our Investigational New Drug application, or IND, for CLS-AX. In January 2021, we announced that the first patients had been enrolled in our Phase 1/2a clinical trial of CLS-AX, known as OASIS. In OASIS, the primary endpoints were met in Cohorts 1 and 2. CLS-AX was well tolerated with no serious adverse events; there were no treatment emergent adverse events related to aflibercept, CLS-AX or the suprachoroidal injection procedure, no dispersion of drug into the vitreous, and no adverse events related to IOP, inflammation or vasculitis.</w:t>
      </w:r>
      <w:r>
        <w:rPr>
          <w:rFonts w:ascii="Times New Roman" w:hAnsi="Times New Roman"/>
          <w:sz w:val="20"/>
        </w:rPr>
        <w:t xml:space="preserve"> </w:t>
      </w:r>
      <w:r>
        <w:rPr>
          <w:rFonts w:ascii="Times New Roman" w:hAnsi="Times New Roman"/>
          <w:b w:val="false"/>
          <w:sz w:val="20"/>
        </w:rPr>
        <w:t>OASIS is currently enrolling patients in Cohort 3, in which each patient will receive a dose of 0.5 mg. The preliminary one-month safety data from Cohort 3 has been reviewed by our Safety Monitoring Committee and there were no dose limiting toxicities. As a result, we are now enrolling patients in Cohort 4 in which each patient will receive a dose of 1.0 mg. Our extension study follows patients in Cohort 2, Cohort 3 and Cohort 4 for up to an additional three-month period.</w:t>
      </w:r>
    </w:p>
    <w:p>
      <w:pPr>
        <w:pStyle w:val="TextBody"/>
        <w:spacing w:lineRule="auto" w:line="273" w:before="120" w:after="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In addition to enrolling Cohort 4, we plan to expand enrollment in Cohort 3 and run both cohorts simultaneously. With the Cohort 3 expansion and the addition of Cohort 4, we are targeting enrollment of up to 25 patients in total from all four OASIS cohorts. The expanded enrollment will allow us to collect more CLS-AX patient data in order to help guide our selection of the most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appropriate dosing protocol for our planned Phase 2b clinical trial. We expect to report individual patient safety and tolerability data from both Cohort 3 and Cohort 4 as well as the complete analysis from all four dosing cohorts of the OASIS trial in the fourth quarter of 2022. We have begun planning for our Phase 2b clinical trial. We anticipate that the the final data readout from OASIS will position us to initiate activities by the end of the year for our Phase 2b trial, which will enable us to begin enrolling patients soon thereafter.</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CLS-301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initiated another small molecule program utilizing suprachoroidal administration of an integrin inhibitor suspension, which we refer to as CLS-301. Integrins are multi-functional cell-adhesion molecules that regulate critical cellular processes.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 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Our initial preclinical data has shown that the agent is well-tolerated with favorable ocular distribution targeting the chorio-retina, and we have seen encouraging initial signs of durability. We are optimizing the formulation and have initiated a second preclinical study. We expect to have results from this study in the second half of 2022.</w:t>
      </w:r>
    </w:p>
    <w:p>
      <w:pPr>
        <w:pStyle w:val="TextBody"/>
        <w:spacing w:lineRule="auto" w:line="273" w:before="240" w:after="0"/>
        <w:jc w:val="left"/>
        <w:rPr>
          <w:rFonts w:ascii="Times New Roman" w:hAnsi="Times New Roman"/>
          <w:b/>
          <w:i/>
          <w:sz w:val="20"/>
        </w:rPr>
      </w:pPr>
      <w:r>
        <w:rPr>
          <w:rFonts w:ascii="Times New Roman" w:hAnsi="Times New Roman"/>
          <w:b/>
          <w:i/>
          <w:sz w:val="20"/>
        </w:rPr>
        <w:t>External Collaborations Pipeline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addition to growing our internal pipeline, we are also focused on collaborating with other companies to provide access to the suprachoroidal space.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injectable suspension) in the United States and Canada. Bausch launched XIPERE in the United States in the first quarter of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October 2019, REGENXBIO Inc., or REGENXBIO, exercised its option to license our SCS Microinjector technology for in-office delivery of adeno-associated virus, or AAV,-based therapeutics to the SCS to potentially treat AMD, diabetic retinopathy and certain other conditions for which chronic anti-VEGF treatment is currently the standard of care. REGENXBIO is currently conducting two multi-center, open-label, randomized, controlled, dose-escalation Phase 2 clinical trials evaluating the efficacy, safety and tolerability of suprachoroidal delivery of RGX-314 using our SCS Microinjector technology: a Phase 2 trial entitled AAVIATE for the treatment of wet AMD and a second Phase 2 trial entitled ALTITUDE for the treatment of diabetic retinopathy. REGENXBIO has reported positive initial data from both clinical trials. Both ALTITUDE and AAVIATE continue to enroll in the next cohorts.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July 2019, Aura Biosciences, or Aura, licensed our SCS Microinjector to deliver Aura’s proprietary drug candidates into the SCS for the potential treatment of certain ocular cancers, including choroidal melanoma. Aura is currently conducting a Phase 2 trial in choroidal melanoma comprised of an open-label, dose escalation phase and a randomized, masked dose expansion phase. Aura reported positive initial data on its Phase 2 clinical trial for the treatment of choroidal melanoma in October 2021. We expect Aura to disclose additional safety and efficacy data from this trial in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During 2021, we entered into amendments to the Arctic Vision License Agreement to expand the territories covered by the license to include India and the ASEAN Countries (Brunei, Cambodia, Indonesia, Laos, Malaysia, Myanmar, the Philippines, Singapore, Thailand, and Vietnam) and Australia and New Zealand. In December 2020, Arctic Vision announced approval of its IND for a Phase 3 clinical trial of ARVN001 (known as XIPERE in the U.S.) in China. Arctic Vision has branded ARVN001 as Arcatus. In November 2021, Arctic Vision announced dosing of the first patient in a Phase 3 clinical trial of ARVN001 for the treatment of macular edema associated with uveitis. In March 2022, Arctic Vision announced dosing of the first patient in a Phase 1 clinical trial of ARVN011 in China for the treatment of diabetic macular edema.</w:t>
      </w:r>
    </w:p>
    <w:p>
      <w:pPr>
        <w:pStyle w:val="TextBody"/>
        <w:spacing w:lineRule="auto" w:line="273" w:before="120" w:after="0"/>
        <w:jc w:val="left"/>
        <w:rPr>
          <w:rFonts w:ascii="Times New Roman" w:hAnsi="Times New Roman"/>
          <w:sz w:val="20"/>
        </w:rPr>
      </w:pPr>
      <w:r>
        <w:rPr>
          <w:rFonts w:ascii="Times New Roman" w:hAnsi="Times New Roman"/>
          <w:b w:val="false"/>
          <w:sz w:val="20"/>
        </w:rPr>
        <w:t>These partnerships enable us to expand the use of our suprachoroidal injection platform to other indications and geographies globally. Under these license agreements, we are eligible to receive up to an aggregate of more than $230 million in potential future development and sales milestones, as well as and royalties from net sales of covered products.</w:t>
      </w:r>
      <w:r>
        <w:rPr>
          <w:rFonts w:ascii="Times New Roman" w:hAnsi="Times New Roman"/>
          <w:sz w:val="20"/>
        </w:rPr>
        <w:t xml:space="preserve"> </w:t>
      </w:r>
    </w:p>
    <w:p>
      <w:pPr>
        <w:pStyle w:val="TextBody"/>
        <w:spacing w:lineRule="auto" w:line="273" w:before="120" w:after="120"/>
        <w:jc w:val="left"/>
        <w:rPr>
          <w:rFonts w:ascii="Times New Roman" w:hAnsi="Times New Roman"/>
          <w:sz w:val="20"/>
        </w:rPr>
      </w:pPr>
      <w:r>
        <w:rPr>
          <w:rFonts w:ascii="Times New Roman" w:hAnsi="Times New Roman"/>
          <w:b w:val="false"/>
          <w:sz w:val="20"/>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and private placements of our equity securities, issuances of convertible promissory notes and loan agreements. As of March 31, 2022, we had an accumulated deficit of $263.1 million. We recorded net losses of $7.6 million and $7.4 million for the three months ended March 31, 2022 and 2021,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2022 as a result of our ongoing Phase 1/2a clinical trial of CLS-AX, the preparation of a Phase 2b clinical trial of CLS-AX, as well as continuing our pipeline development. We also will continue our efforts to seek to discover, research and develop additional product candidates and regulatory approvals in additional regions for XIPERE for the treatment of macular edema associated with uveitis. Based on our current research and development plans, we expect to have sufficient resources to fund our planned operations for at least the next twelve months.</w:t>
      </w:r>
    </w:p>
    <w:p>
      <w:pPr>
        <w:pStyle w:val="TextBody"/>
        <w:spacing w:lineRule="auto" w:line="266" w:before="240" w:after="0"/>
        <w:jc w:val="left"/>
        <w:rPr>
          <w:rFonts w:ascii="Times New Roman" w:hAnsi="Times New Roman"/>
          <w:b/>
          <w:sz w:val="20"/>
        </w:rPr>
      </w:pPr>
      <w:r>
        <w:rPr>
          <w:rFonts w:ascii="Times New Roman" w:hAnsi="Times New Roman"/>
          <w:b/>
          <w:sz w:val="20"/>
        </w:rPr>
        <w:t>Impact of COVID-19 on Our Business</w:t>
      </w:r>
    </w:p>
    <w:p>
      <w:pPr>
        <w:pStyle w:val="TextBody"/>
        <w:spacing w:lineRule="auto" w:line="266" w:before="120" w:after="0"/>
        <w:jc w:val="left"/>
        <w:rPr>
          <w:rFonts w:ascii="Times New Roman" w:hAnsi="Times New Roman"/>
          <w:sz w:val="20"/>
        </w:rPr>
      </w:pPr>
      <w:r>
        <w:rPr>
          <w:rFonts w:ascii="Times New Roman" w:hAnsi="Times New Roman"/>
          <w:b w:val="false"/>
          <w:sz w:val="20"/>
        </w:rPr>
        <w:t>Our financial results for the three months ended March 31, 2022 were not significantly impacted by COVID-19, and we currently do not expect any material impact on our financial results for the remainder of 2022.</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Components of Operating Results</w:t>
      </w:r>
    </w:p>
    <w:p>
      <w:pPr>
        <w:pStyle w:val="TextBody"/>
        <w:spacing w:lineRule="auto" w:line="266" w:before="120" w:after="0"/>
        <w:jc w:val="left"/>
        <w:rPr>
          <w:rFonts w:ascii="Times New Roman" w:hAnsi="Times New Roman"/>
          <w:b/>
          <w:i/>
          <w:sz w:val="20"/>
        </w:rPr>
      </w:pPr>
      <w:r>
        <w:rPr>
          <w:rFonts w:ascii="Times New Roman" w:hAnsi="Times New Roman"/>
          <w:b/>
          <w:i/>
          <w:sz w:val="20"/>
        </w:rPr>
        <w:t>Revenue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not generated any revenue from the sale of XIPERE, and we do not expect to generate any until Bausch has reached the first $45 million of net sales (refer to Footnote 11 to our financial statements included in this Quarterly Report on Form 10-Q) or any other product revenue unless or until we obtain regulatory approval of and commercialize our other product candidates, either on our own or with a third party.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pStyle w:val="TextBody"/>
        <w:spacing w:lineRule="auto" w:line="273" w:before="240" w:after="0"/>
        <w:jc w:val="left"/>
        <w:rPr>
          <w:rFonts w:ascii="Times New Roman" w:hAnsi="Times New Roman"/>
          <w:b/>
          <w:i/>
          <w:sz w:val="20"/>
        </w:rPr>
      </w:pPr>
      <w:r>
        <w:rPr>
          <w:rFonts w:ascii="Times New Roman" w:hAnsi="Times New Roman"/>
          <w:b/>
          <w:i/>
          <w:sz w:val="20"/>
        </w:rPr>
        <w:t>Research and Development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Research and development expenses consist primarily of costs incurred for the research and development of our preclinical and clinical product candidates, which include: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employee-related expenses, including salaries, benefits, travel and share-based compensation expense for research and development personnel;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expenses incurred under agreements with contract research organizations, or CROs, as well as contract manufacturing organizations and consultants that conduct clinical trials and preclinical studies;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nonclinical activities and development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submitting regulatory approval applications for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training physicians on the suprachoroidal injection procedure and educating and providing them with appropriate product candidate information;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associated with technology and intellectual property licenses;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costs for our research and development facility;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depreciation expense for assets used in research and development activities.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The following table shows our research and development expenses by program for the three months ended March 31, 2022 and 2021 (in thousands).</w:t>
      </w:r>
    </w:p>
    <w:tbl>
      <w:tblPr>
        <w:tblW w:w="6014" w:type="dxa"/>
        <w:jc w:val="left"/>
        <w:tblInd w:w="0" w:type="dxa"/>
        <w:tblCellMar>
          <w:top w:w="28" w:type="dxa"/>
          <w:left w:w="28" w:type="dxa"/>
          <w:bottom w:w="28" w:type="dxa"/>
          <w:right w:w="28" w:type="dxa"/>
        </w:tblCellMar>
      </w:tblPr>
      <w:tblGrid>
        <w:gridCol w:w="3421"/>
        <w:gridCol w:w="146"/>
        <w:gridCol w:w="211"/>
        <w:gridCol w:w="571"/>
        <w:gridCol w:w="146"/>
        <w:gridCol w:w="146"/>
        <w:gridCol w:w="211"/>
        <w:gridCol w:w="571"/>
        <w:gridCol w:w="5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w:t>
              <w:b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2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XIPERE (uveitis program)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1,473</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CLS-AX (wet AMD program)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1,278</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CLS-301 (DME program)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342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2,940</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Unallocated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2,550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research and development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4,536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5,490</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duration, costs and timing of clinical trials and development of our product candidates will depend on a variety of factors that may include, among others: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costs associated with process development, scale-up and manufacturing of our product candidates including the SCS Microinjector for clinical trials and for requirements associated with regulatory filings;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number of trials required for approval and any requirement for extension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per patient trial costs;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number of patients that participate in the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number of sites included in the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countries in which the trials are conducted;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length of time required to enroll eligible patients;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number of doses that patients receive;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potential impact of the COVID-19 pandemic on the enrollment in, and timing of, our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drop-out or discontinuation rates of patients;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potential additional safety monitoring or other studies requested by regulatory agencies;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duration of patient follow-up;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efficacy and safety profiles of the product candidates.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spacing w:lineRule="auto" w:line="273" w:before="240" w:after="0"/>
        <w:jc w:val="left"/>
        <w:rPr>
          <w:rFonts w:ascii="Times New Roman" w:hAnsi="Times New Roman"/>
          <w:b/>
          <w:i/>
          <w:sz w:val="20"/>
        </w:rPr>
      </w:pPr>
      <w:r>
        <w:rPr>
          <w:rFonts w:ascii="Times New Roman" w:hAnsi="Times New Roman"/>
          <w:b/>
          <w:i/>
          <w:sz w:val="20"/>
        </w:rPr>
        <w:t>General and Administrative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i/>
          <w:sz w:val="20"/>
        </w:rPr>
      </w:pPr>
      <w:r>
        <w:rPr>
          <w:rFonts w:ascii="Times New Roman" w:hAnsi="Times New Roman"/>
          <w:b/>
          <w:i/>
          <w:sz w:val="20"/>
        </w:rPr>
        <w:t>Other Income</w:t>
      </w:r>
    </w:p>
    <w:p>
      <w:pPr>
        <w:pStyle w:val="TextBody"/>
        <w:spacing w:lineRule="auto" w:line="273" w:before="120" w:after="0"/>
        <w:jc w:val="left"/>
        <w:rPr>
          <w:rFonts w:ascii="Times New Roman" w:hAnsi="Times New Roman"/>
          <w:sz w:val="20"/>
        </w:rPr>
      </w:pPr>
      <w:r>
        <w:rPr>
          <w:rFonts w:ascii="Times New Roman" w:hAnsi="Times New Roman"/>
          <w:b w:val="false"/>
          <w:sz w:val="20"/>
        </w:rPr>
        <w:t>Other income consists of the gain on the extinguishment of the PPP Loan and accrued interest and interest income earned on our cash and cash equivalents. Interest income is not considered significant to our financial statements.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Critical Accounting Policies and Significant Judgments and Estimates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2022, there were no significant changes to our critical accounting policies disclosed in our audited financial statements for the year ended December 31, 2021, which are included in our Annual Report on Form 10-K, as filed with the SEC on March 11, 2022.</w:t>
      </w:r>
    </w:p>
    <w:p>
      <w:pPr>
        <w:pStyle w:val="TextBody"/>
        <w:spacing w:lineRule="auto" w:line="268" w:before="240" w:after="0"/>
        <w:jc w:val="left"/>
        <w:rPr>
          <w:rFonts w:ascii="Times New Roman" w:hAnsi="Times New Roman"/>
          <w:b/>
          <w:sz w:val="20"/>
        </w:rPr>
      </w:pPr>
      <w:r>
        <w:rPr>
          <w:rFonts w:ascii="Times New Roman" w:hAnsi="Times New Roman"/>
          <w:b/>
          <w:sz w:val="20"/>
        </w:rPr>
        <w:t>Results of Operations for the Three Months Ended March 31, 2022 and 2021</w:t>
      </w:r>
    </w:p>
    <w:p>
      <w:pPr>
        <w:pStyle w:val="TextBody"/>
        <w:spacing w:lineRule="auto" w:line="268" w:before="120" w:after="120"/>
        <w:jc w:val="left"/>
        <w:rPr>
          <w:rFonts w:ascii="Times New Roman" w:hAnsi="Times New Roman"/>
          <w:b w:val="false"/>
          <w:sz w:val="20"/>
        </w:rPr>
      </w:pPr>
      <w:r>
        <w:rPr>
          <w:rFonts w:ascii="Times New Roman" w:hAnsi="Times New Roman"/>
          <w:b w:val="false"/>
          <w:sz w:val="20"/>
        </w:rPr>
        <w:t>The following table sets forth our results of operations for the three months ended March 31, 2022 and 2021.</w:t>
      </w:r>
    </w:p>
    <w:tbl>
      <w:tblPr>
        <w:tblW w:w="6722" w:type="dxa"/>
        <w:jc w:val="left"/>
        <w:tblInd w:w="0" w:type="dxa"/>
        <w:tblCellMar>
          <w:top w:w="28" w:type="dxa"/>
          <w:left w:w="28" w:type="dxa"/>
          <w:bottom w:w="28" w:type="dxa"/>
          <w:right w:w="28" w:type="dxa"/>
        </w:tblCellMar>
      </w:tblPr>
      <w:tblGrid>
        <w:gridCol w:w="2311"/>
        <w:gridCol w:w="146"/>
        <w:gridCol w:w="211"/>
        <w:gridCol w:w="631"/>
        <w:gridCol w:w="166"/>
        <w:gridCol w:w="146"/>
        <w:gridCol w:w="211"/>
        <w:gridCol w:w="631"/>
        <w:gridCol w:w="166"/>
        <w:gridCol w:w="146"/>
        <w:gridCol w:w="416"/>
        <w:gridCol w:w="950"/>
        <w:gridCol w:w="5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6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Period-to-Period</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Change</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4"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License and 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313</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66"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shd w:fill="auto" w:val="clear"/>
            <w:vAlign w:val="center"/>
          </w:tcPr>
          <w:p>
            <w:pPr>
              <w:pStyle w:val="TableContents"/>
              <w:spacing w:lineRule="auto" w:line="252" w:before="0" w:after="0"/>
              <w:ind w:left="0" w:right="0" w:hanging="0"/>
              <w:jc w:val="left"/>
              <w:rPr/>
            </w:pPr>
            <w:r>
              <w:rPr/>
              <w:t> </w:t>
            </w:r>
          </w:p>
        </w:tc>
        <w:tc>
          <w:tcPr>
            <w:tcW w:w="9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(954</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31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(7,646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(8,349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shd w:fill="auto" w:val="clear"/>
            <w:vAlign w:val="center"/>
          </w:tcPr>
          <w:p>
            <w:pPr>
              <w:pStyle w:val="TableContents"/>
              <w:spacing w:lineRule="auto" w:line="252" w:before="0" w:after="0"/>
              <w:ind w:left="0" w:right="0" w:hanging="0"/>
              <w:jc w:val="left"/>
              <w:rPr/>
            </w:pPr>
            <w:r>
              <w:rPr/>
              <w:t> </w:t>
            </w:r>
          </w:p>
        </w:tc>
        <w:tc>
          <w:tcPr>
            <w:tcW w:w="9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703</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66" w:before="120" w:after="0"/>
        <w:jc w:val="left"/>
        <w:rPr>
          <w:rFonts w:ascii="Times New Roman" w:hAnsi="Times New Roman"/>
          <w:sz w:val="20"/>
        </w:rPr>
      </w:pPr>
      <w:r>
        <w:rPr>
          <w:rFonts w:ascii="Times New Roman" w:hAnsi="Times New Roman"/>
          <w:b w:val="false"/>
          <w:i/>
          <w:sz w:val="20"/>
        </w:rPr>
        <w:t>Revenue</w:t>
      </w:r>
      <w:r>
        <w:rPr>
          <w:rFonts w:ascii="Times New Roman" w:hAnsi="Times New Roman"/>
          <w:b w:val="false"/>
          <w:sz w:val="20"/>
        </w:rPr>
        <w:t>. In the three months ended March 31, 2022 and 2021, we recognized $0.3 million and $34,000, respectively, of revenue associated with our license agreements.</w:t>
      </w:r>
      <w:r>
        <w:rPr>
          <w:rFonts w:ascii="Times New Roman" w:hAnsi="Times New Roman"/>
          <w:sz w:val="20"/>
        </w:rPr>
        <w:t xml:space="preserve"> </w:t>
      </w:r>
    </w:p>
    <w:p>
      <w:pPr>
        <w:pStyle w:val="TextBody"/>
        <w:spacing w:lineRule="auto" w:line="264" w:before="120" w:after="0"/>
        <w:jc w:val="left"/>
        <w:rPr>
          <w:rFonts w:ascii="Times New Roman" w:hAnsi="Times New Roman"/>
          <w:sz w:val="20"/>
        </w:rPr>
      </w:pPr>
      <w:r>
        <w:rPr>
          <w:rFonts w:ascii="Times New Roman" w:hAnsi="Times New Roman"/>
          <w:b w:val="false"/>
          <w:i/>
          <w:sz w:val="20"/>
        </w:rPr>
        <w:t>Research and development</w:t>
      </w:r>
      <w:r>
        <w:rPr>
          <w:rFonts w:ascii="Times New Roman" w:hAnsi="Times New Roman"/>
          <w:b w:val="false"/>
          <w:sz w:val="20"/>
        </w:rPr>
        <w:t>. Research and development expense decreased by $1.0 million, from $5.5 million for the three months ended March 31, 2021 to $4.5 million for the three months ended March 31, 2022. This decrease was primarily due to a $1.4 million decrease in costs related to the uveitis program as it was approved for commercial sales by the FDA in October 2021. The CLS-AX program, including costs for OASIS, a Phase 1/2a clinical trial of CLS-AX, had a decrease of $0.2 million for the three months ended March 31, 2022 due to timing of expenses for the clinical trials. These decreases are partially offset by a $0.2 million increase in costs for our CLS-301 program and a $0.2 million increase in employee related costs.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General and administrative</w:t>
      </w:r>
      <w:r>
        <w:rPr>
          <w:rFonts w:ascii="Times New Roman" w:hAnsi="Times New Roman"/>
          <w:b w:val="false"/>
          <w:sz w:val="20"/>
        </w:rPr>
        <w:t>. General and administrative expenses increased by $0.6 million, from $2.9 million for the three months ended March 31, 2021 to $3.5 million for the three months ended March 31, 2022. This was primarily attributable to a $0.2 million increase in employee related costs and a $0.2 million increase in consulting fees.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 xml:space="preserve">Other income. </w:t>
      </w:r>
      <w:r>
        <w:rPr>
          <w:rFonts w:ascii="Times New Roman" w:hAnsi="Times New Roman"/>
          <w:b w:val="false"/>
          <w:sz w:val="20"/>
        </w:rPr>
        <w:t>Other income for the three months ended March 31, 2022 was comprised of interest income from cash and cash equivalents. Other income for the three months ended March 31, 2021 was primarily comprised of the gain on the extinguishment of debt from the forgiveness of the PPP Loan and accrued interest.</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Liquidity and Capital Resources</w:t>
      </w:r>
    </w:p>
    <w:p>
      <w:pPr>
        <w:pStyle w:val="TextBody"/>
        <w:spacing w:lineRule="auto" w:line="273" w:before="120" w:after="0"/>
        <w:jc w:val="left"/>
        <w:rPr>
          <w:rFonts w:ascii="Times New Roman" w:hAnsi="Times New Roman"/>
          <w:b/>
          <w:i/>
          <w:sz w:val="20"/>
        </w:rPr>
      </w:pPr>
      <w:r>
        <w:rPr>
          <w:rFonts w:ascii="Times New Roman" w:hAnsi="Times New Roman"/>
          <w:b/>
          <w:i/>
          <w:sz w:val="20"/>
        </w:rPr>
        <w:t>Sources of Liquidity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funded our operations primarily through the proceeds of public offerings of our common stock, sales of convertible preferred stock and the issuance of long-term debt. As of March 31, 2022, we had cash and cash equivalents of $34.4 million. We invest any cash in excess of our immediate requirements primarily with a view to liquidity and capital preservation. As of March 31, 2022, our funds were held in cash and money market funds.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 PPP provide a mechanism for forgiveness of up to the full amount borrowed. On January 11, 2021, we received notification from Silicon Valley Bank that the PPP loan was forgiven in full, including approximately $7,000 of accrued interest.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March 2020, Arctic Vision paid us an upfront payment of $4.0 million. In December 2021, we received a milestone payment of $4.0 million following receipt of FDA approval of XIPERE in the United States. In addition, Arctic Vision has agreed to pay us up to a total of $22.5 million in development and sales milestone payments. Further, during the applicable royalty term, we will also be entitled to receive tiered royalties of 10-12% of net sales in the Arctic Territory, subject to customary reductions. 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pStyle w:val="TextBody"/>
        <w:spacing w:lineRule="auto" w:line="273" w:before="120" w:after="0"/>
        <w:jc w:val="left"/>
        <w:rPr>
          <w:rFonts w:ascii="Times New Roman" w:hAnsi="Times New Roman"/>
          <w:sz w:val="20"/>
        </w:rPr>
      </w:pPr>
      <w:r>
        <w:rPr>
          <w:rFonts w:ascii="Times New Roman" w:hAnsi="Times New Roman"/>
          <w:b w:val="false"/>
          <w:sz w:val="20"/>
        </w:rPr>
        <w:t>In October 2019, we announced that Bausch acquired an exclusive license for the commercialization and development of XIPERE in the United States and Canada. On October 25, 2021, we announced that the FDA approved XIPERE for the treatment of macular edema associated with uveitis. We received $5.0 million from Bausch in November 2021 relating to the FDA approval of XIPERE, and in January 2022, we received an additional $10.0 million upon completion of pre-launch activities for XIPERE. Bausch launched XIPERE in the United States in the first quarter of 2022.</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As of March 31, 2022, there was $14.4 million available for sales of our common stock under the ATM agreement.</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Funding Requirements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Footnote 9 to our financial statements included in this Quarterly Report on Form 10-Q.</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successful enrollment in, and completion of,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receipt of marketing approvals from applicable regulatory authorities;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establishing commercial manufacturing capabilities or making arrangements with third-party manufacturers;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obtaining and maintaining patent and trade secret protection and regulatory exclusivity for our product candidates;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launching commercial sales of the products, if and when approved, whether alone or in collaboration with others.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 change in the outcome of any of these variables with respect to the development of any of our product candidates would significantly change the costs and timing associated with the development of that candidate.</w:t>
      </w:r>
    </w:p>
    <w:p>
      <w:pPr>
        <w:pStyle w:val="TextBody"/>
        <w:spacing w:lineRule="auto" w:line="273" w:before="120" w:after="0"/>
        <w:jc w:val="left"/>
        <w:rPr>
          <w:rFonts w:ascii="Times New Roman" w:hAnsi="Times New Roman"/>
          <w:sz w:val="20"/>
        </w:rPr>
      </w:pPr>
      <w:r>
        <w:rPr>
          <w:rFonts w:ascii="Times New Roman" w:hAnsi="Times New Roman"/>
          <w:b w:val="false"/>
          <w:sz w:val="20"/>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the Russian Federation invasion of Ukraine and macroeconomic conditions such as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pStyle w:val="TextBody"/>
        <w:spacing w:lineRule="auto" w:line="273" w:before="240" w:after="0"/>
        <w:jc w:val="left"/>
        <w:rPr>
          <w:rFonts w:ascii="Times New Roman" w:hAnsi="Times New Roman"/>
          <w:b/>
          <w:i/>
          <w:sz w:val="20"/>
        </w:rPr>
      </w:pPr>
      <w:r>
        <w:rPr>
          <w:rFonts w:ascii="Times New Roman" w:hAnsi="Times New Roman"/>
          <w:b/>
          <w:i/>
          <w:sz w:val="20"/>
        </w:rPr>
        <w:t>Outlook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our current plans and forecasted expenses, we expect that our cash and cash equivalents as of the filing date, May 12, 2022, will enable us to fund our planned operating expenses and capital expenditure requirements for at least the next 12 months from that date. We have based this estimate on assumptions that may prove to be wrong, and we could exhaust our capital resources sooner than we expect. We will require additional capital in order to complete clinical development of CLS-AX.</w:t>
      </w:r>
    </w:p>
    <w:p>
      <w:pPr>
        <w:pStyle w:val="TextBody"/>
        <w:spacing w:lineRule="auto" w:line="273" w:before="240" w:after="0"/>
        <w:jc w:val="left"/>
        <w:rPr>
          <w:rFonts w:ascii="Times New Roman" w:hAnsi="Times New Roman"/>
          <w:b/>
          <w:i/>
          <w:sz w:val="20"/>
        </w:rPr>
      </w:pPr>
      <w:r>
        <w:rPr>
          <w:rFonts w:ascii="Times New Roman" w:hAnsi="Times New Roman"/>
          <w:b/>
          <w:i/>
          <w:sz w:val="20"/>
        </w:rPr>
        <w:t>Cash Flows</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The following is a summary of the net cash flows provided by (used in) our operating, investing and financing activities (in thousands):</w:t>
      </w:r>
    </w:p>
    <w:tbl>
      <w:tblPr>
        <w:tblW w:w="5909" w:type="dxa"/>
        <w:jc w:val="left"/>
        <w:tblInd w:w="0" w:type="dxa"/>
        <w:tblCellMar>
          <w:top w:w="28" w:type="dxa"/>
          <w:left w:w="28" w:type="dxa"/>
          <w:bottom w:w="28" w:type="dxa"/>
          <w:right w:w="28" w:type="dxa"/>
        </w:tblCellMar>
      </w:tblPr>
      <w:tblGrid>
        <w:gridCol w:w="3391"/>
        <w:gridCol w:w="146"/>
        <w:gridCol w:w="211"/>
        <w:gridCol w:w="571"/>
        <w:gridCol w:w="146"/>
        <w:gridCol w:w="146"/>
        <w:gridCol w:w="211"/>
        <w:gridCol w:w="676"/>
        <w:gridCol w:w="41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(used 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(5,559</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14,419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change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3,936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8,860</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three months ended March 31, 2022, our operating activities provided net cash of $3.9 million and during the three months ended March 31, 2021 our operating activities used $5.6 million. The net cash provided for the three months ended March 31, 2022 was primarily due to the receipt of the $10.0 million milestone payment received from Bausch in connection with pre-launch activities for XIPERE offset by research and development expenses related to the preclinical and clinical programs and general and administrative expenses. The net cash used in the three months ended March 31, 2021 was primarily attributable to higher research and development expenses related to the preclinical and clinical CLS-AX program.</w:t>
      </w:r>
    </w:p>
    <w:p>
      <w:pPr>
        <w:pStyle w:val="TextBody"/>
        <w:spacing w:lineRule="auto" w:line="273" w:before="120" w:after="0"/>
        <w:jc w:val="left"/>
        <w:rPr>
          <w:rFonts w:ascii="Times New Roman" w:hAnsi="Times New Roman"/>
          <w:sz w:val="20"/>
        </w:rPr>
      </w:pPr>
      <w:r>
        <w:rPr>
          <w:rFonts w:ascii="Times New Roman" w:hAnsi="Times New Roman"/>
          <w:b w:val="false"/>
          <w:sz w:val="20"/>
        </w:rPr>
        <w:t>During the three months ended March 31, 2022 and 2021 our net cash provided by financing activities was $65,000 and $14.4 million, respectively. The cash provided by financing activities for the three months ended March 31, 2022 consisted of stock option exercises and the sale of common shares under an employee stock purchase plan. The cash provided by financing during the three months ended March 31, 2021 primarily consisted of $11.1 million of net proceeds from the sale of shares of our common stock in a registered direct offering and $3.2 million of net proceeds from the sale of shares of our common stock under the ATM agreement.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 </w:t>
      </w:r>
    </w:p>
    <w:p>
      <w:pPr>
        <w:pStyle w:val="TextBody"/>
        <w:spacing w:lineRule="auto" w:line="273" w:before="240" w:after="0"/>
        <w:jc w:val="left"/>
        <w:rPr>
          <w:rFonts w:ascii="Times New Roman" w:hAnsi="Times New Roman"/>
          <w:b/>
          <w:sz w:val="20"/>
        </w:rPr>
      </w:pPr>
      <w:bookmarkStart w:id="8" w:name="item_3_quantitative_qualitative_disclosu"/>
      <w:bookmarkEnd w:id="8"/>
      <w:r>
        <w:rPr>
          <w:rFonts w:ascii="Times New Roman" w:hAnsi="Times New Roman"/>
          <w:b/>
          <w:sz w:val="20"/>
        </w:rPr>
        <w:t>Item 3. Quantitative and Qualitative Disclosures about Market Risk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a smaller reporting company as defined by Rule 12b-2 of the Exchange Act and are not required to provide the information required under this item.</w:t>
      </w:r>
    </w:p>
    <w:p>
      <w:pPr>
        <w:pStyle w:val="TextBody"/>
        <w:spacing w:lineRule="auto" w:line="273" w:before="240" w:after="0"/>
        <w:jc w:val="left"/>
        <w:rPr>
          <w:rFonts w:ascii="Times New Roman" w:hAnsi="Times New Roman"/>
          <w:sz w:val="20"/>
        </w:rPr>
      </w:pPr>
      <w:bookmarkStart w:id="9" w:name="item_4_controls_procedures"/>
      <w:bookmarkEnd w:id="9"/>
      <w:r>
        <w:rPr>
          <w:rFonts w:ascii="Times New Roman" w:hAnsi="Times New Roman"/>
          <w:b/>
          <w:sz w:val="20"/>
        </w:rPr>
        <w:t>Item 4. Controls</w:t>
      </w:r>
      <w:r>
        <w:rPr>
          <w:rFonts w:ascii="Times New Roman" w:hAnsi="Times New Roman"/>
          <w:sz w:val="20"/>
        </w:rPr>
        <w:t xml:space="preserve"> </w:t>
      </w:r>
      <w:r>
        <w:rPr>
          <w:rFonts w:ascii="Times New Roman" w:hAnsi="Times New Roman"/>
          <w:b/>
          <w:sz w:val="20"/>
        </w:rPr>
        <w:t>and Procedures</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Evaluation of Disclosure Controls and Procedures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pStyle w:val="TextBody"/>
        <w:spacing w:lineRule="auto" w:line="273" w:before="240" w:after="0"/>
        <w:jc w:val="left"/>
        <w:rPr>
          <w:rFonts w:ascii="Times New Roman" w:hAnsi="Times New Roman"/>
          <w:b/>
          <w:i/>
          <w:sz w:val="20"/>
        </w:rPr>
      </w:pPr>
      <w:r>
        <w:rPr>
          <w:rFonts w:ascii="Times New Roman" w:hAnsi="Times New Roman"/>
          <w:b/>
          <w:i/>
          <w:sz w:val="20"/>
        </w:rPr>
        <w:t>Changes in Internal Control over Financial Reporting</w:t>
      </w:r>
    </w:p>
    <w:p>
      <w:pPr>
        <w:pStyle w:val="TextBody"/>
        <w:spacing w:lineRule="auto" w:line="273" w:before="120" w:after="0"/>
        <w:jc w:val="left"/>
        <w:rPr>
          <w:rFonts w:ascii="Times New Roman" w:hAnsi="Times New Roman"/>
          <w:sz w:val="20"/>
        </w:rPr>
      </w:pPr>
      <w:r>
        <w:rPr>
          <w:rFonts w:ascii="Times New Roman" w:hAnsi="Times New Roman"/>
          <w:b w:val="false"/>
          <w:sz w:val="20"/>
        </w:rPr>
        <w:t>There has been no change in our internal control over financial reporting during the quarter ended March 31, 2022 that has materially affected, or is reasonably likely to materially affect, our internal control over financial reporting. We have not experienced any material impact to our internal control over financial reporting.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10" w:name="part_ii_or_information"/>
      <w:bookmarkEnd w:id="10"/>
      <w:r>
        <w:rPr>
          <w:rFonts w:ascii="Times New Roman" w:hAnsi="Times New Roman"/>
          <w:b/>
          <w:sz w:val="20"/>
        </w:rPr>
        <w:t>PART II – OTHER INFORMATION</w:t>
      </w:r>
    </w:p>
    <w:p>
      <w:pPr>
        <w:pStyle w:val="TextBody"/>
        <w:spacing w:lineRule="auto" w:line="273" w:before="360" w:after="0"/>
        <w:jc w:val="left"/>
        <w:rPr>
          <w:rFonts w:ascii="Times New Roman" w:hAnsi="Times New Roman"/>
          <w:sz w:val="20"/>
        </w:rPr>
      </w:pPr>
      <w:bookmarkStart w:id="11" w:name="item_1_legal_proceedings"/>
      <w:bookmarkEnd w:id="11"/>
      <w:r>
        <w:rPr>
          <w:rFonts w:ascii="Times New Roman" w:hAnsi="Times New Roman"/>
          <w:b/>
          <w:sz w:val="20"/>
        </w:rPr>
        <w:t>Item 1. Legal</w:t>
      </w:r>
      <w:r>
        <w:rPr>
          <w:rFonts w:ascii="Times New Roman" w:hAnsi="Times New Roman"/>
          <w:sz w:val="20"/>
        </w:rPr>
        <w:t xml:space="preserve"> </w:t>
      </w:r>
      <w:r>
        <w:rPr>
          <w:rFonts w:ascii="Times New Roman" w:hAnsi="Times New Roman"/>
          <w:b/>
          <w:sz w:val="20"/>
        </w:rPr>
        <w:t>Proceedings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pStyle w:val="TextBody"/>
        <w:spacing w:lineRule="auto" w:line="273" w:before="360" w:after="0"/>
        <w:jc w:val="left"/>
        <w:rPr>
          <w:rFonts w:ascii="Times New Roman" w:hAnsi="Times New Roman"/>
          <w:sz w:val="20"/>
        </w:rPr>
      </w:pPr>
      <w:bookmarkStart w:id="12" w:name="item_1a_risk_factors"/>
      <w:bookmarkEnd w:id="12"/>
      <w:r>
        <w:rPr>
          <w:rFonts w:ascii="Times New Roman" w:hAnsi="Times New Roman"/>
          <w:b/>
          <w:sz w:val="20"/>
        </w:rPr>
        <w:t>Item 1A. Risk Factors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w:t>
      </w:r>
      <w:r>
        <w:rPr>
          <w:rFonts w:ascii="Times New Roman" w:hAnsi="Times New Roman"/>
          <w:sz w:val="20"/>
        </w:rPr>
        <w:t xml:space="preserve"> </w:t>
      </w:r>
      <w:r>
        <w:rPr>
          <w:rFonts w:ascii="Times New Roman" w:hAnsi="Times New Roman"/>
          <w:b w:val="false"/>
          <w:sz w:val="20"/>
        </w:rPr>
        <w:t>In addition to the other information set forth in this quarterly report on Form 10-Q, you should carefully consider the factors described below and in “Part I, Item 1A. Risk Factors” of our Annual Report on Form 10-K for the fiscal year ended December 31, 2021, filed with the Securities and Exchange Commission on March 11, 2022. There have been no material changes to the risk factors described in that report.</w:t>
      </w:r>
    </w:p>
    <w:p>
      <w:pPr>
        <w:pStyle w:val="TextBody"/>
        <w:spacing w:lineRule="auto" w:line="273" w:before="360" w:after="0"/>
        <w:jc w:val="left"/>
        <w:rPr>
          <w:rFonts w:ascii="Times New Roman" w:hAnsi="Times New Roman"/>
          <w:b/>
          <w:sz w:val="20"/>
        </w:rPr>
      </w:pPr>
      <w:bookmarkStart w:id="13" w:name="item_2_unregistered_sales_equity_securit"/>
      <w:bookmarkEnd w:id="13"/>
      <w:r>
        <w:rPr>
          <w:rFonts w:ascii="Times New Roman" w:hAnsi="Times New Roman"/>
          <w:b/>
          <w:sz w:val="20"/>
        </w:rPr>
        <w:t>Item 2. Unregistered Sales of Equity Securities and Use of Proceeds</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Sales of Unregistered Securities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Issuer Purchases of Equity Securities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bookmarkStart w:id="14" w:name="item_6_exhibits"/>
      <w:bookmarkEnd w:id="14"/>
      <w:r>
        <w:rPr>
          <w:rFonts w:ascii="Times New Roman" w:hAnsi="Times New Roman"/>
          <w:b/>
          <w:sz w:val="20"/>
        </w:rPr>
        <w:t>Item 6. Exhibits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902"/>
        <w:gridCol w:w="146"/>
        <w:gridCol w:w="9157"/>
      </w:tblGrid>
      <w:tr>
        <w:trPr/>
        <w:tc>
          <w:tcPr>
            <w:tcW w:w="9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57" w:type="dxa"/>
            <w:tcBorders/>
            <w:shd w:fill="auto" w:val="clear"/>
            <w:vAlign w:val="center"/>
          </w:tcPr>
          <w:p>
            <w:pPr>
              <w:pStyle w:val="TableContents"/>
              <w:spacing w:before="0" w:after="283"/>
              <w:rPr>
                <w:sz w:val="4"/>
                <w:szCs w:val="4"/>
              </w:rPr>
            </w:pPr>
            <w:r>
              <w:rPr>
                <w:sz w:val="4"/>
                <w:szCs w:val="4"/>
              </w:rPr>
            </w:r>
          </w:p>
        </w:tc>
      </w:tr>
      <w:tr>
        <w:trPr/>
        <w:tc>
          <w:tcPr>
            <w:tcW w:w="9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Exhibit No.</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Description</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hyperlink r:id="rId3">
              <w:r>
                <w:rPr>
                  <w:rStyle w:val="InternetLink"/>
                  <w:rFonts w:ascii="Times New Roman" w:hAnsi="Times New Roman"/>
                  <w:b w:val="false"/>
                  <w:sz w:val="20"/>
                  <w:u w:val="single"/>
                </w:rPr>
                <w:t>Amended and Restated Certificate of Incorporation (incorporated herein by reference to Exhibit 3.1 to the Registrant’s Current Report on Form 8-K (File No. 001-37783) filed with the SEC on June 7, 2016).</w:t>
              </w:r>
            </w:hyperlink>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hyperlink r:id="rId4">
              <w:r>
                <w:rPr>
                  <w:rStyle w:val="InternetLink"/>
                  <w:rFonts w:ascii="Times New Roman" w:hAnsi="Times New Roman"/>
                  <w:b w:val="false"/>
                  <w:sz w:val="20"/>
                  <w:u w:val="single"/>
                </w:rPr>
                <w:t>Amended and Restated Bylaws (incorporated herein by reference to Exhibit 3.2 to the Registrant’s Current Report on Form 8-K (File No. 001-37783) filed with the SEC on June 7, 2016).</w:t>
              </w:r>
            </w:hyperlink>
          </w:p>
        </w:tc>
      </w:tr>
      <w:tr>
        <w:trPr/>
        <w:tc>
          <w:tcPr>
            <w:tcW w:w="90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hyperlink w:anchor="clsd-ex31_1.htm">
              <w:r>
                <w:rPr>
                  <w:rStyle w:val="InternetLink"/>
                  <w:rFonts w:ascii="Times New Roman" w:hAnsi="Times New Roman"/>
                  <w:b w:val="false"/>
                  <w:sz w:val="20"/>
                  <w:u w:val="single"/>
                </w:rPr>
                <w:t>Certification of Principal Executive Officer under Section 302 of the Sarbanes-Oxley Act.</w:t>
              </w:r>
            </w:hyperlink>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hyperlink w:anchor="clsd-ex31_2.htm">
              <w:r>
                <w:rPr>
                  <w:rStyle w:val="InternetLink"/>
                  <w:rFonts w:ascii="Times New Roman" w:hAnsi="Times New Roman"/>
                  <w:b w:val="false"/>
                  <w:sz w:val="20"/>
                  <w:u w:val="single"/>
                </w:rPr>
                <w:t>Certification of Principal Financial Officer under Section 302 of the Sarbanes-Oxley Act.</w:t>
              </w:r>
            </w:hyperlink>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hyperlink w:anchor="clsd-ex32_1.htm">
              <w:r>
                <w:rPr>
                  <w:rStyle w:val="InternetLink"/>
                  <w:rFonts w:ascii="Times New Roman" w:hAnsi="Times New Roman"/>
                  <w:b w:val="false"/>
                  <w:sz w:val="20"/>
                  <w:u w:val="single"/>
                </w:rPr>
                <w:t>Certifications of Principal Executive Officer and Principal Financial Officer under Section 906 of the Sarbanes-Oxley Act.</w:t>
              </w:r>
            </w:hyperlink>
            <w:r>
              <w:rPr>
                <w:rFonts w:ascii="Times New Roman" w:hAnsi="Times New Roman"/>
                <w:sz w:val="20"/>
              </w:rPr>
              <w:t xml:space="preserve"> </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Instance Document</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r>
      <w:tr>
        <w:trPr/>
        <w:tc>
          <w:tcPr>
            <w:tcW w:w="90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pPr>
            <w:r>
              <w:rPr/>
              <w:t> </w:t>
            </w:r>
          </w:p>
        </w:tc>
      </w:tr>
      <w:tr>
        <w:trPr/>
        <w:tc>
          <w:tcPr>
            <w:tcW w:w="9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Cover Page Interactive Data File (formatted as inline XBRL and contained in Exhibit 101)</w:t>
            </w:r>
          </w:p>
        </w:tc>
      </w:tr>
    </w:tbl>
    <w:p>
      <w:pPr>
        <w:pStyle w:val="TextBody"/>
        <w:pBdr>
          <w:bottom w:val="single" w:sz="4" w:space="1" w:color="000000"/>
        </w:pBdr>
        <w:spacing w:lineRule="auto" w:line="273" w:before="0" w:after="0"/>
        <w:jc w:val="left"/>
        <w:rPr/>
      </w:pPr>
      <w:r>
        <w:rPr/>
        <w:t> </w:t>
      </w:r>
    </w:p>
    <w:p>
      <w:pPr>
        <w:pStyle w:val="TextBody"/>
        <w:spacing w:lineRule="auto" w:line="273" w:before="40" w:after="0"/>
        <w:jc w:val="left"/>
        <w:rPr/>
      </w:pPr>
      <w:r>
        <w:rPr/>
        <w:t> </w:t>
      </w:r>
    </w:p>
    <w:tbl>
      <w:tblPr>
        <w:tblW w:w="10205" w:type="dxa"/>
        <w:jc w:val="left"/>
        <w:tblInd w:w="0" w:type="dxa"/>
        <w:tblCellMar>
          <w:top w:w="28" w:type="dxa"/>
          <w:left w:w="28" w:type="dxa"/>
          <w:bottom w:w="28" w:type="dxa"/>
          <w:right w:w="28" w:type="dxa"/>
        </w:tblCellMar>
      </w:tblPr>
      <w:tblGrid>
        <w:gridCol w:w="254"/>
        <w:gridCol w:w="9951"/>
      </w:tblGrid>
      <w:tr>
        <w:trPr/>
        <w:tc>
          <w:tcPr>
            <w:tcW w:w="254" w:type="dxa"/>
            <w:tcBorders/>
            <w:shd w:fill="auto" w:val="clear"/>
            <w:vAlign w:val="center"/>
          </w:tcPr>
          <w:p>
            <w:pPr>
              <w:pStyle w:val="TableContents"/>
              <w:spacing w:before="0" w:after="283"/>
              <w:rPr>
                <w:sz w:val="4"/>
                <w:szCs w:val="4"/>
              </w:rPr>
            </w:pPr>
            <w:r>
              <w:rPr>
                <w:sz w:val="4"/>
                <w:szCs w:val="4"/>
              </w:rPr>
            </w:r>
          </w:p>
        </w:tc>
        <w:tc>
          <w:tcPr>
            <w:tcW w:w="9951" w:type="dxa"/>
            <w:tcBorders/>
            <w:shd w:fill="auto" w:val="clear"/>
            <w:vAlign w:val="center"/>
          </w:tcPr>
          <w:p>
            <w:pPr>
              <w:pStyle w:val="TableContents"/>
              <w:spacing w:before="0" w:after="283"/>
              <w:rPr>
                <w:sz w:val="4"/>
                <w:szCs w:val="4"/>
              </w:rPr>
            </w:pPr>
            <w:r>
              <w:rPr>
                <w:sz w:val="4"/>
                <w:szCs w:val="4"/>
              </w:rPr>
            </w:r>
          </w:p>
        </w:tc>
      </w:tr>
      <w:tr>
        <w:trPr/>
        <w:tc>
          <w:tcPr>
            <w:tcW w:w="25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9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Filed herewith.</w:t>
            </w:r>
          </w:p>
        </w:tc>
      </w:tr>
      <w:tr>
        <w:trPr/>
        <w:tc>
          <w:tcPr>
            <w:tcW w:w="25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9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15" w:name="signatures"/>
      <w:bookmarkEnd w:id="15"/>
      <w:r>
        <w:rPr>
          <w:rFonts w:ascii="Times New Roman" w:hAnsi="Times New Roman"/>
          <w:b/>
          <w:sz w:val="20"/>
        </w:rPr>
        <w:t>SIGNATURES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5294" w:type="dxa"/>
        <w:jc w:val="left"/>
        <w:tblInd w:w="0" w:type="dxa"/>
        <w:tblCellMar>
          <w:top w:w="28" w:type="dxa"/>
          <w:left w:w="28" w:type="dxa"/>
          <w:bottom w:w="28" w:type="dxa"/>
          <w:right w:w="28" w:type="dxa"/>
        </w:tblCellMar>
      </w:tblPr>
      <w:tblGrid>
        <w:gridCol w:w="1741"/>
        <w:gridCol w:w="146"/>
        <w:gridCol w:w="406"/>
        <w:gridCol w:w="300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4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Clearside Biomedical, Inc.</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0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i/>
                <w:sz w:val="20"/>
              </w:rPr>
            </w:pPr>
            <w:r>
              <w:rPr>
                <w:rFonts w:ascii="Times New Roman" w:hAnsi="Times New Roman"/>
                <w:b w:val="false"/>
                <w:i/>
                <w:sz w:val="20"/>
              </w:rPr>
              <w:t>/s/ Charles A. Deignan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Charles A. Deignan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Chief Financial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0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 xml:space="preserve">(On behalf of the Registrant and as </w:t>
              <w:br/>
              <w:t>Principal Financial Officer)</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r>
        <w:br w:type="page"/>
      </w:r>
    </w:p>
    <w:p>
      <w:pPr>
        <w:pStyle w:val="TextBody"/>
        <w:spacing w:lineRule="auto" w:line="273" w:before="0" w:after="0"/>
        <w:jc w:val="right"/>
        <w:rPr>
          <w:rFonts w:ascii="Times New Roman" w:hAnsi="Times New Roman"/>
          <w:b/>
          <w:sz w:val="20"/>
        </w:rPr>
      </w:pPr>
      <w:bookmarkStart w:id="16" w:name="clsd-ex31_1.htm"/>
      <w:bookmarkStart w:id="17" w:name="ksclsdex31_1"/>
      <w:bookmarkEnd w:id="16"/>
      <w:bookmarkEnd w:id="17"/>
      <w:r>
        <w:rPr>
          <w:rFonts w:ascii="Times New Roman" w:hAnsi="Times New Roman"/>
          <w:b/>
          <w:sz w:val="20"/>
        </w:rPr>
        <w:t>Exhibit 31.1</w:t>
      </w:r>
    </w:p>
    <w:p>
      <w:pPr>
        <w:pStyle w:val="TextBody"/>
        <w:spacing w:lineRule="auto" w:line="273" w:before="240" w:after="0"/>
        <w:jc w:val="center"/>
        <w:rPr>
          <w:rFonts w:ascii="Times New Roman" w:hAnsi="Times New Roman"/>
          <w:b/>
          <w:sz w:val="20"/>
        </w:rPr>
      </w:pPr>
      <w:r>
        <w:rPr>
          <w:rFonts w:ascii="Times New Roman" w:hAnsi="Times New Roman"/>
          <w:b/>
          <w:sz w:val="20"/>
        </w:rPr>
        <w:t>CERTIFICATION OF PRINCIPAL EXECUTIVE OFFICER</w:t>
      </w:r>
    </w:p>
    <w:p>
      <w:pPr>
        <w:pStyle w:val="TextBody"/>
        <w:spacing w:lineRule="auto" w:line="273" w:before="0" w:after="0"/>
        <w:jc w:val="center"/>
        <w:rPr>
          <w:rFonts w:ascii="Times New Roman" w:hAnsi="Times New Roman"/>
          <w:b/>
          <w:sz w:val="20"/>
        </w:rPr>
      </w:pPr>
      <w:r>
        <w:rPr>
          <w:rFonts w:ascii="Times New Roman" w:hAnsi="Times New Roman"/>
          <w:b/>
          <w:sz w:val="20"/>
        </w:rPr>
        <w:t>PURSUANT TO SECTION 302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George Lasezkay, certify that: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 have reviewed this Quarterly Report on Form 10-Q for the period ended March 31, 2022 of Clearside Biomedical, Inc. (the “registrant”);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Date: May 12, 2022</w:t>
      </w:r>
    </w:p>
    <w:p>
      <w:pPr>
        <w:pStyle w:val="TextBody"/>
        <w:spacing w:lineRule="auto" w:line="273" w:before="0" w:after="0"/>
        <w:jc w:val="left"/>
        <w:rPr/>
      </w:pPr>
      <w:r>
        <w:rPr/>
        <w:t> </w:t>
      </w:r>
    </w:p>
    <w:tbl>
      <w:tblPr>
        <w:tblW w:w="3372" w:type="dxa"/>
        <w:jc w:val="left"/>
        <w:tblInd w:w="0" w:type="dxa"/>
        <w:tblCellMar>
          <w:top w:w="28" w:type="dxa"/>
          <w:left w:w="28" w:type="dxa"/>
          <w:bottom w:w="28" w:type="dxa"/>
          <w:right w:w="28" w:type="dxa"/>
        </w:tblCellMar>
      </w:tblPr>
      <w:tblGrid>
        <w:gridCol w:w="161"/>
        <w:gridCol w:w="3211"/>
      </w:tblGrid>
      <w:tr>
        <w:trPr/>
        <w:tc>
          <w:tcPr>
            <w:tcW w:w="161"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21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George Lasezkay, Pharm.D., J.D.</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George Lasezkay, Pharm. D., J.D.</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President and Chief Executive Officer</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(principal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18" w:name="clsd-ex31_2.htm"/>
      <w:bookmarkStart w:id="19" w:name="ksclsdex31_2"/>
      <w:bookmarkEnd w:id="18"/>
      <w:bookmarkEnd w:id="19"/>
      <w:r>
        <w:rPr>
          <w:rFonts w:ascii="Times New Roman" w:hAnsi="Times New Roman"/>
          <w:b/>
          <w:sz w:val="20"/>
        </w:rPr>
        <w:t>Exhibit 31.2</w:t>
      </w:r>
    </w:p>
    <w:p>
      <w:pPr>
        <w:pStyle w:val="TextBody"/>
        <w:spacing w:lineRule="auto" w:line="273" w:before="240" w:after="0"/>
        <w:jc w:val="center"/>
        <w:rPr>
          <w:rFonts w:ascii="Times New Roman" w:hAnsi="Times New Roman"/>
          <w:b/>
          <w:sz w:val="20"/>
        </w:rPr>
      </w:pPr>
      <w:r>
        <w:rPr>
          <w:rFonts w:ascii="Times New Roman" w:hAnsi="Times New Roman"/>
          <w:b/>
          <w:sz w:val="20"/>
        </w:rPr>
        <w:t>CERTIFICATION OF PRINCIPAL FINANCIAL OFFICER</w:t>
      </w:r>
    </w:p>
    <w:p>
      <w:pPr>
        <w:pStyle w:val="TextBody"/>
        <w:spacing w:lineRule="auto" w:line="273" w:before="0" w:after="0"/>
        <w:jc w:val="center"/>
        <w:rPr>
          <w:rFonts w:ascii="Times New Roman" w:hAnsi="Times New Roman"/>
          <w:b/>
          <w:sz w:val="20"/>
        </w:rPr>
      </w:pPr>
      <w:r>
        <w:rPr>
          <w:rFonts w:ascii="Times New Roman" w:hAnsi="Times New Roman"/>
          <w:b/>
          <w:sz w:val="20"/>
        </w:rPr>
        <w:t>PURSUANT TO SECTION 302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Charles A. Deignan, certify that: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 have reviewed this Quarterly Report on Form 10-Q for the period ended March 31, 2022 of Clearside Biomedical, Inc. (the “registrant”);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Date: May 12, 2022</w:t>
      </w:r>
    </w:p>
    <w:tbl>
      <w:tblPr>
        <w:tblW w:w="2502" w:type="dxa"/>
        <w:jc w:val="left"/>
        <w:tblInd w:w="0" w:type="dxa"/>
        <w:tblCellMar>
          <w:top w:w="28" w:type="dxa"/>
          <w:left w:w="28" w:type="dxa"/>
          <w:bottom w:w="28" w:type="dxa"/>
          <w:right w:w="28" w:type="dxa"/>
        </w:tblCellMar>
      </w:tblPr>
      <w:tblGrid>
        <w:gridCol w:w="161"/>
        <w:gridCol w:w="2341"/>
      </w:tblGrid>
      <w:tr>
        <w:trPr/>
        <w:tc>
          <w:tcPr>
            <w:tcW w:w="161"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34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Charles A. Deignan</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A. Deignan</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Chief Financial Officer</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(principal financial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20" w:name="clsd-ex32_1.htm"/>
      <w:bookmarkStart w:id="21" w:name="ksclsdex32_1"/>
      <w:bookmarkEnd w:id="20"/>
      <w:bookmarkEnd w:id="21"/>
      <w:r>
        <w:rPr>
          <w:rFonts w:ascii="Times New Roman" w:hAnsi="Times New Roman"/>
          <w:b/>
          <w:sz w:val="20"/>
        </w:rPr>
        <w:t>Exhibit 32.1</w:t>
      </w:r>
    </w:p>
    <w:p>
      <w:pPr>
        <w:pStyle w:val="TextBody"/>
        <w:spacing w:lineRule="auto" w:line="273" w:before="240" w:after="0"/>
        <w:jc w:val="center"/>
        <w:rPr>
          <w:rFonts w:ascii="Times New Roman" w:hAnsi="Times New Roman"/>
          <w:b/>
          <w:sz w:val="20"/>
        </w:rPr>
      </w:pPr>
      <w:r>
        <w:rPr>
          <w:rFonts w:ascii="Times New Roman" w:hAnsi="Times New Roman"/>
          <w:b/>
          <w:sz w:val="20"/>
        </w:rPr>
        <w:t>CERTIFICATIONS OF</w:t>
      </w:r>
    </w:p>
    <w:p>
      <w:pPr>
        <w:pStyle w:val="TextBody"/>
        <w:spacing w:lineRule="auto" w:line="273" w:before="0" w:after="0"/>
        <w:jc w:val="center"/>
        <w:rPr>
          <w:rFonts w:ascii="Times New Roman" w:hAnsi="Times New Roman"/>
          <w:b/>
          <w:sz w:val="20"/>
        </w:rPr>
      </w:pPr>
      <w:r>
        <w:rPr>
          <w:rFonts w:ascii="Times New Roman" w:hAnsi="Times New Roman"/>
          <w:b/>
          <w:sz w:val="20"/>
        </w:rPr>
        <w:t>PRINCIPAL EXECUTIVE OFFICER AND PRINCIPAL FINANCIAL OFFICER</w:t>
      </w:r>
    </w:p>
    <w:p>
      <w:pPr>
        <w:pStyle w:val="TextBody"/>
        <w:spacing w:lineRule="auto" w:line="273" w:before="0" w:after="0"/>
        <w:jc w:val="center"/>
        <w:rPr>
          <w:rFonts w:ascii="Times New Roman" w:hAnsi="Times New Roman"/>
          <w:b/>
          <w:sz w:val="20"/>
        </w:rPr>
      </w:pPr>
      <w:r>
        <w:rPr>
          <w:rFonts w:ascii="Times New Roman" w:hAnsi="Times New Roman"/>
          <w:b/>
          <w:sz w:val="20"/>
        </w:rPr>
        <w:t>PURSUANT TO 18 U.S.C. SECTION 1350,</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Company’s Quarterly Report on Form 10-Q for the period ended March 31, 2022, to which this Certification is attached as Exhibit 32.1 (the “Periodic Report”), fully complies with the requirements of Section 13(a) or Section 15(d) of the Exchange Act;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information contained in the Periodic Report fairly presents, in all material respects, the financial condition and results of operations of the Company.</w:t>
      </w:r>
    </w:p>
    <w:p>
      <w:pPr>
        <w:pStyle w:val="TextBody"/>
        <w:spacing w:lineRule="auto" w:line="273" w:before="240" w:after="0"/>
        <w:jc w:val="left"/>
        <w:rPr>
          <w:rFonts w:ascii="Times New Roman" w:hAnsi="Times New Roman"/>
          <w:sz w:val="20"/>
        </w:rPr>
      </w:pPr>
      <w:r>
        <w:rPr>
          <w:rFonts w:ascii="Times New Roman" w:hAnsi="Times New Roman"/>
          <w:b/>
          <w:sz w:val="20"/>
        </w:rPr>
        <w:t>IN WITNESS WHEREOF</w:t>
      </w:r>
      <w:r>
        <w:rPr>
          <w:rFonts w:ascii="Times New Roman" w:hAnsi="Times New Roman"/>
          <w:b w:val="false"/>
          <w:sz w:val="20"/>
        </w:rPr>
        <w:t>, the undersigned have set their hands hereto as of the 12th day of May, 2022.</w:t>
      </w:r>
    </w:p>
    <w:p>
      <w:pPr>
        <w:pStyle w:val="TextBody"/>
        <w:spacing w:lineRule="auto" w:line="273" w:before="0" w:after="0"/>
        <w:jc w:val="left"/>
        <w:rPr/>
      </w:pPr>
      <w:r>
        <w:rPr/>
        <w:t> </w:t>
      </w:r>
    </w:p>
    <w:tbl>
      <w:tblPr>
        <w:tblW w:w="5713" w:type="dxa"/>
        <w:jc w:val="left"/>
        <w:tblInd w:w="0" w:type="dxa"/>
        <w:tblCellMar>
          <w:top w:w="28" w:type="dxa"/>
          <w:left w:w="28" w:type="dxa"/>
          <w:bottom w:w="28" w:type="dxa"/>
          <w:right w:w="28" w:type="dxa"/>
        </w:tblCellMar>
      </w:tblPr>
      <w:tblGrid>
        <w:gridCol w:w="3226"/>
        <w:gridCol w:w="146"/>
        <w:gridCol w:w="234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r>
      <w:tr>
        <w:trPr/>
        <w:tc>
          <w:tcPr>
            <w:tcW w:w="322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George Lasezkay, Pharm. D., J.D.</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4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Charles. A. Deignan</w:t>
            </w:r>
          </w:p>
        </w:tc>
      </w:tr>
      <w:tr>
        <w:trPr/>
        <w:tc>
          <w:tcPr>
            <w:tcW w:w="32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George Lasezkay, Pharm. D., J.D.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A. Deignan</w:t>
            </w:r>
          </w:p>
        </w:tc>
      </w:tr>
      <w:tr>
        <w:trPr/>
        <w:tc>
          <w:tcPr>
            <w:tcW w:w="32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xml:space="preserve">President and Chief Executive Officer </w:t>
              <w:br/>
              <w:t>(principal executive officer)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xml:space="preserve">Chief Financial Officer </w:t>
              <w:br/>
              <w:t>(principal financial officer)</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9029/000119312516615374/d208521dex31.htm" TargetMode="External"/><Relationship Id="rId4" Type="http://schemas.openxmlformats.org/officeDocument/2006/relationships/hyperlink" Target="https://www.sec.gov/Archives/edgar/data/1539029/000119312516615374/d208521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13698</Words>
  <CharactersWithSpaces>89825</CharactersWithSpaces>
  <Paragraphs>2527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