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137160</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172085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1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ind w:left="3860" w:right="1720" w:hanging="3852"/>
        <w:spacing w:after="0" w:line="310" w:lineRule="auto"/>
        <w:tabs>
          <w:tab w:leader="none" w:pos="365"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2022</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77" w:lineRule="exact"/>
        <w:rPr>
          <w:sz w:val="24"/>
          <w:szCs w:val="24"/>
          <w:color w:val="auto"/>
        </w:rPr>
      </w:pPr>
    </w:p>
    <w:p>
      <w:pPr>
        <w:ind w:left="4200" w:right="1720" w:hanging="4192"/>
        <w:spacing w:after="0" w:line="349" w:lineRule="auto"/>
        <w:tabs>
          <w:tab w:leader="none" w:pos="37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Commission File Number: 001-37783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Clearside Biomedical, Inc.</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156845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707" w:right="339" w:bottom="1440" w:gutter="0" w:footer="0" w:header="0"/>
        </w:sectPr>
      </w:pPr>
    </w:p>
    <w:p>
      <w:pPr>
        <w:spacing w:after="0" w:line="200" w:lineRule="exact"/>
        <w:rPr>
          <w:sz w:val="24"/>
          <w:szCs w:val="24"/>
          <w:color w:val="auto"/>
        </w:rPr>
      </w:pPr>
    </w:p>
    <w:p>
      <w:pPr>
        <w:spacing w:after="0" w:line="309"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6"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8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9" w:lineRule="exact"/>
        <w:rPr>
          <w:sz w:val="24"/>
          <w:szCs w:val="24"/>
          <w:color w:val="auto"/>
        </w:rPr>
      </w:pPr>
    </w:p>
    <w:p>
      <w:pPr>
        <w:jc w:val="center"/>
        <w:ind w:right="2240"/>
        <w:spacing w:after="0"/>
        <w:rPr>
          <w:sz w:val="20"/>
          <w:szCs w:val="20"/>
          <w:color w:val="auto"/>
        </w:rPr>
      </w:pPr>
      <w:r>
        <w:rPr>
          <w:rFonts w:ascii="Times New Roman" w:cs="Times New Roman" w:eastAsia="Times New Roman" w:hAnsi="Times New Roman"/>
          <w:sz w:val="18"/>
          <w:szCs w:val="18"/>
          <w:b w:val="1"/>
          <w:bCs w:val="1"/>
          <w:color w:val="auto"/>
        </w:rPr>
        <w:t>45-2437375</w:t>
      </w:r>
    </w:p>
    <w:p>
      <w:pPr>
        <w:spacing w:after="0" w:line="34"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 w:lineRule="exact"/>
        <w:rPr>
          <w:sz w:val="24"/>
          <w:szCs w:val="24"/>
          <w:color w:val="auto"/>
        </w:rPr>
      </w:pPr>
    </w:p>
    <w:p>
      <w:pPr>
        <w:sectPr>
          <w:pgSz w:w="11900" w:h="16838" w:orient="portrait"/>
          <w:cols w:equalWidth="0" w:num="2">
            <w:col w:w="7140" w:space="720"/>
            <w:col w:w="3380"/>
          </w:cols>
          <w:pgMar w:left="320" w:top="707" w:right="339" w:bottom="1440" w:gutter="0" w:footer="0" w:header="0"/>
          <w:type w:val="continuous"/>
        </w:sectPr>
      </w:pPr>
    </w:p>
    <w:tbl>
      <w:tblPr>
        <w:tblLayout w:type="fixed"/>
        <w:tblInd w:w="1440" w:type="dxa"/>
        <w:tblCellMar>
          <w:top w:w="0" w:type="dxa"/>
          <w:left w:w="0" w:type="dxa"/>
          <w:bottom w:w="0" w:type="dxa"/>
          <w:right w:w="0" w:type="dxa"/>
        </w:tblCellMar>
      </w:tblPr>
      <w:tr>
        <w:trPr>
          <w:trHeight w:val="174"/>
        </w:trPr>
        <w:tc>
          <w:tcPr>
            <w:tcW w:w="4700" w:type="dxa"/>
            <w:vAlign w:val="bottom"/>
          </w:tcPr>
          <w:p>
            <w:pPr>
              <w:jc w:val="center"/>
              <w:ind w:right="1856"/>
              <w:spacing w:after="0" w:line="175" w:lineRule="exact"/>
              <w:rPr>
                <w:sz w:val="20"/>
                <w:szCs w:val="20"/>
                <w:color w:val="auto"/>
              </w:rPr>
            </w:pPr>
            <w:r>
              <w:rPr>
                <w:rFonts w:ascii="Times New Roman" w:cs="Times New Roman" w:eastAsia="Times New Roman" w:hAnsi="Times New Roman"/>
                <w:sz w:val="18"/>
                <w:szCs w:val="18"/>
                <w:b w:val="1"/>
                <w:bCs w:val="1"/>
                <w:color w:val="auto"/>
                <w:w w:val="99"/>
              </w:rPr>
              <w:t>900 North Point Parkway, Suite 200</w:t>
            </w:r>
          </w:p>
        </w:tc>
        <w:tc>
          <w:tcPr>
            <w:tcW w:w="2620" w:type="dxa"/>
            <w:vAlign w:val="bottom"/>
            <w:vMerge w:val="restart"/>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30005</w:t>
            </w:r>
          </w:p>
        </w:tc>
        <w:tc>
          <w:tcPr>
            <w:tcW w:w="0" w:type="dxa"/>
            <w:vAlign w:val="bottom"/>
          </w:tcPr>
          <w:p>
            <w:pPr>
              <w:spacing w:after="0"/>
              <w:rPr>
                <w:sz w:val="1"/>
                <w:szCs w:val="1"/>
                <w:color w:val="auto"/>
              </w:rPr>
            </w:pPr>
          </w:p>
        </w:tc>
      </w:tr>
      <w:tr>
        <w:trPr>
          <w:trHeight w:val="227"/>
        </w:trPr>
        <w:tc>
          <w:tcPr>
            <w:tcW w:w="4700" w:type="dxa"/>
            <w:vAlign w:val="bottom"/>
          </w:tcPr>
          <w:p>
            <w:pPr>
              <w:jc w:val="center"/>
              <w:ind w:right="1856"/>
              <w:spacing w:after="0"/>
              <w:rPr>
                <w:sz w:val="20"/>
                <w:szCs w:val="20"/>
                <w:color w:val="auto"/>
              </w:rPr>
            </w:pPr>
            <w:r>
              <w:rPr>
                <w:rFonts w:ascii="Times New Roman" w:cs="Times New Roman" w:eastAsia="Times New Roman" w:hAnsi="Times New Roman"/>
                <w:sz w:val="18"/>
                <w:szCs w:val="18"/>
                <w:b w:val="1"/>
                <w:bCs w:val="1"/>
                <w:color w:val="auto"/>
                <w:w w:val="99"/>
              </w:rPr>
              <w:t>Alpharetta, GA</w:t>
            </w:r>
          </w:p>
        </w:tc>
        <w:tc>
          <w:tcPr>
            <w:tcW w:w="2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4700" w:type="dxa"/>
            <w:vAlign w:val="bottom"/>
          </w:tcPr>
          <w:p>
            <w:pPr>
              <w:jc w:val="center"/>
              <w:ind w:right="187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620" w:type="dxa"/>
            <w:vAlign w:val="bottom"/>
          </w:tcPr>
          <w:p>
            <w:pPr>
              <w:jc w:val="center"/>
              <w:ind w:left="1879"/>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bl>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(678) 270-3631</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7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156845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12" w:lineRule="exact"/>
        <w:rPr>
          <w:sz w:val="24"/>
          <w:szCs w:val="24"/>
          <w:color w:val="auto"/>
        </w:rPr>
      </w:pPr>
    </w:p>
    <w:p>
      <w:pPr>
        <w:ind w:left="1460"/>
        <w:spacing w:after="0"/>
        <w:tabs>
          <w:tab w:leader="none" w:pos="4660" w:val="left"/>
          <w:tab w:leader="none" w:pos="7300" w:val="left"/>
        </w:tabs>
        <w:rPr>
          <w:sz w:val="20"/>
          <w:szCs w:val="20"/>
          <w:color w:val="auto"/>
        </w:rPr>
      </w:pPr>
      <w:r>
        <w:rPr>
          <w:rFonts w:ascii="Times New Roman" w:cs="Times New Roman" w:eastAsia="Times New Roman" w:hAnsi="Times New Roman"/>
          <w:sz w:val="18"/>
          <w:szCs w:val="18"/>
          <w:color w:val="auto"/>
        </w:rPr>
        <w:t>Title of each class</w:t>
      </w:r>
      <w:r>
        <w:rPr>
          <w:sz w:val="20"/>
          <w:szCs w:val="20"/>
          <w:color w:val="auto"/>
        </w:rPr>
        <w:tab/>
      </w:r>
      <w:r>
        <w:rPr>
          <w:rFonts w:ascii="Times New Roman" w:cs="Times New Roman" w:eastAsia="Times New Roman" w:hAnsi="Times New Roman"/>
          <w:sz w:val="18"/>
          <w:szCs w:val="18"/>
          <w:color w:val="auto"/>
        </w:rPr>
        <w:t>Trading Symbol(s)</w:t>
      </w:r>
      <w:r>
        <w:rPr>
          <w:sz w:val="20"/>
          <w:szCs w:val="20"/>
          <w:color w:val="auto"/>
        </w:rPr>
        <w:tab/>
      </w:r>
      <w:r>
        <w:rPr>
          <w:rFonts w:ascii="Times New Roman" w:cs="Times New Roman" w:eastAsia="Times New Roman" w:hAnsi="Times New Roman"/>
          <w:sz w:val="17"/>
          <w:szCs w:val="17"/>
          <w:color w:val="auto"/>
        </w:rPr>
        <w:t>Name of each exchange on which registered</w:t>
      </w:r>
    </w:p>
    <w:p>
      <w:pPr>
        <w:spacing w:after="0" w:line="27" w:lineRule="exact"/>
        <w:rPr>
          <w:sz w:val="24"/>
          <w:szCs w:val="24"/>
          <w:color w:val="auto"/>
        </w:rPr>
      </w:pPr>
    </w:p>
    <w:p>
      <w:pPr>
        <w:ind w:left="540"/>
        <w:spacing w:after="0"/>
        <w:tabs>
          <w:tab w:leader="none" w:pos="5100" w:val="left"/>
          <w:tab w:leader="none" w:pos="7760" w:val="left"/>
        </w:tabs>
        <w:rPr>
          <w:sz w:val="20"/>
          <w:szCs w:val="20"/>
          <w:color w:val="auto"/>
        </w:rPr>
      </w:pPr>
      <w:r>
        <w:rPr>
          <w:rFonts w:ascii="Times New Roman" w:cs="Times New Roman" w:eastAsia="Times New Roman" w:hAnsi="Times New Roman"/>
          <w:sz w:val="18"/>
          <w:szCs w:val="18"/>
          <w:color w:val="auto"/>
        </w:rPr>
        <w:t>Common Stock, par value $0.001 per share</w:t>
      </w:r>
      <w:r>
        <w:rPr>
          <w:sz w:val="20"/>
          <w:szCs w:val="20"/>
          <w:color w:val="auto"/>
        </w:rPr>
        <w:tab/>
      </w:r>
      <w:r>
        <w:rPr>
          <w:rFonts w:ascii="Times New Roman" w:cs="Times New Roman" w:eastAsia="Times New Roman" w:hAnsi="Times New Roman"/>
          <w:sz w:val="18"/>
          <w:szCs w:val="18"/>
          <w:color w:val="auto"/>
        </w:rPr>
        <w:t>CLSD</w:t>
      </w:r>
      <w:r>
        <w:rPr>
          <w:sz w:val="20"/>
          <w:szCs w:val="20"/>
          <w:color w:val="auto"/>
        </w:rPr>
        <w:tab/>
      </w:r>
      <w:r>
        <w:rPr>
          <w:rFonts w:ascii="Times New Roman" w:cs="Times New Roman" w:eastAsia="Times New Roman" w:hAnsi="Times New Roman"/>
          <w:sz w:val="17"/>
          <w:szCs w:val="17"/>
          <w:color w:val="auto"/>
        </w:rPr>
        <w:t>The Nasdaq Stock Market LLC</w:t>
      </w:r>
    </w:p>
    <w:p>
      <w:pPr>
        <w:spacing w:after="0" w:line="58" w:lineRule="exact"/>
        <w:rPr>
          <w:sz w:val="24"/>
          <w:szCs w:val="24"/>
          <w:color w:val="auto"/>
        </w:rPr>
      </w:pPr>
    </w:p>
    <w:p>
      <w:pPr>
        <w:ind w:right="60" w:firstLine="509"/>
        <w:spacing w:after="0" w:line="22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6" w:lineRule="exact"/>
        <w:rPr>
          <w:sz w:val="24"/>
          <w:szCs w:val="24"/>
          <w:color w:val="auto"/>
        </w:rPr>
      </w:pPr>
    </w:p>
    <w:p>
      <w:pPr>
        <w:ind w:right="40" w:firstLine="509"/>
        <w:spacing w:after="0" w:line="22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9" w:lineRule="exact"/>
        <w:rPr>
          <w:sz w:val="24"/>
          <w:szCs w:val="24"/>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508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Accelerated filer</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508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508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Emerging growth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4" w:lineRule="exact"/>
        <w:rPr>
          <w:sz w:val="24"/>
          <w:szCs w:val="24"/>
          <w:color w:val="auto"/>
        </w:rPr>
      </w:pPr>
    </w:p>
    <w:p>
      <w:pPr>
        <w:ind w:firstLine="509"/>
        <w:spacing w:after="0" w:line="22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7" w:lineRule="exact"/>
        <w:rPr>
          <w:sz w:val="24"/>
          <w:szCs w:val="24"/>
          <w:color w:val="auto"/>
        </w:rPr>
      </w:pPr>
    </w:p>
    <w:p>
      <w:pPr>
        <w:ind w:left="520" w:right="1200"/>
        <w:spacing w:after="0" w:line="27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August 10, 2022, the registrant had 60,190,731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154940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614045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7"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6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0" w:type="dxa"/>
            <w:vAlign w:val="bottom"/>
            <w:gridSpan w:val="8"/>
          </w:tcPr>
          <w:p>
            <w:pPr>
              <w:jc w:val="center"/>
              <w:ind w:right="2440"/>
              <w:spacing w:after="0"/>
              <w:rPr>
                <w:sz w:val="20"/>
                <w:szCs w:val="20"/>
                <w:color w:val="auto"/>
              </w:rPr>
            </w:pPr>
            <w:r>
              <w:rPr>
                <w:rFonts w:ascii="Times New Roman" w:cs="Times New Roman" w:eastAsia="Times New Roman" w:hAnsi="Times New Roman"/>
                <w:sz w:val="18"/>
                <w:szCs w:val="18"/>
                <w:b w:val="1"/>
                <w:bCs w:val="1"/>
                <w:color w:val="auto"/>
                <w:w w:val="98"/>
              </w:rPr>
              <w:t>PART I - FINANCIAL INFORMATION</w:t>
            </w:r>
          </w:p>
        </w:tc>
        <w:tc>
          <w:tcPr>
            <w:tcW w:w="640" w:type="dxa"/>
            <w:vAlign w:val="bottom"/>
          </w:tcPr>
          <w:p>
            <w:pPr>
              <w:spacing w:after="0"/>
              <w:rPr>
                <w:sz w:val="19"/>
                <w:szCs w:val="19"/>
                <w:color w:val="auto"/>
              </w:rPr>
            </w:pPr>
          </w:p>
        </w:tc>
      </w:tr>
      <w:tr>
        <w:trPr>
          <w:trHeight w:val="225"/>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4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Financial Statements (unaudited)</w:t>
            </w:r>
          </w:p>
        </w:tc>
        <w:tc>
          <w:tcPr>
            <w:tcW w:w="640" w:type="dxa"/>
            <w:vAlign w:val="bottom"/>
          </w:tcPr>
          <w:p>
            <w:pPr>
              <w:spacing w:after="0"/>
              <w:rPr>
                <w:sz w:val="19"/>
                <w:szCs w:val="19"/>
                <w:color w:val="auto"/>
              </w:rPr>
            </w:pPr>
          </w:p>
        </w:tc>
      </w:tr>
      <w:tr>
        <w:trPr>
          <w:trHeight w:val="194"/>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40" w:type="dxa"/>
            <w:vAlign w:val="bottom"/>
            <w:gridSpan w:val="14"/>
          </w:tcPr>
          <w:p>
            <w:pPr>
              <w:spacing w:after="0" w:line="194" w:lineRule="exact"/>
              <w:rPr>
                <w:sz w:val="20"/>
                <w:szCs w:val="20"/>
                <w:color w:val="auto"/>
              </w:rPr>
            </w:pPr>
            <w:r>
              <w:rPr>
                <w:rFonts w:ascii="Times New Roman" w:cs="Times New Roman" w:eastAsia="Times New Roman" w:hAnsi="Times New Roman"/>
                <w:sz w:val="18"/>
                <w:szCs w:val="18"/>
                <w:color w:val="0000FF"/>
              </w:rPr>
              <w:t>Balance Sheets as of June 30, 2022 and December 31, 2021</w:t>
            </w:r>
          </w:p>
        </w:tc>
        <w:tc>
          <w:tcPr>
            <w:tcW w:w="6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88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16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Statements of Operations for the three and six months ended June 30, 2022 and 2021</w:t>
            </w:r>
          </w:p>
        </w:tc>
        <w:tc>
          <w:tcPr>
            <w:tcW w:w="3280" w:type="dxa"/>
            <w:vAlign w:val="bottom"/>
            <w:gridSpan w:val="3"/>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90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Statements of Stockholders’ Equity for the three and six months ended June 30, 2022 and 2021</w:t>
            </w:r>
          </w:p>
        </w:tc>
        <w:tc>
          <w:tcPr>
            <w:tcW w:w="2540" w:type="dxa"/>
            <w:vAlign w:val="bottom"/>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52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Statements of Cash Flows for the six months ended June 30, 2022 and 2021</w:t>
            </w:r>
          </w:p>
        </w:tc>
        <w:tc>
          <w:tcPr>
            <w:tcW w:w="3920" w:type="dxa"/>
            <w:vAlign w:val="bottom"/>
            <w:gridSpan w:val="4"/>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Notes to the Financial Statements</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16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4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196"/>
        </w:trPr>
        <w:tc>
          <w:tcPr>
            <w:tcW w:w="116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top w:val="single" w:sz="8" w:color="0000FF"/>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tcBorders>
              <w:top w:val="single" w:sz="8" w:color="0000FF"/>
            </w:tcBorders>
            <w:gridSpan w:val="3"/>
          </w:tcPr>
          <w:p>
            <w:pPr>
              <w:spacing w:after="0"/>
              <w:rPr>
                <w:sz w:val="17"/>
                <w:szCs w:val="17"/>
                <w:color w:val="auto"/>
              </w:rPr>
            </w:pPr>
          </w:p>
        </w:tc>
        <w:tc>
          <w:tcPr>
            <w:tcW w:w="2980" w:type="dxa"/>
            <w:vAlign w:val="bottom"/>
            <w:gridSpan w:val="2"/>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196"/>
        </w:trPr>
        <w:tc>
          <w:tcPr>
            <w:tcW w:w="116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4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250"/>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Borders>
              <w:top w:val="single" w:sz="8" w:color="0000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00" w:type="dxa"/>
            <w:vAlign w:val="bottom"/>
            <w:tcBorders>
              <w:top w:val="single" w:sz="8" w:color="0000FF"/>
            </w:tcBorders>
          </w:tcPr>
          <w:p>
            <w:pPr>
              <w:spacing w:after="0"/>
              <w:rPr>
                <w:sz w:val="21"/>
                <w:szCs w:val="21"/>
                <w:color w:val="auto"/>
              </w:rPr>
            </w:pPr>
          </w:p>
        </w:tc>
        <w:tc>
          <w:tcPr>
            <w:tcW w:w="440" w:type="dxa"/>
            <w:vAlign w:val="bottom"/>
            <w:tcBorders>
              <w:top w:val="single" w:sz="8" w:color="0000FF"/>
            </w:tcBorders>
          </w:tcPr>
          <w:p>
            <w:pPr>
              <w:spacing w:after="0"/>
              <w:rPr>
                <w:sz w:val="21"/>
                <w:szCs w:val="21"/>
                <w:color w:val="auto"/>
              </w:rPr>
            </w:pPr>
          </w:p>
        </w:tc>
        <w:tc>
          <w:tcPr>
            <w:tcW w:w="660" w:type="dxa"/>
            <w:vAlign w:val="bottom"/>
          </w:tcPr>
          <w:p>
            <w:pPr>
              <w:spacing w:after="0"/>
              <w:rPr>
                <w:sz w:val="21"/>
                <w:szCs w:val="21"/>
                <w:color w:val="auto"/>
              </w:rPr>
            </w:pPr>
          </w:p>
        </w:tc>
        <w:tc>
          <w:tcPr>
            <w:tcW w:w="7000" w:type="dxa"/>
            <w:vAlign w:val="bottom"/>
            <w:gridSpan w:val="8"/>
          </w:tcPr>
          <w:p>
            <w:pPr>
              <w:jc w:val="center"/>
              <w:ind w:right="2440"/>
              <w:spacing w:after="0"/>
              <w:rPr>
                <w:sz w:val="20"/>
                <w:szCs w:val="20"/>
                <w:color w:val="auto"/>
              </w:rPr>
            </w:pPr>
            <w:r>
              <w:rPr>
                <w:rFonts w:ascii="Times New Roman" w:cs="Times New Roman" w:eastAsia="Times New Roman" w:hAnsi="Times New Roman"/>
                <w:sz w:val="18"/>
                <w:szCs w:val="18"/>
                <w:b w:val="1"/>
                <w:bCs w:val="1"/>
                <w:color w:val="auto"/>
                <w:w w:val="99"/>
              </w:rPr>
              <w:t>PART II - OTHER INFORMATION</w:t>
            </w:r>
          </w:p>
        </w:tc>
        <w:tc>
          <w:tcPr>
            <w:tcW w:w="640" w:type="dxa"/>
            <w:vAlign w:val="bottom"/>
          </w:tcPr>
          <w:p>
            <w:pPr>
              <w:spacing w:after="0"/>
              <w:rPr>
                <w:sz w:val="21"/>
                <w:szCs w:val="21"/>
                <w:color w:val="auto"/>
              </w:rPr>
            </w:pPr>
          </w:p>
        </w:tc>
      </w:tr>
      <w:tr>
        <w:trPr>
          <w:trHeight w:val="203"/>
        </w:trPr>
        <w:tc>
          <w:tcPr>
            <w:tcW w:w="1160" w:type="dxa"/>
            <w:vAlign w:val="bottom"/>
            <w:gridSpan w:val="3"/>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1.</w:t>
            </w:r>
          </w:p>
        </w:tc>
        <w:tc>
          <w:tcPr>
            <w:tcW w:w="9440" w:type="dxa"/>
            <w:vAlign w:val="bottom"/>
            <w:gridSpan w:val="14"/>
          </w:tcPr>
          <w:p>
            <w:pPr>
              <w:spacing w:after="0" w:line="202" w:lineRule="exact"/>
              <w:rPr>
                <w:sz w:val="20"/>
                <w:szCs w:val="20"/>
                <w:color w:val="auto"/>
              </w:rPr>
            </w:pPr>
            <w:r>
              <w:rPr>
                <w:rFonts w:ascii="Times New Roman" w:cs="Times New Roman" w:eastAsia="Times New Roman" w:hAnsi="Times New Roman"/>
                <w:sz w:val="18"/>
                <w:szCs w:val="18"/>
                <w:color w:val="0000FF"/>
              </w:rPr>
              <w:t>Legal Proceedings</w:t>
            </w:r>
          </w:p>
        </w:tc>
        <w:tc>
          <w:tcPr>
            <w:tcW w:w="6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25</w:t>
            </w:r>
          </w:p>
        </w:tc>
      </w:tr>
      <w:tr>
        <w:trPr>
          <w:trHeight w:val="196"/>
        </w:trPr>
        <w:tc>
          <w:tcPr>
            <w:tcW w:w="116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FF"/>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Risk Factors</w:t>
            </w:r>
          </w:p>
        </w:tc>
        <w:tc>
          <w:tcPr>
            <w:tcW w:w="20" w:type="dxa"/>
            <w:vAlign w:val="bottom"/>
            <w:tcBorders>
              <w:top w:val="single" w:sz="8" w:color="0000FF"/>
              <w:bottom w:val="single" w:sz="8" w:color="0000EE"/>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8100" w:type="dxa"/>
            <w:vAlign w:val="bottom"/>
            <w:gridSpan w:val="10"/>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196"/>
        </w:trPr>
        <w:tc>
          <w:tcPr>
            <w:tcW w:w="116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5080" w:type="dxa"/>
            <w:vAlign w:val="bottom"/>
            <w:gridSpan w:val="6"/>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196"/>
        </w:trPr>
        <w:tc>
          <w:tcPr>
            <w:tcW w:w="116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4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196"/>
        </w:trPr>
        <w:tc>
          <w:tcPr>
            <w:tcW w:w="116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973"/>
        </w:trPr>
        <w:tc>
          <w:tcPr>
            <w:tcW w:w="20" w:type="dxa"/>
            <w:vAlign w:val="bottom"/>
            <w:tcBorders>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CLEARSIDE BIOMEDICAL,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80" w:type="dxa"/>
            <w:vAlign w:val="bottom"/>
          </w:tcPr>
          <w:p>
            <w:pPr>
              <w:spacing w:after="0"/>
              <w:rPr>
                <w:sz w:val="17"/>
                <w:szCs w:val="17"/>
                <w:color w:val="auto"/>
              </w:rPr>
            </w:pPr>
          </w:p>
        </w:tc>
        <w:tc>
          <w:tcPr>
            <w:tcW w:w="15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6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14"/>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29,033</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30,436</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current assets</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tcPr>
          <w:p>
            <w:pPr>
              <w:spacing w:after="0"/>
              <w:rPr>
                <w:sz w:val="18"/>
                <w:szCs w:val="18"/>
                <w:color w:val="auto"/>
              </w:rPr>
            </w:pPr>
          </w:p>
        </w:tc>
      </w:tr>
      <w:tr>
        <w:trPr>
          <w:trHeight w:val="209"/>
        </w:trPr>
        <w:tc>
          <w:tcPr>
            <w:tcW w:w="76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29,989</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42,136</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18"/>
                <w:szCs w:val="18"/>
                <w:color w:val="auto"/>
              </w:rPr>
            </w:pPr>
          </w:p>
        </w:tc>
      </w:tr>
      <w:tr>
        <w:trPr>
          <w:trHeight w:val="249"/>
        </w:trPr>
        <w:tc>
          <w:tcPr>
            <w:tcW w:w="768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30,746</w:t>
            </w: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42,903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76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2,644</w:t>
            </w:r>
          </w:p>
        </w:tc>
        <w:tc>
          <w:tcPr>
            <w:tcW w:w="2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liabilities</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2,354</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3,312</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tcPr>
          <w:p>
            <w:pPr>
              <w:spacing w:after="0"/>
              <w:rPr>
                <w:sz w:val="18"/>
                <w:szCs w:val="18"/>
                <w:color w:val="auto"/>
              </w:rPr>
            </w:pPr>
          </w:p>
        </w:tc>
      </w:tr>
      <w:tr>
        <w:trPr>
          <w:trHeight w:val="209"/>
        </w:trPr>
        <w:tc>
          <w:tcPr>
            <w:tcW w:w="76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5,393</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4,640</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Pr>
          <w:p>
            <w:pPr>
              <w:spacing w:after="0"/>
              <w:rPr>
                <w:sz w:val="18"/>
                <w:szCs w:val="18"/>
                <w:color w:val="auto"/>
              </w:rPr>
            </w:pPr>
          </w:p>
        </w:tc>
      </w:tr>
      <w:tr>
        <w:trPr>
          <w:trHeight w:val="210"/>
        </w:trPr>
        <w:tc>
          <w:tcPr>
            <w:tcW w:w="768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5,498</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4,928</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62"/>
        </w:trPr>
        <w:tc>
          <w:tcPr>
            <w:tcW w:w="7680" w:type="dxa"/>
            <w:vAlign w:val="bottom"/>
          </w:tcPr>
          <w:p>
            <w:pPr>
              <w:ind w:left="200"/>
              <w:spacing w:after="0" w:line="162" w:lineRule="exact"/>
              <w:rPr>
                <w:sz w:val="20"/>
                <w:szCs w:val="20"/>
                <w:color w:val="auto"/>
              </w:rPr>
            </w:pPr>
            <w:r>
              <w:rPr>
                <w:rFonts w:ascii="Times New Roman" w:cs="Times New Roman" w:eastAsia="Times New Roman" w:hAnsi="Times New Roman"/>
                <w:sz w:val="18"/>
                <w:szCs w:val="18"/>
                <w:color w:val="auto"/>
              </w:rPr>
              <w:t>Preferred stock, $0.001 par value; 10,000,000 shares authorized and no</w:t>
            </w: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shares issued at June 30, 2022 and December 31, 2021</w:t>
            </w:r>
          </w:p>
        </w:tc>
        <w:tc>
          <w:tcPr>
            <w:tcW w:w="280" w:type="dxa"/>
            <w:vAlign w:val="bottom"/>
          </w:tcPr>
          <w:p>
            <w:pPr>
              <w:spacing w:after="0"/>
              <w:rPr>
                <w:sz w:val="21"/>
                <w:szCs w:val="21"/>
                <w:color w:val="auto"/>
              </w:rPr>
            </w:pPr>
          </w:p>
        </w:tc>
        <w:tc>
          <w:tcPr>
            <w:tcW w:w="15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62"/>
        </w:trPr>
        <w:tc>
          <w:tcPr>
            <w:tcW w:w="7680" w:type="dxa"/>
            <w:vAlign w:val="bottom"/>
            <w:shd w:val="clear" w:color="auto" w:fill="CFF0FC"/>
          </w:tcPr>
          <w:p>
            <w:pPr>
              <w:ind w:left="200"/>
              <w:spacing w:after="0" w:line="162" w:lineRule="exact"/>
              <w:rPr>
                <w:sz w:val="20"/>
                <w:szCs w:val="20"/>
                <w:color w:val="auto"/>
              </w:rPr>
            </w:pPr>
            <w:r>
              <w:rPr>
                <w:rFonts w:ascii="Times New Roman" w:cs="Times New Roman" w:eastAsia="Times New Roman" w:hAnsi="Times New Roman"/>
                <w:sz w:val="18"/>
                <w:szCs w:val="18"/>
                <w:color w:val="auto"/>
              </w:rPr>
              <w:t>Common stock, $0.001 par value; 200,000,000 and 100,000,000 shares</w:t>
            </w:r>
          </w:p>
        </w:tc>
        <w:tc>
          <w:tcPr>
            <w:tcW w:w="28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84"/>
        </w:trPr>
        <w:tc>
          <w:tcPr>
            <w:tcW w:w="7680" w:type="dxa"/>
            <w:vAlign w:val="bottom"/>
            <w:shd w:val="clear" w:color="auto" w:fill="CFF0FC"/>
          </w:tcPr>
          <w:p>
            <w:pPr>
              <w:ind w:left="340"/>
              <w:spacing w:after="0" w:line="184" w:lineRule="exact"/>
              <w:rPr>
                <w:sz w:val="20"/>
                <w:szCs w:val="20"/>
                <w:color w:val="auto"/>
              </w:rPr>
            </w:pPr>
            <w:r>
              <w:rPr>
                <w:rFonts w:ascii="Times New Roman" w:cs="Times New Roman" w:eastAsia="Times New Roman" w:hAnsi="Times New Roman"/>
                <w:sz w:val="18"/>
                <w:szCs w:val="18"/>
                <w:color w:val="auto"/>
              </w:rPr>
              <w:t>authorized at June 30, 2022 and December 31, 2021, respectively;</w:t>
            </w:r>
          </w:p>
        </w:tc>
        <w:tc>
          <w:tcPr>
            <w:tcW w:w="28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7680" w:type="dxa"/>
            <w:vAlign w:val="bottom"/>
            <w:shd w:val="clear" w:color="auto" w:fill="CFF0FC"/>
          </w:tcPr>
          <w:p>
            <w:pPr>
              <w:ind w:left="300"/>
              <w:spacing w:after="0" w:line="189" w:lineRule="exact"/>
              <w:rPr>
                <w:sz w:val="20"/>
                <w:szCs w:val="20"/>
                <w:color w:val="auto"/>
              </w:rPr>
            </w:pPr>
            <w:r>
              <w:rPr>
                <w:rFonts w:ascii="Times New Roman" w:cs="Times New Roman" w:eastAsia="Times New Roman" w:hAnsi="Times New Roman"/>
                <w:sz w:val="18"/>
                <w:szCs w:val="18"/>
                <w:color w:val="auto"/>
              </w:rPr>
              <w:t>60,150,442 and 59,722,930 shares issued and outstanding at</w:t>
            </w:r>
          </w:p>
        </w:tc>
        <w:tc>
          <w:tcPr>
            <w:tcW w:w="28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48"/>
        </w:trPr>
        <w:tc>
          <w:tcPr>
            <w:tcW w:w="76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June 30, 2022 and December 31, 2021, respectively</w:t>
            </w: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FF0FC"/>
          </w:tcPr>
          <w:p>
            <w:pPr>
              <w:spacing w:after="0"/>
              <w:rPr>
                <w:sz w:val="21"/>
                <w:szCs w:val="21"/>
                <w:color w:val="auto"/>
              </w:rPr>
            </w:pP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296,136</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293,406</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(270,948 )</w:t>
            </w:r>
          </w:p>
        </w:tc>
        <w:tc>
          <w:tcPr>
            <w:tcW w:w="1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(255,491 )</w:t>
            </w:r>
          </w:p>
        </w:tc>
      </w:tr>
      <w:tr>
        <w:trPr>
          <w:trHeight w:val="210"/>
        </w:trPr>
        <w:tc>
          <w:tcPr>
            <w:tcW w:w="7680" w:type="dxa"/>
            <w:vAlign w:val="bottom"/>
            <w:tcBorders>
              <w:top w:val="single" w:sz="8" w:color="CFF0FC"/>
            </w:tcBorders>
          </w:tcPr>
          <w:p>
            <w:pPr>
              <w:ind w:left="6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25,248</w:t>
            </w:r>
          </w:p>
        </w:tc>
        <w:tc>
          <w:tcPr>
            <w:tcW w:w="28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37,975</w:t>
            </w:r>
          </w:p>
        </w:tc>
        <w:tc>
          <w:tcPr>
            <w:tcW w:w="100" w:type="dxa"/>
            <w:vAlign w:val="bottom"/>
            <w:tcBorders>
              <w:top w:val="single" w:sz="8" w:color="CFF0FC"/>
            </w:tcBorders>
          </w:tcPr>
          <w:p>
            <w:pPr>
              <w:spacing w:after="0"/>
              <w:rPr>
                <w:sz w:val="18"/>
                <w:szCs w:val="18"/>
                <w:color w:val="auto"/>
              </w:rPr>
            </w:pPr>
          </w:p>
        </w:tc>
      </w:tr>
      <w:tr>
        <w:trPr>
          <w:trHeight w:val="250"/>
        </w:trPr>
        <w:tc>
          <w:tcPr>
            <w:tcW w:w="7680" w:type="dxa"/>
            <w:vAlign w:val="bottom"/>
            <w:tcBorders>
              <w:bottom w:val="single" w:sz="8" w:color="CFF0FC"/>
            </w:tcBorders>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30,746</w:t>
            </w: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42,903</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-2759710</wp:posOffset>
            </wp:positionV>
            <wp:extent cx="685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-2742565</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-2759710</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-2742565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-316865</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-24765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-8255</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 w:name="page4"/>
    <w:bookmarkEnd w:id="3"/>
    <w:p>
      <w:pPr>
        <w:ind w:left="4240"/>
        <w:spacing w:after="0"/>
        <w:rPr>
          <w:sz w:val="20"/>
          <w:szCs w:val="20"/>
          <w:color w:val="auto"/>
        </w:rPr>
      </w:pPr>
      <w:r>
        <w:rPr>
          <w:rFonts w:ascii="Times New Roman" w:cs="Times New Roman" w:eastAsia="Times New Roman" w:hAnsi="Times New Roman"/>
          <w:sz w:val="18"/>
          <w:szCs w:val="18"/>
          <w:b w:val="1"/>
          <w:bCs w:val="1"/>
          <w:color w:val="auto"/>
        </w:rPr>
        <w:t>CLEARSIDE BIOMEDICAL, INC.</w:t>
      </w:r>
    </w:p>
    <w:p>
      <w:pPr>
        <w:spacing w:after="0" w:line="2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Statements of Operations</w:t>
      </w:r>
    </w:p>
    <w:p>
      <w:pPr>
        <w:jc w:val="center"/>
        <w:spacing w:after="0" w:line="234" w:lineRule="auto"/>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740" w:type="dxa"/>
            <w:vAlign w:val="bottom"/>
            <w:gridSpan w:val="5"/>
          </w:tcPr>
          <w:p>
            <w:pPr>
              <w:jc w:val="right"/>
              <w:ind w:right="93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2400" w:type="dxa"/>
            <w:vAlign w:val="bottom"/>
            <w:gridSpan w:val="5"/>
          </w:tcPr>
          <w:p>
            <w:pPr>
              <w:jc w:val="right"/>
              <w:ind w:right="701"/>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7"/>
        </w:trPr>
        <w:tc>
          <w:tcPr>
            <w:tcW w:w="57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7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3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10"/>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License and other revenue</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00" w:type="dxa"/>
            <w:vAlign w:val="bottom"/>
            <w:shd w:val="clear" w:color="auto" w:fill="CFF0FC"/>
          </w:tcPr>
          <w:p>
            <w:pPr>
              <w:spacing w:after="0"/>
              <w:rPr>
                <w:sz w:val="18"/>
                <w:szCs w:val="18"/>
                <w:color w:val="auto"/>
              </w:rPr>
            </w:pPr>
          </w:p>
        </w:tc>
      </w:tr>
      <w:tr>
        <w:trPr>
          <w:trHeight w:val="216"/>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5,430</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4,060</w:t>
            </w: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9,966</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9,550</w:t>
            </w:r>
          </w:p>
        </w:tc>
        <w:tc>
          <w:tcPr>
            <w:tcW w:w="100" w:type="dxa"/>
            <w:vAlign w:val="bottom"/>
            <w:shd w:val="clear" w:color="auto" w:fill="CFF0FC"/>
          </w:tcPr>
          <w:p>
            <w:pPr>
              <w:spacing w:after="0"/>
              <w:rPr>
                <w:sz w:val="18"/>
                <w:szCs w:val="18"/>
                <w:color w:val="auto"/>
              </w:rPr>
            </w:pPr>
          </w:p>
        </w:tc>
      </w:tr>
      <w:tr>
        <w:trPr>
          <w:trHeight w:val="216"/>
        </w:trPr>
        <w:tc>
          <w:tcPr>
            <w:tcW w:w="5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2,791</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2,816</w:t>
            </w:r>
          </w:p>
        </w:tc>
        <w:tc>
          <w:tcPr>
            <w:tcW w:w="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6,248</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5,709</w:t>
            </w:r>
          </w:p>
        </w:tc>
        <w:tc>
          <w:tcPr>
            <w:tcW w:w="100" w:type="dxa"/>
            <w:vAlign w:val="bottom"/>
          </w:tcPr>
          <w:p>
            <w:pPr>
              <w:spacing w:after="0"/>
              <w:rPr>
                <w:sz w:val="18"/>
                <w:szCs w:val="18"/>
                <w:color w:val="auto"/>
              </w:rPr>
            </w:pPr>
          </w:p>
        </w:tc>
      </w:tr>
      <w:tr>
        <w:trPr>
          <w:trHeight w:val="210"/>
        </w:trPr>
        <w:tc>
          <w:tcPr>
            <w:tcW w:w="57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8,221</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6,876</w:t>
            </w:r>
          </w:p>
        </w:tc>
        <w:tc>
          <w:tcPr>
            <w:tcW w:w="3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16,214</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15,259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tcPr>
          <w:p>
            <w:pPr>
              <w:spacing w:after="0"/>
              <w:rPr>
                <w:sz w:val="18"/>
                <w:szCs w:val="18"/>
                <w:color w:val="auto"/>
              </w:rPr>
            </w:pPr>
          </w:p>
        </w:tc>
        <w:tc>
          <w:tcPr>
            <w:tcW w:w="12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(7,837 )</w:t>
            </w:r>
          </w:p>
        </w:tc>
        <w:tc>
          <w:tcPr>
            <w:tcW w:w="240" w:type="dxa"/>
            <w:vAlign w:val="bottom"/>
          </w:tcPr>
          <w:p>
            <w:pPr>
              <w:spacing w:after="0"/>
              <w:rPr>
                <w:sz w:val="18"/>
                <w:szCs w:val="18"/>
                <w:color w:val="auto"/>
              </w:rPr>
            </w:pPr>
          </w:p>
        </w:tc>
        <w:tc>
          <w:tcPr>
            <w:tcW w:w="13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(6,096 )</w:t>
            </w:r>
          </w:p>
        </w:tc>
        <w:tc>
          <w:tcPr>
            <w:tcW w:w="200" w:type="dxa"/>
            <w:vAlign w:val="bottom"/>
          </w:tcPr>
          <w:p>
            <w:pPr>
              <w:spacing w:after="0"/>
              <w:rPr>
                <w:sz w:val="18"/>
                <w:szCs w:val="18"/>
                <w:color w:val="auto"/>
              </w:rPr>
            </w:pPr>
          </w:p>
        </w:tc>
        <w:tc>
          <w:tcPr>
            <w:tcW w:w="11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(15,483 )</w:t>
            </w:r>
          </w:p>
        </w:tc>
        <w:tc>
          <w:tcPr>
            <w:tcW w:w="2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(14,445 )</w:t>
            </w:r>
          </w:p>
        </w:tc>
      </w:tr>
      <w:tr>
        <w:trPr>
          <w:trHeight w:val="216"/>
        </w:trPr>
        <w:tc>
          <w:tcPr>
            <w:tcW w:w="5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(7,813 )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(6,095 )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(15,457 )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(13,446 )</w:t>
            </w:r>
          </w:p>
        </w:tc>
      </w:tr>
      <w:tr>
        <w:trPr>
          <w:trHeight w:val="20"/>
        </w:trPr>
        <w:tc>
          <w:tcPr>
            <w:tcW w:w="5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70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per share of common stock — basic and diluted</w:t>
            </w:r>
          </w:p>
        </w:tc>
        <w:tc>
          <w:tcPr>
            <w:tcW w:w="20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(0.13</w:t>
            </w:r>
          </w:p>
        </w:tc>
        <w:tc>
          <w:tcPr>
            <w:tcW w:w="260" w:type="dxa"/>
            <w:vAlign w:val="bottom"/>
            <w:tcBorders>
              <w:bottom w:val="single" w:sz="8" w:color="CFF0FC"/>
            </w:tcBorders>
            <w:shd w:val="clear" w:color="auto" w:fill="CFF0FC"/>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(0.11</w:t>
            </w:r>
          </w:p>
        </w:tc>
        <w:tc>
          <w:tcPr>
            <w:tcW w:w="380" w:type="dxa"/>
            <w:vAlign w:val="bottom"/>
            <w:tcBorders>
              <w:bottom w:val="single" w:sz="8" w:color="CFF0FC"/>
            </w:tcBorders>
            <w:shd w:val="clear" w:color="auto" w:fill="CFF0FC"/>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(0.26</w:t>
            </w:r>
          </w:p>
        </w:tc>
        <w:tc>
          <w:tcPr>
            <w:tcW w:w="240" w:type="dxa"/>
            <w:vAlign w:val="bottom"/>
            <w:tcBorders>
              <w:bottom w:val="single" w:sz="8" w:color="CFF0FC"/>
            </w:tcBorders>
            <w:shd w:val="clear" w:color="auto" w:fill="CFF0FC"/>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(0.23</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7"/>
        </w:trPr>
        <w:tc>
          <w:tcPr>
            <w:tcW w:w="57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 — basic and diluted</w:t>
            </w: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60,150,348</w:t>
            </w:r>
          </w:p>
        </w:tc>
        <w:tc>
          <w:tcPr>
            <w:tcW w:w="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57,745,465</w:t>
            </w:r>
          </w:p>
        </w:tc>
        <w:tc>
          <w:tcPr>
            <w:tcW w:w="3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60,107,517</w:t>
            </w:r>
          </w:p>
        </w:tc>
        <w:tc>
          <w:tcPr>
            <w:tcW w:w="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57,394,017</w:t>
            </w:r>
          </w:p>
        </w:tc>
        <w:tc>
          <w:tcPr>
            <w:tcW w:w="100" w:type="dxa"/>
            <w:vAlign w:val="bottom"/>
          </w:tcPr>
          <w:p>
            <w:pPr>
              <w:spacing w:after="0"/>
              <w:rPr>
                <w:sz w:val="17"/>
                <w:szCs w:val="17"/>
                <w:color w:val="auto"/>
              </w:rPr>
            </w:pPr>
          </w:p>
        </w:tc>
      </w:tr>
      <w:tr>
        <w:trPr>
          <w:trHeight w:val="20"/>
        </w:trPr>
        <w:tc>
          <w:tcPr>
            <w:tcW w:w="5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-779145</wp:posOffset>
            </wp:positionV>
            <wp:extent cx="774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-779145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-779145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-779145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-496570</wp:posOffset>
            </wp:positionV>
            <wp:extent cx="774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-496570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-496570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-187960</wp:posOffset>
            </wp:positionV>
            <wp:extent cx="774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-170815</wp:posOffset>
            </wp:positionV>
            <wp:extent cx="774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-187960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-170815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-187960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-170815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CLEARSIDE BIOMEDICAL,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Stockholders’ Equity</w:t>
      </w:r>
    </w:p>
    <w:p>
      <w:pPr>
        <w:jc w:val="center"/>
        <w:spacing w:after="0" w:line="234" w:lineRule="auto"/>
        <w:rPr>
          <w:sz w:val="20"/>
          <w:szCs w:val="20"/>
          <w:color w:val="auto"/>
        </w:rPr>
      </w:pPr>
      <w:r>
        <w:rPr>
          <w:rFonts w:ascii="Times New Roman" w:cs="Times New Roman" w:eastAsia="Times New Roman" w:hAnsi="Times New Roman"/>
          <w:sz w:val="18"/>
          <w:szCs w:val="18"/>
          <w:color w:val="auto"/>
        </w:rPr>
        <w:t>(in thousands, except share data)</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44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000" w:type="dxa"/>
            <w:vAlign w:val="bottom"/>
            <w:tcBorders>
              <w:bottom w:val="single" w:sz="8" w:color="auto"/>
            </w:tcBorders>
            <w:gridSpan w:val="7"/>
          </w:tcPr>
          <w:p>
            <w:pPr>
              <w:jc w:val="right"/>
              <w:ind w:right="919"/>
              <w:spacing w:after="0"/>
              <w:rPr>
                <w:sz w:val="20"/>
                <w:szCs w:val="20"/>
                <w:color w:val="auto"/>
              </w:rPr>
            </w:pPr>
            <w:r>
              <w:rPr>
                <w:rFonts w:ascii="Times New Roman" w:cs="Times New Roman" w:eastAsia="Times New Roman" w:hAnsi="Times New Roman"/>
                <w:sz w:val="14"/>
                <w:szCs w:val="14"/>
                <w:b w:val="1"/>
                <w:bCs w:val="1"/>
                <w:color w:val="auto"/>
              </w:rPr>
              <w:t>Six Months Ended June 30, 2022</w:t>
            </w: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440" w:type="dxa"/>
            <w:vAlign w:val="bottom"/>
          </w:tcPr>
          <w:p>
            <w:pPr>
              <w:spacing w:after="0"/>
              <w:rPr>
                <w:sz w:val="14"/>
                <w:szCs w:val="14"/>
                <w:color w:val="auto"/>
              </w:rPr>
            </w:pPr>
          </w:p>
        </w:tc>
        <w:tc>
          <w:tcPr>
            <w:tcW w:w="2120" w:type="dxa"/>
            <w:vAlign w:val="bottom"/>
            <w:gridSpan w:val="3"/>
            <w:vMerge w:val="restart"/>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440" w:type="dxa"/>
            <w:vAlign w:val="bottom"/>
          </w:tcPr>
          <w:p>
            <w:pPr>
              <w:spacing w:after="0"/>
              <w:rPr>
                <w:sz w:val="15"/>
                <w:szCs w:val="15"/>
                <w:color w:val="auto"/>
              </w:rPr>
            </w:pPr>
          </w:p>
        </w:tc>
        <w:tc>
          <w:tcPr>
            <w:tcW w:w="2120" w:type="dxa"/>
            <w:vAlign w:val="bottom"/>
            <w:tcBorders>
              <w:bottom w:val="single" w:sz="8" w:color="auto"/>
            </w:tcBorders>
            <w:gridSpan w:val="3"/>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4440" w:type="dxa"/>
            <w:vAlign w:val="bottom"/>
          </w:tcPr>
          <w:p>
            <w:pPr>
              <w:spacing w:after="0"/>
              <w:rPr>
                <w:sz w:val="14"/>
                <w:szCs w:val="14"/>
                <w:color w:val="auto"/>
              </w:rPr>
            </w:pPr>
          </w:p>
        </w:tc>
        <w:tc>
          <w:tcPr>
            <w:tcW w:w="960" w:type="dxa"/>
            <w:vAlign w:val="bottom"/>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Paid-In-Capital</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December 31, 2021</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59,722,930</w:t>
            </w:r>
          </w:p>
        </w:tc>
        <w:tc>
          <w:tcPr>
            <w:tcW w:w="280" w:type="dxa"/>
            <w:vAlign w:val="bottom"/>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jc w:val="right"/>
              <w:ind w:right="702"/>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26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293,406</w:t>
            </w:r>
          </w:p>
        </w:tc>
        <w:tc>
          <w:tcPr>
            <w:tcW w:w="24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(255,491</w:t>
            </w: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37,975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22,727</w:t>
            </w: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Vesting and settlement of restricted stock units</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375,331</w:t>
            </w:r>
          </w:p>
        </w:tc>
        <w:tc>
          <w:tcPr>
            <w:tcW w:w="2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48"/>
        </w:trPr>
        <w:tc>
          <w:tcPr>
            <w:tcW w:w="4440" w:type="dxa"/>
            <w:vAlign w:val="bottom"/>
          </w:tcPr>
          <w:p>
            <w:pPr>
              <w:ind w:left="20"/>
              <w:spacing w:after="0" w:line="148" w:lineRule="exact"/>
              <w:rPr>
                <w:sz w:val="20"/>
                <w:szCs w:val="20"/>
                <w:color w:val="auto"/>
              </w:rPr>
            </w:pPr>
            <w:r>
              <w:rPr>
                <w:rFonts w:ascii="Times New Roman" w:cs="Times New Roman" w:eastAsia="Times New Roman" w:hAnsi="Times New Roman"/>
                <w:sz w:val="16"/>
                <w:szCs w:val="16"/>
                <w:color w:val="auto"/>
              </w:rPr>
              <w:t>Issuance of common shares under employee stock</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26,630</w:t>
            </w: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4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 plan</w:t>
            </w:r>
          </w:p>
        </w:tc>
        <w:tc>
          <w:tcPr>
            <w:tcW w:w="9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1,307</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(7,644 )</w:t>
            </w:r>
          </w:p>
        </w:tc>
        <w:tc>
          <w:tcPr>
            <w:tcW w:w="180" w:type="dxa"/>
            <w:vAlign w:val="bottom"/>
          </w:tcPr>
          <w:p>
            <w:pPr>
              <w:spacing w:after="0"/>
              <w:rPr>
                <w:sz w:val="17"/>
                <w:szCs w:val="17"/>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(7,644 )</w:t>
            </w:r>
          </w:p>
        </w:tc>
        <w:tc>
          <w:tcPr>
            <w:tcW w:w="0" w:type="dxa"/>
            <w:vAlign w:val="bottom"/>
          </w:tcPr>
          <w:p>
            <w:pPr>
              <w:spacing w:after="0"/>
              <w:rPr>
                <w:sz w:val="1"/>
                <w:szCs w:val="1"/>
                <w:color w:val="auto"/>
              </w:rPr>
            </w:pPr>
          </w:p>
        </w:tc>
      </w:tr>
      <w:tr>
        <w:trPr>
          <w:trHeight w:val="196"/>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March 31, 2022</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60,147,618</w:t>
            </w:r>
          </w:p>
        </w:tc>
        <w:tc>
          <w:tcPr>
            <w:tcW w:w="280" w:type="dxa"/>
            <w:vAlign w:val="bottom"/>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26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294,778</w:t>
            </w:r>
          </w:p>
        </w:tc>
        <w:tc>
          <w:tcPr>
            <w:tcW w:w="24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(263,135</w:t>
            </w: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31,703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2,824</w:t>
            </w: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1,354</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(7,813 )</w:t>
            </w:r>
          </w:p>
        </w:tc>
        <w:tc>
          <w:tcPr>
            <w:tcW w:w="180" w:type="dxa"/>
            <w:vAlign w:val="bottom"/>
          </w:tcPr>
          <w:p>
            <w:pPr>
              <w:spacing w:after="0"/>
              <w:rPr>
                <w:sz w:val="17"/>
                <w:szCs w:val="17"/>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(7,813 )</w:t>
            </w:r>
          </w:p>
        </w:tc>
        <w:tc>
          <w:tcPr>
            <w:tcW w:w="0" w:type="dxa"/>
            <w:vAlign w:val="bottom"/>
          </w:tcPr>
          <w:p>
            <w:pPr>
              <w:spacing w:after="0"/>
              <w:rPr>
                <w:sz w:val="1"/>
                <w:szCs w:val="1"/>
                <w:color w:val="auto"/>
              </w:rPr>
            </w:pPr>
          </w:p>
        </w:tc>
      </w:tr>
      <w:tr>
        <w:trPr>
          <w:trHeight w:val="236"/>
        </w:trPr>
        <w:tc>
          <w:tcPr>
            <w:tcW w:w="4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June 30, 2022</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60,150,442</w:t>
            </w:r>
          </w:p>
        </w:tc>
        <w:tc>
          <w:tcPr>
            <w:tcW w:w="280" w:type="dxa"/>
            <w:vAlign w:val="bottom"/>
            <w:tcBorders>
              <w:bottom w:val="single" w:sz="8" w:color="CFF0FC"/>
            </w:tcBorders>
            <w:shd w:val="clear" w:color="auto" w:fill="CFF0FC"/>
          </w:tcPr>
          <w:p>
            <w:pPr>
              <w:spacing w:after="0"/>
              <w:rPr>
                <w:sz w:val="20"/>
                <w:szCs w:val="20"/>
                <w:color w:val="auto"/>
              </w:rPr>
            </w:pPr>
          </w:p>
        </w:tc>
        <w:tc>
          <w:tcPr>
            <w:tcW w:w="880" w:type="dxa"/>
            <w:vAlign w:val="bottom"/>
            <w:tcBorders>
              <w:top w:val="single" w:sz="8" w:color="auto"/>
              <w:bottom w:val="single" w:sz="8" w:color="auto"/>
            </w:tcBorders>
            <w:shd w:val="clear" w:color="auto" w:fill="CFF0FC"/>
          </w:tcPr>
          <w:p>
            <w:pPr>
              <w:jc w:val="right"/>
              <w:ind w:right="702"/>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2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296,136</w:t>
            </w:r>
          </w:p>
        </w:tc>
        <w:tc>
          <w:tcPr>
            <w:tcW w:w="2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(270,948</w:t>
            </w:r>
          </w:p>
        </w:tc>
        <w:tc>
          <w:tcPr>
            <w:tcW w:w="240" w:type="dxa"/>
            <w:vAlign w:val="bottom"/>
            <w:tcBorders>
              <w:bottom w:val="single" w:sz="8" w:color="CFF0FC"/>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25,248</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358"/>
        </w:trPr>
        <w:tc>
          <w:tcPr>
            <w:tcW w:w="444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7"/>
          </w:tcPr>
          <w:p>
            <w:pPr>
              <w:jc w:val="right"/>
              <w:ind w:right="919"/>
              <w:spacing w:after="0"/>
              <w:rPr>
                <w:sz w:val="20"/>
                <w:szCs w:val="20"/>
                <w:color w:val="auto"/>
              </w:rPr>
            </w:pPr>
            <w:r>
              <w:rPr>
                <w:rFonts w:ascii="Times New Roman" w:cs="Times New Roman" w:eastAsia="Times New Roman" w:hAnsi="Times New Roman"/>
                <w:sz w:val="14"/>
                <w:szCs w:val="14"/>
                <w:b w:val="1"/>
                <w:bCs w:val="1"/>
                <w:color w:val="auto"/>
              </w:rPr>
              <w:t>Six Months Ended June 30, 2021</w:t>
            </w: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440" w:type="dxa"/>
            <w:vAlign w:val="bottom"/>
          </w:tcPr>
          <w:p>
            <w:pPr>
              <w:spacing w:after="0"/>
              <w:rPr>
                <w:sz w:val="14"/>
                <w:szCs w:val="14"/>
                <w:color w:val="auto"/>
              </w:rPr>
            </w:pPr>
          </w:p>
        </w:tc>
        <w:tc>
          <w:tcPr>
            <w:tcW w:w="2120" w:type="dxa"/>
            <w:vAlign w:val="bottom"/>
            <w:gridSpan w:val="3"/>
            <w:vMerge w:val="restart"/>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440" w:type="dxa"/>
            <w:vAlign w:val="bottom"/>
          </w:tcPr>
          <w:p>
            <w:pPr>
              <w:spacing w:after="0"/>
              <w:rPr>
                <w:sz w:val="15"/>
                <w:szCs w:val="15"/>
                <w:color w:val="auto"/>
              </w:rPr>
            </w:pPr>
          </w:p>
        </w:tc>
        <w:tc>
          <w:tcPr>
            <w:tcW w:w="2120" w:type="dxa"/>
            <w:vAlign w:val="bottom"/>
            <w:tcBorders>
              <w:bottom w:val="single" w:sz="8" w:color="auto"/>
            </w:tcBorders>
            <w:gridSpan w:val="3"/>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4440" w:type="dxa"/>
            <w:vAlign w:val="bottom"/>
          </w:tcPr>
          <w:p>
            <w:pPr>
              <w:spacing w:after="0"/>
              <w:rPr>
                <w:sz w:val="14"/>
                <w:szCs w:val="14"/>
                <w:color w:val="auto"/>
              </w:rPr>
            </w:pPr>
          </w:p>
        </w:tc>
        <w:tc>
          <w:tcPr>
            <w:tcW w:w="960" w:type="dxa"/>
            <w:vAlign w:val="bottom"/>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Paid-In-Capital</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December 31,2020</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51,860,941</w:t>
            </w:r>
          </w:p>
        </w:tc>
        <w:tc>
          <w:tcPr>
            <w:tcW w:w="280" w:type="dxa"/>
            <w:vAlign w:val="bottom"/>
          </w:tcPr>
          <w:p>
            <w:pPr>
              <w:spacing w:after="0"/>
              <w:rPr>
                <w:sz w:val="17"/>
                <w:szCs w:val="17"/>
                <w:color w:val="auto"/>
              </w:rPr>
            </w:pPr>
          </w:p>
        </w:tc>
        <w:tc>
          <w:tcPr>
            <w:tcW w:w="880" w:type="dxa"/>
            <w:vAlign w:val="bottom"/>
            <w:tcBorders>
              <w:top w:val="single" w:sz="8" w:color="auto"/>
            </w:tcBorders>
          </w:tcPr>
          <w:p>
            <w:pPr>
              <w:jc w:val="right"/>
              <w:ind w:right="702"/>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26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264,578</w:t>
            </w:r>
          </w:p>
        </w:tc>
        <w:tc>
          <w:tcPr>
            <w:tcW w:w="24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(255,867</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4440" w:type="dxa"/>
            <w:vAlign w:val="bottom"/>
            <w:shd w:val="clear" w:color="auto" w:fill="CFF0FC"/>
          </w:tcPr>
          <w:p>
            <w:pPr>
              <w:ind w:left="20"/>
              <w:spacing w:after="0" w:line="148" w:lineRule="exact"/>
              <w:rPr>
                <w:sz w:val="20"/>
                <w:szCs w:val="20"/>
                <w:color w:val="auto"/>
              </w:rPr>
            </w:pPr>
            <w:r>
              <w:rPr>
                <w:rFonts w:ascii="Times New Roman" w:cs="Times New Roman" w:eastAsia="Times New Roman" w:hAnsi="Times New Roman"/>
                <w:sz w:val="16"/>
                <w:szCs w:val="16"/>
                <w:color w:val="auto"/>
              </w:rPr>
              <w:t>Issuance of common shares under a direct</w:t>
            </w: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4,209,050</w:t>
            </w:r>
          </w:p>
        </w:tc>
        <w:tc>
          <w:tcPr>
            <w:tcW w:w="2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11,074</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40" w:type="dxa"/>
            <w:vAlign w:val="bottom"/>
            <w:gridSpan w:val="2"/>
            <w:vMerge w:val="restart"/>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2"/>
                <w:szCs w:val="12"/>
                <w:color w:val="auto"/>
              </w:rPr>
            </w:pPr>
          </w:p>
        </w:tc>
        <w:tc>
          <w:tcPr>
            <w:tcW w:w="1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11,078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registered offering</w:t>
            </w:r>
          </w:p>
        </w:tc>
        <w:tc>
          <w:tcPr>
            <w:tcW w:w="960" w:type="dxa"/>
            <w:vAlign w:val="bottom"/>
            <w:vMerge w:val="continue"/>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tcBorders>
              <w:right w:val="single" w:sz="8" w:color="CFF0FC"/>
            </w:tcBorders>
            <w:vMerge w:val="continue"/>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gridSpan w:val="2"/>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4440" w:type="dxa"/>
            <w:vAlign w:val="bottom"/>
          </w:tcPr>
          <w:p>
            <w:pPr>
              <w:ind w:left="20"/>
              <w:spacing w:after="0" w:line="148" w:lineRule="exact"/>
              <w:rPr>
                <w:sz w:val="20"/>
                <w:szCs w:val="20"/>
                <w:color w:val="auto"/>
              </w:rPr>
            </w:pPr>
            <w:r>
              <w:rPr>
                <w:rFonts w:ascii="Times New Roman" w:cs="Times New Roman" w:eastAsia="Times New Roman" w:hAnsi="Times New Roman"/>
                <w:sz w:val="16"/>
                <w:szCs w:val="16"/>
                <w:color w:val="auto"/>
              </w:rPr>
              <w:t>Issuance of common shares under at-the-market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1,186,579</w:t>
            </w: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3,247</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3,249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4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sales agreement</w:t>
            </w:r>
          </w:p>
        </w:tc>
        <w:tc>
          <w:tcPr>
            <w:tcW w:w="9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62,493</w:t>
            </w:r>
          </w:p>
        </w:tc>
        <w:tc>
          <w:tcPr>
            <w:tcW w:w="2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Vesting and settlement of restricted stock units</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227,754</w:t>
            </w: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48"/>
        </w:trPr>
        <w:tc>
          <w:tcPr>
            <w:tcW w:w="4440" w:type="dxa"/>
            <w:vAlign w:val="bottom"/>
            <w:shd w:val="clear" w:color="auto" w:fill="CFF0FC"/>
          </w:tcPr>
          <w:p>
            <w:pPr>
              <w:ind w:left="20"/>
              <w:spacing w:after="0" w:line="148" w:lineRule="exact"/>
              <w:rPr>
                <w:sz w:val="20"/>
                <w:szCs w:val="20"/>
                <w:color w:val="auto"/>
              </w:rPr>
            </w:pPr>
            <w:r>
              <w:rPr>
                <w:rFonts w:ascii="Times New Roman" w:cs="Times New Roman" w:eastAsia="Times New Roman" w:hAnsi="Times New Roman"/>
                <w:sz w:val="16"/>
                <w:szCs w:val="16"/>
                <w:color w:val="auto"/>
              </w:rPr>
              <w:t>Issuance of common shares under employee</w:t>
            </w: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31,908</w:t>
            </w:r>
          </w:p>
        </w:tc>
        <w:tc>
          <w:tcPr>
            <w:tcW w:w="2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40" w:type="dxa"/>
            <w:vAlign w:val="bottom"/>
            <w:gridSpan w:val="2"/>
            <w:vMerge w:val="restart"/>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2"/>
                <w:szCs w:val="12"/>
                <w:color w:val="auto"/>
              </w:rPr>
            </w:pPr>
          </w:p>
        </w:tc>
        <w:tc>
          <w:tcPr>
            <w:tcW w:w="1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stock purchase plan</w:t>
            </w:r>
          </w:p>
        </w:tc>
        <w:tc>
          <w:tcPr>
            <w:tcW w:w="960" w:type="dxa"/>
            <w:vAlign w:val="bottom"/>
            <w:vMerge w:val="continue"/>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tcBorders>
              <w:right w:val="single" w:sz="8" w:color="CFF0FC"/>
            </w:tcBorders>
            <w:vMerge w:val="continue"/>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gridSpan w:val="2"/>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1,154</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(7,351 )</w:t>
            </w:r>
          </w:p>
        </w:tc>
        <w:tc>
          <w:tcPr>
            <w:tcW w:w="18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(7,351 )</w:t>
            </w:r>
          </w:p>
        </w:tc>
        <w:tc>
          <w:tcPr>
            <w:tcW w:w="0" w:type="dxa"/>
            <w:vAlign w:val="bottom"/>
          </w:tcPr>
          <w:p>
            <w:pPr>
              <w:spacing w:after="0"/>
              <w:rPr>
                <w:sz w:val="1"/>
                <w:szCs w:val="1"/>
                <w:color w:val="auto"/>
              </w:rPr>
            </w:pPr>
          </w:p>
        </w:tc>
      </w:tr>
      <w:tr>
        <w:trPr>
          <w:trHeight w:val="20"/>
        </w:trPr>
        <w:tc>
          <w:tcPr>
            <w:tcW w:w="444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March 31, 2021</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57,578,725</w:t>
            </w: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280,145</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(263,218 )</w:t>
            </w: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16,985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4440" w:type="dxa"/>
            <w:vAlign w:val="bottom"/>
            <w:shd w:val="clear" w:color="auto" w:fill="CFF0FC"/>
          </w:tcPr>
          <w:p>
            <w:pPr>
              <w:ind w:left="20"/>
              <w:spacing w:after="0" w:line="148" w:lineRule="exact"/>
              <w:rPr>
                <w:sz w:val="20"/>
                <w:szCs w:val="20"/>
                <w:color w:val="auto"/>
              </w:rPr>
            </w:pPr>
            <w:r>
              <w:rPr>
                <w:rFonts w:ascii="Times New Roman" w:cs="Times New Roman" w:eastAsia="Times New Roman" w:hAnsi="Times New Roman"/>
                <w:sz w:val="16"/>
                <w:szCs w:val="16"/>
                <w:color w:val="auto"/>
              </w:rPr>
              <w:t>Issuance of common shares under at-the-market</w:t>
            </w: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1,397,436</w:t>
            </w:r>
          </w:p>
        </w:tc>
        <w:tc>
          <w:tcPr>
            <w:tcW w:w="2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7,083</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40" w:type="dxa"/>
            <w:vAlign w:val="bottom"/>
            <w:gridSpan w:val="2"/>
            <w:vMerge w:val="restart"/>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2"/>
                <w:szCs w:val="12"/>
                <w:color w:val="auto"/>
              </w:rPr>
            </w:pPr>
          </w:p>
        </w:tc>
        <w:tc>
          <w:tcPr>
            <w:tcW w:w="1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7,084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sales agreement</w:t>
            </w:r>
          </w:p>
        </w:tc>
        <w:tc>
          <w:tcPr>
            <w:tcW w:w="960" w:type="dxa"/>
            <w:vAlign w:val="bottom"/>
            <w:vMerge w:val="continue"/>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tcBorders>
              <w:right w:val="single" w:sz="8" w:color="CFF0FC"/>
            </w:tcBorders>
            <w:vMerge w:val="continue"/>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gridSpan w:val="2"/>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21,673</w:t>
            </w: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Vesting and settlement of restricted stock units</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93,757</w:t>
            </w:r>
          </w:p>
        </w:tc>
        <w:tc>
          <w:tcPr>
            <w:tcW w:w="2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1,331</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(6,095 )</w:t>
            </w:r>
          </w:p>
        </w:tc>
        <w:tc>
          <w:tcPr>
            <w:tcW w:w="18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(6,095 )</w:t>
            </w:r>
          </w:p>
        </w:tc>
        <w:tc>
          <w:tcPr>
            <w:tcW w:w="0" w:type="dxa"/>
            <w:vAlign w:val="bottom"/>
          </w:tcPr>
          <w:p>
            <w:pPr>
              <w:spacing w:after="0"/>
              <w:rPr>
                <w:sz w:val="1"/>
                <w:szCs w:val="1"/>
                <w:color w:val="auto"/>
              </w:rPr>
            </w:pPr>
          </w:p>
        </w:tc>
      </w:tr>
      <w:tr>
        <w:trPr>
          <w:trHeight w:val="20"/>
        </w:trPr>
        <w:tc>
          <w:tcPr>
            <w:tcW w:w="444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June 30, 2021</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59,091,591</w:t>
            </w:r>
          </w:p>
        </w:tc>
        <w:tc>
          <w:tcPr>
            <w:tcW w:w="280" w:type="dxa"/>
            <w:vAlign w:val="bottom"/>
          </w:tcPr>
          <w:p>
            <w:pPr>
              <w:spacing w:after="0"/>
              <w:rPr>
                <w:sz w:val="17"/>
                <w:szCs w:val="17"/>
                <w:color w:val="auto"/>
              </w:rPr>
            </w:pPr>
          </w:p>
        </w:tc>
        <w:tc>
          <w:tcPr>
            <w:tcW w:w="880" w:type="dxa"/>
            <w:vAlign w:val="bottom"/>
          </w:tcPr>
          <w:p>
            <w:pPr>
              <w:jc w:val="right"/>
              <w:ind w:right="702"/>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2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288,592</w:t>
            </w:r>
          </w:p>
        </w:tc>
        <w:tc>
          <w:tcPr>
            <w:tcW w:w="2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(269,313 )</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19,338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-3007995</wp:posOffset>
            </wp:positionV>
            <wp:extent cx="774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-2990850</wp:posOffset>
            </wp:positionV>
            <wp:extent cx="774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-3007995</wp:posOffset>
            </wp:positionV>
            <wp:extent cx="774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-2990850</wp:posOffset>
            </wp:positionV>
            <wp:extent cx="774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-3007995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-2990850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-3007995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-2990850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-3007995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-2990850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-1045210</wp:posOffset>
            </wp:positionV>
            <wp:extent cx="7747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-1045210</wp:posOffset>
            </wp:positionV>
            <wp:extent cx="7747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-1045210</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-1045210</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-1045210</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-162560</wp:posOffset>
            </wp:positionV>
            <wp:extent cx="774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-162560</wp:posOffset>
            </wp:positionV>
            <wp:extent cx="7747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-162560</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-162560</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5" w:name="page6"/>
    <w:bookmarkEnd w:id="5"/>
    <w:p>
      <w:pPr>
        <w:ind w:left="4240"/>
        <w:spacing w:after="0"/>
        <w:rPr>
          <w:sz w:val="20"/>
          <w:szCs w:val="20"/>
          <w:color w:val="auto"/>
        </w:rPr>
      </w:pPr>
      <w:r>
        <w:rPr>
          <w:rFonts w:ascii="Times New Roman" w:cs="Times New Roman" w:eastAsia="Times New Roman" w:hAnsi="Times New Roman"/>
          <w:sz w:val="18"/>
          <w:szCs w:val="18"/>
          <w:b w:val="1"/>
          <w:bCs w:val="1"/>
          <w:color w:val="auto"/>
        </w:rPr>
        <w:t>CLEARSIDE BIOMEDICAL, INC.</w:t>
      </w:r>
    </w:p>
    <w:p>
      <w:pPr>
        <w:spacing w:after="0" w:line="2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jc w:val="center"/>
        <w:spacing w:after="0" w:line="234" w:lineRule="auto"/>
        <w:rPr>
          <w:sz w:val="20"/>
          <w:szCs w:val="20"/>
          <w:color w:val="auto"/>
        </w:rPr>
      </w:pPr>
      <w:r>
        <w:rPr>
          <w:rFonts w:ascii="Times New Roman" w:cs="Times New Roman" w:eastAsia="Times New Roman" w:hAnsi="Times New Roman"/>
          <w:sz w:val="18"/>
          <w:szCs w:val="18"/>
          <w:color w:val="auto"/>
        </w:rPr>
        <w:t>(in thousands)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99"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6"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7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w w:val="99"/>
              </w:rPr>
              <w:t>(15,457 )</w:t>
            </w:r>
          </w:p>
        </w:tc>
        <w:tc>
          <w:tcPr>
            <w:tcW w:w="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(13,446 )</w:t>
            </w: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9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8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2,661</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Gain on extinguishment of debt</w:t>
            </w:r>
          </w:p>
        </w:tc>
        <w:tc>
          <w:tcPr>
            <w:tcW w:w="980" w:type="dxa"/>
            <w:vAlign w:val="bottom"/>
          </w:tcPr>
          <w:p>
            <w:pPr>
              <w:spacing w:after="0"/>
              <w:rPr>
                <w:sz w:val="18"/>
                <w:szCs w:val="18"/>
                <w:color w:val="auto"/>
              </w:rPr>
            </w:pPr>
          </w:p>
        </w:tc>
        <w:tc>
          <w:tcPr>
            <w:tcW w:w="86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(998 )</w:t>
            </w: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10,477</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(408 )</w:t>
            </w: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980" w:type="dxa"/>
            <w:vAlign w:val="bottom"/>
            <w:shd w:val="clear" w:color="auto" w:fill="CFF0FC"/>
          </w:tcPr>
          <w:p>
            <w:pPr>
              <w:spacing w:after="0"/>
              <w:rPr>
                <w:sz w:val="18"/>
                <w:szCs w:val="18"/>
                <w:color w:val="auto"/>
              </w:rPr>
            </w:pPr>
          </w:p>
        </w:tc>
        <w:tc>
          <w:tcPr>
            <w:tcW w:w="860" w:type="dxa"/>
            <w:vAlign w:val="bottom"/>
            <w:gridSpan w:val="3"/>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(82 )</w:t>
            </w:r>
          </w:p>
        </w:tc>
        <w:tc>
          <w:tcPr>
            <w:tcW w:w="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0" w:type="dxa"/>
            <w:vAlign w:val="bottom"/>
          </w:tcPr>
          <w:p>
            <w:pPr>
              <w:spacing w:after="0"/>
              <w:rPr>
                <w:sz w:val="1"/>
                <w:szCs w:val="1"/>
                <w:color w:val="auto"/>
              </w:rPr>
            </w:pPr>
          </w:p>
        </w:tc>
      </w:tr>
      <w:tr>
        <w:trPr>
          <w:trHeight w:val="216"/>
        </w:trPr>
        <w:tc>
          <w:tcPr>
            <w:tcW w:w="77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9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745</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(156 )</w:t>
            </w:r>
          </w:p>
        </w:tc>
        <w:tc>
          <w:tcPr>
            <w:tcW w:w="0" w:type="dxa"/>
            <w:vAlign w:val="bottom"/>
          </w:tcPr>
          <w:p>
            <w:pPr>
              <w:spacing w:after="0"/>
              <w:rPr>
                <w:sz w:val="1"/>
                <w:szCs w:val="1"/>
                <w:color w:val="auto"/>
              </w:rPr>
            </w:pPr>
          </w:p>
        </w:tc>
      </w:tr>
      <w:tr>
        <w:trPr>
          <w:trHeight w:val="210"/>
        </w:trPr>
        <w:tc>
          <w:tcPr>
            <w:tcW w:w="77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8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(1,572</w:t>
            </w:r>
          </w:p>
        </w:tc>
        <w:tc>
          <w:tcPr>
            <w:tcW w:w="2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(12,509</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7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80" w:type="dxa"/>
            <w:vAlign w:val="bottom"/>
            <w:shd w:val="clear" w:color="auto" w:fill="CFF0FC"/>
          </w:tcPr>
          <w:p>
            <w:pPr>
              <w:spacing w:after="0"/>
              <w:rPr>
                <w:sz w:val="18"/>
                <w:szCs w:val="18"/>
                <w:color w:val="auto"/>
              </w:rPr>
            </w:pPr>
          </w:p>
        </w:tc>
        <w:tc>
          <w:tcPr>
            <w:tcW w:w="860" w:type="dxa"/>
            <w:vAlign w:val="bottom"/>
            <w:gridSpan w:val="3"/>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registered direct offering, net of issuance costs</w:t>
            </w:r>
          </w:p>
        </w:tc>
        <w:tc>
          <w:tcPr>
            <w:tcW w:w="980" w:type="dxa"/>
            <w:vAlign w:val="bottom"/>
            <w:shd w:val="clear" w:color="auto" w:fill="CFF0FC"/>
          </w:tcPr>
          <w:p>
            <w:pPr>
              <w:spacing w:after="0"/>
              <w:rPr>
                <w:sz w:val="18"/>
                <w:szCs w:val="18"/>
                <w:color w:val="auto"/>
              </w:rPr>
            </w:pPr>
          </w:p>
        </w:tc>
        <w:tc>
          <w:tcPr>
            <w:tcW w:w="860" w:type="dxa"/>
            <w:vAlign w:val="bottom"/>
            <w:gridSpan w:val="3"/>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11,078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Proceeds from at-the-market sales agreement, net of issuance costs</w:t>
            </w:r>
          </w:p>
        </w:tc>
        <w:tc>
          <w:tcPr>
            <w:tcW w:w="980" w:type="dxa"/>
            <w:vAlign w:val="bottom"/>
          </w:tcPr>
          <w:p>
            <w:pPr>
              <w:spacing w:after="0"/>
              <w:rPr>
                <w:sz w:val="18"/>
                <w:szCs w:val="18"/>
                <w:color w:val="auto"/>
              </w:rPr>
            </w:pPr>
          </w:p>
        </w:tc>
        <w:tc>
          <w:tcPr>
            <w:tcW w:w="86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98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Proceeds from shares issued under employee stock purchase plan</w:t>
            </w: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8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69</w:t>
            </w:r>
          </w:p>
        </w:tc>
        <w:tc>
          <w:tcPr>
            <w:tcW w:w="26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21,536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980" w:type="dxa"/>
            <w:vAlign w:val="bottom"/>
          </w:tcPr>
          <w:p>
            <w:pPr>
              <w:spacing w:after="0"/>
              <w:rPr>
                <w:sz w:val="18"/>
                <w:szCs w:val="18"/>
                <w:color w:val="auto"/>
              </w:rPr>
            </w:pPr>
          </w:p>
        </w:tc>
        <w:tc>
          <w:tcPr>
            <w:tcW w:w="86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(1,503 )</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98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30,696</w:t>
            </w:r>
          </w:p>
        </w:tc>
        <w:tc>
          <w:tcPr>
            <w:tcW w:w="26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17,647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980" w:type="dxa"/>
            <w:vAlign w:val="bottom"/>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29,193</w:t>
            </w:r>
          </w:p>
        </w:tc>
        <w:tc>
          <w:tcPr>
            <w:tcW w:w="260" w:type="dxa"/>
            <w:vAlign w:val="bottom"/>
          </w:tcPr>
          <w:p>
            <w:pPr>
              <w:spacing w:after="0"/>
              <w:rPr>
                <w:sz w:val="18"/>
                <w:szCs w:val="18"/>
                <w:color w:val="auto"/>
              </w:rPr>
            </w:pPr>
          </w:p>
        </w:tc>
        <w:tc>
          <w:tcPr>
            <w:tcW w:w="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00" w:type="dxa"/>
            <w:vAlign w:val="bottom"/>
            <w:gridSpan w:val="2"/>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of noncash financing activities</w:t>
            </w: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Forgiveness of PPP Loan and accrued interest</w:t>
            </w:r>
          </w:p>
        </w:tc>
        <w:tc>
          <w:tcPr>
            <w:tcW w:w="980" w:type="dxa"/>
            <w:vAlign w:val="bottom"/>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0"/>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Reconciliation of cash, cash equivalents and restricted cash:</w:t>
            </w:r>
          </w:p>
        </w:tc>
        <w:tc>
          <w:tcPr>
            <w:tcW w:w="980" w:type="dxa"/>
            <w:vAlign w:val="bottom"/>
          </w:tcPr>
          <w:p>
            <w:pPr>
              <w:spacing w:after="0"/>
              <w:rPr>
                <w:sz w:val="24"/>
                <w:szCs w:val="24"/>
                <w:color w:val="auto"/>
              </w:rPr>
            </w:pPr>
          </w:p>
        </w:tc>
        <w:tc>
          <w:tcPr>
            <w:tcW w:w="1260" w:type="dxa"/>
            <w:vAlign w:val="bottom"/>
            <w:gridSpan w:val="5"/>
            <w:vMerge w:val="restart"/>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76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5"/>
            <w:vMerge w:val="continue"/>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76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29,033</w:t>
            </w: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26,414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Restricted cash (including $100 recorded in other current assets at June 30, 2021)</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20" w:type="dxa"/>
            <w:vAlign w:val="bottom"/>
            <w:tcBorders>
              <w:top w:val="single" w:sz="8" w:color="auto"/>
              <w:bottom w:val="single" w:sz="8" w:color="auto"/>
            </w:tcBorders>
            <w:shd w:val="clear" w:color="auto" w:fill="CFF0FC"/>
          </w:tcPr>
          <w:p>
            <w:pPr>
              <w:spacing w:after="0"/>
              <w:rPr>
                <w:sz w:val="21"/>
                <w:szCs w:val="21"/>
                <w:color w:val="auto"/>
              </w:rPr>
            </w:pPr>
          </w:p>
        </w:tc>
        <w:tc>
          <w:tcPr>
            <w:tcW w:w="980" w:type="dxa"/>
            <w:vAlign w:val="bottom"/>
            <w:tcBorders>
              <w:top w:val="single" w:sz="8" w:color="auto"/>
              <w:bottom w:val="single" w:sz="8" w:color="auto"/>
            </w:tcBorders>
            <w:shd w:val="clear" w:color="auto" w:fill="CFF0FC"/>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29,193</w:t>
            </w:r>
          </w:p>
        </w:tc>
        <w:tc>
          <w:tcPr>
            <w:tcW w:w="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top w:val="single" w:sz="8" w:color="auto"/>
              <w:bottom w:val="single" w:sz="8" w:color="auto"/>
            </w:tcBorders>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26,674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-1696720</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-1696720</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-1413510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-1413510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-24765</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financial statements.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CLEARSIDE BIOMEDICAL,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The Company</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Clearside Biomedical, Inc. (the “Company”) is a biopharmaceutical company focused on revolutionizing the delivery of therapies to the back of the</w:t>
      </w:r>
    </w:p>
    <w:p>
      <w:pPr>
        <w:spacing w:after="0" w:line="27" w:lineRule="exact"/>
        <w:rPr>
          <w:sz w:val="20"/>
          <w:szCs w:val="20"/>
          <w:color w:val="auto"/>
        </w:rPr>
      </w:pPr>
    </w:p>
    <w:p>
      <w:pPr>
        <w:ind w:right="500"/>
        <w:spacing w:after="0" w:line="214" w:lineRule="auto"/>
        <w:rPr>
          <w:sz w:val="20"/>
          <w:szCs w:val="20"/>
          <w:color w:val="auto"/>
        </w:rPr>
      </w:pPr>
      <w:r>
        <w:rPr>
          <w:rFonts w:ascii="Times New Roman" w:cs="Times New Roman" w:eastAsia="Times New Roman" w:hAnsi="Times New Roman"/>
          <w:sz w:val="18"/>
          <w:szCs w:val="18"/>
          <w:color w:val="auto"/>
        </w:rPr>
        <w:t>eye through the suprachoroidal space (SCS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Incorporated in the State of Delaware on May 26, 2011, the Company has its corporate headquarters in Alpharetta, Georgia.</w:t>
      </w:r>
    </w:p>
    <w:p>
      <w:pPr>
        <w:spacing w:after="0" w:line="78" w:lineRule="exact"/>
        <w:rPr>
          <w:sz w:val="20"/>
          <w:szCs w:val="20"/>
          <w:color w:val="auto"/>
        </w:rPr>
      </w:pPr>
    </w:p>
    <w:p>
      <w:pPr>
        <w:ind w:right="320" w:firstLine="509"/>
        <w:spacing w:after="0" w:line="246" w:lineRule="auto"/>
        <w:rPr>
          <w:sz w:val="20"/>
          <w:szCs w:val="20"/>
          <w:color w:val="auto"/>
        </w:rPr>
      </w:pPr>
      <w:r>
        <w:rPr>
          <w:rFonts w:ascii="Times New Roman" w:cs="Times New Roman" w:eastAsia="Times New Roman" w:hAnsi="Times New Roman"/>
          <w:sz w:val="18"/>
          <w:szCs w:val="18"/>
          <w:color w:val="auto"/>
        </w:rPr>
        <w:t>The Company’s activities since inception have primarily consisted of developing product and technology rights, raising capital and performing research and development activities. The Company is subject to a number of risks and uncertainties similar to those of other life science companies at a similar stage of development, including, among others, the need to obtain adequate additional financing, successful development efforts including regulatory approval of products, compliance with government regulations, successful commercialization of potential products, protection of proprietary technology and dependence on key individuals.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had cash and cash equivalents of $29.0 million as of June 30, 2022.</w:t>
      </w:r>
    </w:p>
    <w:p>
      <w:pPr>
        <w:spacing w:after="0" w:line="104" w:lineRule="exact"/>
        <w:rPr>
          <w:sz w:val="20"/>
          <w:szCs w:val="20"/>
          <w:color w:val="auto"/>
        </w:rPr>
      </w:pPr>
    </w:p>
    <w:p>
      <w:pPr>
        <w:ind w:right="60" w:firstLine="509"/>
        <w:spacing w:after="0" w:line="247" w:lineRule="auto"/>
        <w:rPr>
          <w:sz w:val="20"/>
          <w:szCs w:val="20"/>
          <w:color w:val="auto"/>
        </w:rPr>
      </w:pPr>
      <w:r>
        <w:rPr>
          <w:rFonts w:ascii="Times New Roman" w:cs="Times New Roman" w:eastAsia="Times New Roman" w:hAnsi="Times New Roman"/>
          <w:sz w:val="18"/>
          <w:szCs w:val="18"/>
          <w:color w:val="auto"/>
        </w:rPr>
        <w:t>Historically, the Company has funded its operations primarily through the sale of common stock and convertible preferred stock, the issuance of long-term debt, and license agreements. On October 25, 2021, the Company announced that the U.S. Food and Drug Administration (the "FDA") approved XIPERE (triamcinolone acetonide injectable suspension) for the treatment of macular edema associated with uveitis, a form of eye inflammation. In January 2022, the Company received $10.0 million from Bausch + Lomb, a division of Bausch Health Companies, Inc. ("Bausch"), upon completion of pre-launch activities for XIPERE pursuant to the license agreement granting Bausch an exclusive license to develop and commercialize XIPERE in the United States and Canada. Bausch launched XIPERE in the United States in the first quarter of 2022.</w:t>
      </w:r>
    </w:p>
    <w:p>
      <w:pPr>
        <w:spacing w:after="0" w:line="72"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As further described in Note 13 to the financial statements on August 8, 2022, the Company entered into a Purchase and Sale Agreement pursuant to which it sold its rights to receive royalty and milestone payments due to the Company from XIPERE and certain SCS Microinjector license agreements subject to a cap which may be increased under certain circumstances. Under the terms of the agreement, the Company is entitled to an initial payment of $32.5 million by August 29, 2022.</w:t>
      </w:r>
    </w:p>
    <w:p>
      <w:pPr>
        <w:spacing w:after="0" w:line="69" w:lineRule="exact"/>
        <w:rPr>
          <w:sz w:val="20"/>
          <w:szCs w:val="20"/>
          <w:color w:val="auto"/>
        </w:rPr>
      </w:pPr>
    </w:p>
    <w:p>
      <w:pPr>
        <w:ind w:firstLine="509"/>
        <w:spacing w:after="0" w:line="235" w:lineRule="auto"/>
        <w:rPr>
          <w:sz w:val="20"/>
          <w:szCs w:val="20"/>
          <w:color w:val="auto"/>
        </w:rPr>
      </w:pPr>
      <w:r>
        <w:rPr>
          <w:rFonts w:ascii="Times New Roman" w:cs="Times New Roman" w:eastAsia="Times New Roman" w:hAnsi="Times New Roman"/>
          <w:sz w:val="18"/>
          <w:szCs w:val="18"/>
          <w:color w:val="auto"/>
        </w:rPr>
        <w:t>The Company has suffered recurring losses and negative cash flows from operations since inception and anticipates incurring additional losses until such time, if ever, that it can generate significant revenue. The Company has no current source of revenue to sustain present activities and does not expect to generate meaningful revenue until and unless the Company's licensees successfully commercialize XIPERE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its other licensees receive regulatory approval and successfully commercialize its product candidates, or the Company commercializes its product candidates either on its own or with a third party. In the absence of product or other revenues, the amount, timing, nature or source of which cannot be predicted, the Company’s losses will continue as it conducts its research and development activities.</w:t>
      </w:r>
    </w:p>
    <w:p>
      <w:pPr>
        <w:spacing w:after="0" w:line="80" w:lineRule="exact"/>
        <w:rPr>
          <w:sz w:val="20"/>
          <w:szCs w:val="20"/>
          <w:color w:val="auto"/>
        </w:rPr>
      </w:pPr>
    </w:p>
    <w:p>
      <w:pPr>
        <w:ind w:right="120" w:firstLine="509"/>
        <w:spacing w:after="0" w:line="250" w:lineRule="auto"/>
        <w:rPr>
          <w:sz w:val="20"/>
          <w:szCs w:val="20"/>
          <w:color w:val="auto"/>
        </w:rPr>
      </w:pPr>
      <w:r>
        <w:rPr>
          <w:rFonts w:ascii="Times New Roman" w:cs="Times New Roman" w:eastAsia="Times New Roman" w:hAnsi="Times New Roman"/>
          <w:sz w:val="18"/>
          <w:szCs w:val="18"/>
          <w:color w:val="auto"/>
        </w:rPr>
        <w:t>The Company will continue to need to obtain additional financing to fund future operations, including completing the development, partnering and potential commercialization of its primary product candidates. The Company will need to obtain financing to complete the development and conduct clinical trials for the regulatory approval of its product candidates if requested by regulatory bodies. If such product candidates were to receive regulatory approval, the Company would need to obtain financing to prepare for the potential commercialization of its product candidates, if the Company decides to commercialize the products on its own.</w:t>
      </w:r>
    </w:p>
    <w:p>
      <w:pPr>
        <w:spacing w:after="0" w:line="69" w:lineRule="exact"/>
        <w:rPr>
          <w:sz w:val="20"/>
          <w:szCs w:val="20"/>
          <w:color w:val="auto"/>
        </w:rPr>
      </w:pPr>
    </w:p>
    <w:p>
      <w:pPr>
        <w:ind w:right="20" w:firstLine="509"/>
        <w:spacing w:after="0" w:line="244" w:lineRule="auto"/>
        <w:rPr>
          <w:sz w:val="20"/>
          <w:szCs w:val="20"/>
          <w:color w:val="auto"/>
        </w:rPr>
      </w:pPr>
      <w:r>
        <w:rPr>
          <w:rFonts w:ascii="Times New Roman" w:cs="Times New Roman" w:eastAsia="Times New Roman" w:hAnsi="Times New Roman"/>
          <w:sz w:val="18"/>
          <w:szCs w:val="18"/>
          <w:color w:val="auto"/>
        </w:rPr>
        <w:t>Based on its cash and cash equivalents as of the filing date, August 12, 2022, its current plans and forecasted expenses and assuming receipt of $32.5 million that the Company is entitled to receive pursuant to the Purchase and Sale Agreement, the Company expects that it will be able to fund its planned operating expenses and capital expenditure requirements into 2024. The Company has based this estimate on assumptions that may prove to be wrong, and it could exhaust its capital resources sooner than expected. Until the Company can generate sufficient revenue, the Company will need to finance future cash needs through public or private equity offerings, license agreements, debt financings or restructurings, collaborations, strategic alliances and marketing or distribution arrangements.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7" w:name="page8"/>
    <w:bookmarkEnd w:id="7"/>
    <w:p>
      <w:pPr>
        <w:ind w:right="8640" w:firstLine="8"/>
        <w:spacing w:after="0" w:line="362" w:lineRule="auto"/>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b w:val="1"/>
          <w:bCs w:val="1"/>
          <w:i w:val="1"/>
          <w:iCs w:val="1"/>
          <w:color w:val="auto"/>
        </w:rPr>
        <w:t>Basis of Presentation</w:t>
      </w:r>
    </w:p>
    <w:p>
      <w:pPr>
        <w:spacing w:after="0" w:line="1"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The Company’s financial statements have been prepared in conformity with accounting principles generally accepted in the United States of America (“U.S. GAAP”).</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Financial Information</w:t>
      </w:r>
    </w:p>
    <w:p>
      <w:pPr>
        <w:spacing w:after="0" w:line="108" w:lineRule="exact"/>
        <w:rPr>
          <w:sz w:val="20"/>
          <w:szCs w:val="20"/>
          <w:color w:val="auto"/>
        </w:rPr>
      </w:pPr>
    </w:p>
    <w:p>
      <w:pPr>
        <w:ind w:right="100" w:firstLine="509"/>
        <w:spacing w:after="0" w:line="243" w:lineRule="auto"/>
        <w:rPr>
          <w:sz w:val="20"/>
          <w:szCs w:val="20"/>
          <w:color w:val="auto"/>
        </w:rPr>
      </w:pPr>
      <w:r>
        <w:rPr>
          <w:rFonts w:ascii="Times New Roman" w:cs="Times New Roman" w:eastAsia="Times New Roman" w:hAnsi="Times New Roman"/>
          <w:sz w:val="18"/>
          <w:szCs w:val="18"/>
          <w:color w:val="auto"/>
        </w:rPr>
        <w:t>The accompanying balance sheet as of June 30, 2022, statements of operations for the three and six months ended June 30, 2022 and 2021, statements of stockholders’ equity for the three and six months ended June 30, 2022 and 2021 and statements of cash flows for the six months ended June 30, 2022 and 2021 are unaudited. The unaudited interim financial statements have been prepared on the same basis as the annual financial statements and, in the opinion of management, reflect all adjustments, which include normal recurring adjustments, necessary for the fair presentation of the Company’s financial position as of June 30, 2022, its results of its operations for the three and six months ended June 30, 2022 and 2021, its changes in stockholders’ equity for the three and six months ended June 30, 2022 and 2021 and its cash flows for the six months ended June 30, 2022 and 2021. The financial data and other information disclosed in these notes related to the three and six months ended June 30, 2022 and 2021 are unaudited. The results for the six months ended June 30, 2022 are not indicative of results to be expected for the year ending December 31, 2022, any other interim periods or any future year or period. These unaudited financial statements should be read in conjunction with the audited financial statements and related footnotes, which are included in the Company’s Annual Report on Form 10-K for the year ended December 31, 2021.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20" w:firstLine="509"/>
        <w:spacing w:after="0" w:line="24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reported amounts of income and expenses during the reporting periods. Significant items subject to such estimates and assumptions include revenue recognition, the accounting for useful lives to calculate depreciation and amortization, clinical trial expense accruals, share-based compensation expense and income tax valuation allowance. Actual results could differ from these estimates.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Effects of COVID-19</w:t>
      </w:r>
    </w:p>
    <w:p>
      <w:pPr>
        <w:spacing w:after="0" w:line="121"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auto"/>
        </w:rPr>
        <w:t>The COVID-19 pandemic continues to result in global economic uncertainty. Estimates and assumptions about future events and their effects cannot be determined with certainty and therefore require the exercise of judgment. As of the date of issuance of these financial statements, the Company is not aware of any specific event or circumstance that would require us to update its estimates, assumptions and judgments or revise the carrying value of its assets or liabilities. These estimates may change as new events occur and additional information is obtained and are recognized in the consolidated financial statements as soon as they become known. Actual results could differ from those estimates and any such differences may be material to our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right="20" w:firstLine="509"/>
        <w:spacing w:after="0" w:line="245" w:lineRule="auto"/>
        <w:rPr>
          <w:sz w:val="20"/>
          <w:szCs w:val="20"/>
          <w:color w:val="auto"/>
        </w:rPr>
      </w:pPr>
      <w:r>
        <w:rPr>
          <w:rFonts w:ascii="Times New Roman" w:cs="Times New Roman" w:eastAsia="Times New Roman" w:hAnsi="Times New Roman"/>
          <w:sz w:val="18"/>
          <w:szCs w:val="18"/>
          <w:color w:val="212529"/>
        </w:rPr>
        <w:t xml:space="preserve">The Company recognizes revenue from its contracts with customers under Financial Accounting Standards Board (“FASB”) Accounting Standards Codification (“ASC”) Topic 606, </w:t>
      </w:r>
      <w:r>
        <w:rPr>
          <w:rFonts w:ascii="Times New Roman" w:cs="Times New Roman" w:eastAsia="Times New Roman" w:hAnsi="Times New Roman"/>
          <w:sz w:val="18"/>
          <w:szCs w:val="18"/>
          <w:i w:val="1"/>
          <w:iCs w:val="1"/>
          <w:color w:val="212529"/>
        </w:rPr>
        <w:t>Revenue from Contracts with Customers</w:t>
      </w:r>
      <w:r>
        <w:rPr>
          <w:rFonts w:ascii="Times New Roman" w:cs="Times New Roman" w:eastAsia="Times New Roman" w:hAnsi="Times New Roman"/>
          <w:sz w:val="18"/>
          <w:szCs w:val="18"/>
          <w:color w:val="212529"/>
        </w:rPr>
        <w:t xml:space="preserve"> (“ASC Topic 606”). The Company’s primary revenue arrangements are license agreements which typically include upfront payments, regulatory and commercial milestone payments and royalties based on future product sales. The arrangements may also include payments for the Company’s SCS Microinjector devices as well as payments for assistance and oversight of the customer’s use of the Company’s technology. In determining the amount of revenue to be recognized under these agreements, the Company performs the following steps: (i) identifies the promised goods and services to be transferred in the contract, (ii) identifies the performance obligations, (iii) determines the transaction price, (iv) allocates the transaction price to the performance obligations and (v) recognizes revenue as the performance obligations are satisfied.</w:t>
      </w:r>
    </w:p>
    <w:p>
      <w:pPr>
        <w:spacing w:after="0" w:line="73" w:lineRule="exact"/>
        <w:rPr>
          <w:sz w:val="20"/>
          <w:szCs w:val="20"/>
          <w:color w:val="auto"/>
        </w:rPr>
      </w:pPr>
    </w:p>
    <w:p>
      <w:pPr>
        <w:ind w:right="400" w:firstLine="578"/>
        <w:spacing w:after="0" w:line="242" w:lineRule="auto"/>
        <w:rPr>
          <w:sz w:val="20"/>
          <w:szCs w:val="20"/>
          <w:color w:val="auto"/>
        </w:rPr>
      </w:pPr>
      <w:r>
        <w:rPr>
          <w:rFonts w:ascii="Times New Roman" w:cs="Times New Roman" w:eastAsia="Times New Roman" w:hAnsi="Times New Roman"/>
          <w:sz w:val="18"/>
          <w:szCs w:val="18"/>
          <w:color w:val="auto"/>
        </w:rPr>
        <w:t>The Company receives payments from its customers based on billing schedules established in each contract. Upfront and other payments may require deferral of revenue recognition to a future period until the Company performs its obligations under the arrangement. Amounts are recorded as accounts receivable when the Company’s right to consideration is unconditional. The Company does not assess whether a contract has a significant financing component if the expectation at contract inception is such that the period between payment by the customer and the transfer of the promised goods or services to the customer will be one year or less.</w:t>
      </w:r>
    </w:p>
    <w:p>
      <w:pPr>
        <w:spacing w:after="0" w:line="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60"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Research and development costs are charged to expense as incurred and include:</w:t>
      </w:r>
    </w:p>
    <w:p>
      <w:pPr>
        <w:spacing w:after="0" w:line="104" w:lineRule="exact"/>
        <w:rPr>
          <w:sz w:val="20"/>
          <w:szCs w:val="20"/>
          <w:color w:val="auto"/>
        </w:rPr>
      </w:pPr>
    </w:p>
    <w:p>
      <w:pPr>
        <w:ind w:left="1020" w:right="64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benefits, travel and share-based compensation expense for research and development personnel;</w:t>
      </w:r>
    </w:p>
    <w:p>
      <w:pPr>
        <w:spacing w:after="0" w:line="67"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contract research organizations, contract manufacturing organizations and consultants that conduct preclinical studies and clinical trials;</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preclinical and clinical development activities;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submitting regulatory approval applications for the Company’s product candidates;</w:t>
      </w:r>
    </w:p>
    <w:p>
      <w:pPr>
        <w:spacing w:after="0" w:line="103" w:lineRule="exact"/>
        <w:rPr>
          <w:rFonts w:ascii="Times New Roman" w:cs="Times New Roman" w:eastAsia="Times New Roman" w:hAnsi="Times New Roman"/>
          <w:sz w:val="18"/>
          <w:szCs w:val="18"/>
          <w:color w:val="auto"/>
        </w:rPr>
      </w:pPr>
    </w:p>
    <w:p>
      <w:pPr>
        <w:ind w:left="1020" w:right="44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training physicians on the suprachoroidal injection procedure and educating and providing them with appropriate product candidate information;</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technology and intellectual property licenses;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for the Company’s research and development facility; and</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expense for assets used in research and development activities.</w:t>
      </w:r>
    </w:p>
    <w:p>
      <w:pPr>
        <w:spacing w:after="0" w:line="104"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Costs for certain development activities, such as clinical trial activities, are recognized based on an evaluation of the estimated total costs for the clinical trial, progress to completion of specific tasks using data such as patient enrollment, pass through expenses, clinical site activations, data from the clinical sites or information provided to the Company by its vendors on their actual costs incurred. Payments for these activities are based on the terms of the individual contracts and any subsequent amendments, which may differ from the patterns of costs incurred, and are reflected in the financial statements as prepaid or accrued expense.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08" w:lineRule="exact"/>
        <w:rPr>
          <w:sz w:val="20"/>
          <w:szCs w:val="20"/>
          <w:color w:val="auto"/>
        </w:rPr>
      </w:pPr>
    </w:p>
    <w:p>
      <w:pPr>
        <w:ind w:right="20" w:firstLine="562"/>
        <w:spacing w:after="0" w:line="250" w:lineRule="auto"/>
        <w:rPr>
          <w:sz w:val="20"/>
          <w:szCs w:val="20"/>
          <w:color w:val="auto"/>
        </w:rPr>
      </w:pPr>
      <w:r>
        <w:rPr>
          <w:rFonts w:ascii="Times New Roman" w:cs="Times New Roman" w:eastAsia="Times New Roman" w:hAnsi="Times New Roman"/>
          <w:sz w:val="18"/>
          <w:szCs w:val="18"/>
          <w:color w:val="auto"/>
        </w:rPr>
        <w:t>Compensation cost related to share-based awards granted to employees, directors and consultants is measured based on the estimated fair value of the award at the grant date. The Company estimates the fair value of stock options using a Black-Scholes option pricing model. The fair value of restricted stock units granted is measured based on the market value of the Company’s common stock on the date of grant. Share-based compensation costs are expensed on a straight-line basis over the relevant vesting period.</w:t>
      </w:r>
    </w:p>
    <w:p>
      <w:pPr>
        <w:spacing w:after="0" w:line="83" w:lineRule="exact"/>
        <w:rPr>
          <w:sz w:val="20"/>
          <w:szCs w:val="20"/>
          <w:color w:val="auto"/>
        </w:rPr>
      </w:pPr>
    </w:p>
    <w:p>
      <w:pPr>
        <w:ind w:right="20" w:firstLine="509"/>
        <w:spacing w:after="0" w:line="245" w:lineRule="auto"/>
        <w:rPr>
          <w:sz w:val="20"/>
          <w:szCs w:val="20"/>
          <w:color w:val="auto"/>
        </w:rPr>
      </w:pPr>
      <w:r>
        <w:rPr>
          <w:rFonts w:ascii="Times New Roman" w:cs="Times New Roman" w:eastAsia="Times New Roman" w:hAnsi="Times New Roman"/>
          <w:sz w:val="18"/>
          <w:szCs w:val="18"/>
          <w:color w:val="auto"/>
        </w:rPr>
        <w:t>Compensation cost related to shares purchased through the Company’s employee stock purchase plan, which is considered compensatory, is based on the estimated fair value of the shares on the offering date, including consideration of the discount and the look back period. The Company estimates the fair value of the shares using a Black-Scholes option pricing model. Compensation expense is recognized over the six-month withholding period prior to the purchase date.</w:t>
      </w:r>
    </w:p>
    <w:p>
      <w:pPr>
        <w:spacing w:after="0" w:line="86"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All share-based compensation costs are recorded in general and administrative or research and development costs in the statements of operations based upon the recipient's underlying role within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Equivalents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Cash equivalents consist of short-term, highly liquid investments with an original term of three months or less at the date of purchase.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Arising From Cash Deposits in Excess of Insured Limits</w:t>
      </w:r>
    </w:p>
    <w:p>
      <w:pPr>
        <w:spacing w:after="0" w:line="108"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Company maintains its cash in bank deposits that at times may exceed federally insured limits. The Company has not experienced any loss in such accounts. The Company believes it is not exposed to any significant risks with respect to its cash balances.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36" w:right="4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3. Property and Equipment,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and equipment, net consisted of the following (dollar amounts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40" w:type="dxa"/>
            <w:vAlign w:val="bottom"/>
          </w:tcPr>
          <w:p>
            <w:pPr>
              <w:spacing w:after="0"/>
              <w:rPr>
                <w:sz w:val="16"/>
                <w:szCs w:val="16"/>
                <w:color w:val="auto"/>
              </w:rPr>
            </w:pPr>
          </w:p>
        </w:tc>
        <w:tc>
          <w:tcPr>
            <w:tcW w:w="1240" w:type="dxa"/>
            <w:vAlign w:val="bottom"/>
          </w:tcPr>
          <w:p>
            <w:pPr>
              <w:jc w:val="center"/>
              <w:ind w:left="53"/>
              <w:spacing w:after="0"/>
              <w:rPr>
                <w:sz w:val="20"/>
                <w:szCs w:val="20"/>
                <w:color w:val="auto"/>
              </w:rPr>
            </w:pPr>
            <w:r>
              <w:rPr>
                <w:rFonts w:ascii="Times New Roman" w:cs="Times New Roman" w:eastAsia="Times New Roman" w:hAnsi="Times New Roman"/>
                <w:sz w:val="16"/>
                <w:szCs w:val="16"/>
                <w:b w:val="1"/>
                <w:bCs w:val="1"/>
                <w:color w:val="auto"/>
              </w:rPr>
              <w:t>Estimated</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164"/>
        </w:trPr>
        <w:tc>
          <w:tcPr>
            <w:tcW w:w="6240" w:type="dxa"/>
            <w:vAlign w:val="bottom"/>
          </w:tcPr>
          <w:p>
            <w:pPr>
              <w:spacing w:after="0"/>
              <w:rPr>
                <w:sz w:val="14"/>
                <w:szCs w:val="14"/>
                <w:color w:val="auto"/>
              </w:rPr>
            </w:pPr>
          </w:p>
        </w:tc>
        <w:tc>
          <w:tcPr>
            <w:tcW w:w="1240" w:type="dxa"/>
            <w:vAlign w:val="bottom"/>
          </w:tcPr>
          <w:p>
            <w:pPr>
              <w:jc w:val="center"/>
              <w:ind w:left="53"/>
              <w:spacing w:after="0" w:line="165" w:lineRule="exact"/>
              <w:rPr>
                <w:sz w:val="20"/>
                <w:szCs w:val="20"/>
                <w:color w:val="auto"/>
              </w:rPr>
            </w:pPr>
            <w:r>
              <w:rPr>
                <w:rFonts w:ascii="Times New Roman" w:cs="Times New Roman" w:eastAsia="Times New Roman" w:hAnsi="Times New Roman"/>
                <w:sz w:val="16"/>
                <w:szCs w:val="16"/>
                <w:b w:val="1"/>
                <w:bCs w:val="1"/>
                <w:color w:val="auto"/>
              </w:rPr>
              <w:t>Useful Lives</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3"/>
          </w:tcPr>
          <w:p>
            <w:pPr>
              <w:jc w:val="right"/>
              <w:ind w:right="620"/>
              <w:spacing w:after="0" w:line="165" w:lineRule="exact"/>
              <w:rPr>
                <w:sz w:val="20"/>
                <w:szCs w:val="20"/>
                <w:color w:val="auto"/>
              </w:rPr>
            </w:pPr>
            <w:r>
              <w:rPr>
                <w:rFonts w:ascii="Times New Roman" w:cs="Times New Roman" w:eastAsia="Times New Roman" w:hAnsi="Times New Roman"/>
                <w:sz w:val="16"/>
                <w:szCs w:val="16"/>
                <w:b w:val="1"/>
                <w:bCs w:val="1"/>
                <w:color w:val="auto"/>
              </w:rPr>
              <w:t>June 30,</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18"/>
                <w:szCs w:val="18"/>
                <w:color w:val="auto"/>
              </w:rPr>
            </w:pPr>
          </w:p>
        </w:tc>
        <w:tc>
          <w:tcPr>
            <w:tcW w:w="1240" w:type="dxa"/>
            <w:vAlign w:val="bottom"/>
            <w:tcBorders>
              <w:bottom w:val="single" w:sz="8" w:color="auto"/>
            </w:tcBorders>
          </w:tcPr>
          <w:p>
            <w:pPr>
              <w:jc w:val="center"/>
              <w:ind w:left="53"/>
              <w:spacing w:after="0"/>
              <w:rPr>
                <w:sz w:val="20"/>
                <w:szCs w:val="20"/>
                <w:color w:val="auto"/>
              </w:rPr>
            </w:pPr>
            <w:r>
              <w:rPr>
                <w:rFonts w:ascii="Times New Roman" w:cs="Times New Roman" w:eastAsia="Times New Roman" w:hAnsi="Times New Roman"/>
                <w:sz w:val="16"/>
                <w:szCs w:val="16"/>
                <w:b w:val="1"/>
                <w:bCs w:val="1"/>
                <w:color w:val="auto"/>
                <w:w w:val="98"/>
              </w:rPr>
              <w:t>(Years)</w:t>
            </w:r>
          </w:p>
        </w:tc>
        <w:tc>
          <w:tcPr>
            <w:tcW w:w="120" w:type="dxa"/>
            <w:vAlign w:val="bottom"/>
            <w:tcBorders>
              <w:bottom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2022</w:t>
            </w:r>
          </w:p>
        </w:tc>
        <w:tc>
          <w:tcPr>
            <w:tcW w:w="30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240" w:type="dxa"/>
            <w:vAlign w:val="bottom"/>
            <w:shd w:val="clear" w:color="auto" w:fill="CFF0FC"/>
          </w:tcPr>
          <w:p>
            <w:pPr>
              <w:jc w:val="center"/>
              <w:ind w:left="53"/>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337</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1240" w:type="dxa"/>
            <w:vAlign w:val="bottom"/>
          </w:tcPr>
          <w:p>
            <w:pPr>
              <w:jc w:val="center"/>
              <w:ind w:left="53"/>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1240" w:type="dxa"/>
            <w:vAlign w:val="bottom"/>
            <w:shd w:val="clear" w:color="auto" w:fill="CFF0FC"/>
          </w:tcPr>
          <w:p>
            <w:pPr>
              <w:jc w:val="center"/>
              <w:ind w:left="53"/>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6240" w:type="dxa"/>
            <w:vAlign w:val="bottom"/>
          </w:tcPr>
          <w:p>
            <w:pPr>
              <w:ind w:left="20"/>
              <w:spacing w:after="0" w:line="170" w:lineRule="exact"/>
              <w:rPr>
                <w:sz w:val="20"/>
                <w:szCs w:val="20"/>
                <w:color w:val="auto"/>
              </w:rPr>
            </w:pPr>
            <w:r>
              <w:rPr>
                <w:rFonts w:ascii="Times New Roman" w:cs="Times New Roman" w:eastAsia="Times New Roman" w:hAnsi="Times New Roman"/>
                <w:sz w:val="18"/>
                <w:szCs w:val="18"/>
                <w:color w:val="auto"/>
              </w:rPr>
              <w:t>Leasehold improvements</w:t>
            </w:r>
          </w:p>
        </w:tc>
        <w:tc>
          <w:tcPr>
            <w:tcW w:w="1240" w:type="dxa"/>
            <w:vAlign w:val="bottom"/>
          </w:tcPr>
          <w:p>
            <w:pPr>
              <w:jc w:val="center"/>
              <w:ind w:left="53"/>
              <w:spacing w:after="0" w:line="170" w:lineRule="exact"/>
              <w:rPr>
                <w:sz w:val="20"/>
                <w:szCs w:val="20"/>
                <w:color w:val="auto"/>
              </w:rPr>
            </w:pPr>
            <w:r>
              <w:rPr>
                <w:rFonts w:ascii="Times New Roman" w:cs="Times New Roman" w:eastAsia="Times New Roman" w:hAnsi="Times New Roman"/>
                <w:sz w:val="18"/>
                <w:szCs w:val="18"/>
                <w:color w:val="auto"/>
                <w:w w:val="99"/>
              </w:rPr>
              <w:t>Lesser of</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240" w:type="dxa"/>
            <w:vAlign w:val="bottom"/>
          </w:tcPr>
          <w:p>
            <w:pPr>
              <w:spacing w:after="0"/>
              <w:rPr>
                <w:sz w:val="17"/>
                <w:szCs w:val="17"/>
                <w:color w:val="auto"/>
              </w:rPr>
            </w:pPr>
          </w:p>
        </w:tc>
        <w:tc>
          <w:tcPr>
            <w:tcW w:w="1240" w:type="dxa"/>
            <w:vAlign w:val="bottom"/>
          </w:tcPr>
          <w:p>
            <w:pPr>
              <w:jc w:val="center"/>
              <w:ind w:left="33"/>
              <w:spacing w:after="0" w:line="202" w:lineRule="exact"/>
              <w:rPr>
                <w:sz w:val="20"/>
                <w:szCs w:val="20"/>
                <w:color w:val="auto"/>
              </w:rPr>
            </w:pPr>
            <w:r>
              <w:rPr>
                <w:rFonts w:ascii="Times New Roman" w:cs="Times New Roman" w:eastAsia="Times New Roman" w:hAnsi="Times New Roman"/>
                <w:sz w:val="18"/>
                <w:szCs w:val="18"/>
                <w:color w:val="auto"/>
                <w:w w:val="99"/>
              </w:rPr>
              <w:t>useful life or</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240" w:type="dxa"/>
            <w:vAlign w:val="bottom"/>
          </w:tcPr>
          <w:p>
            <w:pPr>
              <w:spacing w:after="0"/>
              <w:rPr>
                <w:sz w:val="16"/>
                <w:szCs w:val="16"/>
                <w:color w:val="auto"/>
              </w:rPr>
            </w:pPr>
          </w:p>
        </w:tc>
        <w:tc>
          <w:tcPr>
            <w:tcW w:w="1240" w:type="dxa"/>
            <w:vAlign w:val="bottom"/>
          </w:tcPr>
          <w:p>
            <w:pPr>
              <w:jc w:val="center"/>
              <w:ind w:left="53"/>
              <w:spacing w:after="0" w:line="189" w:lineRule="exact"/>
              <w:rPr>
                <w:sz w:val="20"/>
                <w:szCs w:val="20"/>
                <w:color w:val="auto"/>
              </w:rPr>
            </w:pPr>
            <w:r>
              <w:rPr>
                <w:rFonts w:ascii="Times New Roman" w:cs="Times New Roman" w:eastAsia="Times New Roman" w:hAnsi="Times New Roman"/>
                <w:sz w:val="18"/>
                <w:szCs w:val="18"/>
                <w:color w:val="auto"/>
              </w:rPr>
              <w:t>remaining</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667</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6240" w:type="dxa"/>
            <w:vAlign w:val="bottom"/>
          </w:tcPr>
          <w:p>
            <w:pPr>
              <w:spacing w:after="0"/>
              <w:rPr>
                <w:sz w:val="19"/>
                <w:szCs w:val="19"/>
                <w:color w:val="auto"/>
              </w:rPr>
            </w:pPr>
          </w:p>
        </w:tc>
        <w:tc>
          <w:tcPr>
            <w:tcW w:w="1240" w:type="dxa"/>
            <w:vAlign w:val="bottom"/>
          </w:tcPr>
          <w:p>
            <w:pPr>
              <w:jc w:val="center"/>
              <w:ind w:left="53"/>
              <w:spacing w:after="0"/>
              <w:rPr>
                <w:sz w:val="20"/>
                <w:szCs w:val="20"/>
                <w:color w:val="auto"/>
              </w:rPr>
            </w:pPr>
            <w:r>
              <w:rPr>
                <w:rFonts w:ascii="Times New Roman" w:cs="Times New Roman" w:eastAsia="Times New Roman" w:hAnsi="Times New Roman"/>
                <w:sz w:val="18"/>
                <w:szCs w:val="18"/>
                <w:color w:val="auto"/>
              </w:rPr>
              <w:t>lease term</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2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1,360</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(1,039 )</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(955 )</w:t>
            </w:r>
          </w:p>
        </w:tc>
        <w:tc>
          <w:tcPr>
            <w:tcW w:w="0" w:type="dxa"/>
            <w:vAlign w:val="bottom"/>
          </w:tcPr>
          <w:p>
            <w:pPr>
              <w:spacing w:after="0"/>
              <w:rPr>
                <w:sz w:val="1"/>
                <w:szCs w:val="1"/>
                <w:color w:val="auto"/>
              </w:rPr>
            </w:pPr>
          </w:p>
        </w:tc>
      </w:tr>
      <w:tr>
        <w:trPr>
          <w:trHeight w:val="249"/>
        </w:trPr>
        <w:tc>
          <w:tcPr>
            <w:tcW w:w="624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CFF0FC"/>
            </w:tcBorders>
            <w:gridSpan w:val="2"/>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321</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615"/>
        </w:trPr>
        <w:tc>
          <w:tcPr>
            <w:tcW w:w="6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 Accrued Liabilities</w:t>
            </w: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2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Accrued liabilities consisted of the following (in thousands):</w:t>
            </w: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6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60" w:type="dxa"/>
            <w:vAlign w:val="bottom"/>
            <w:gridSpan w:val="5"/>
          </w:tcPr>
          <w:p>
            <w:pPr>
              <w:jc w:val="right"/>
              <w:ind w:right="104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240" w:type="dxa"/>
            <w:vAlign w:val="bottom"/>
          </w:tcPr>
          <w:p>
            <w:pPr>
              <w:spacing w:after="0"/>
              <w:rPr>
                <w:sz w:val="24"/>
                <w:szCs w:val="24"/>
                <w:color w:val="auto"/>
              </w:rPr>
            </w:pPr>
          </w:p>
        </w:tc>
        <w:tc>
          <w:tcPr>
            <w:tcW w:w="144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6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00" w:type="dxa"/>
            <w:vAlign w:val="bottom"/>
            <w:tcBorders>
              <w:bottom w:val="single" w:sz="8" w:color="auto"/>
            </w:tcBorders>
            <w:gridSpan w:val="4"/>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2022</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research and development</w:t>
            </w: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employee costs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w:t>
            </w:r>
          </w:p>
        </w:tc>
        <w:tc>
          <w:tcPr>
            <w:tcW w:w="1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24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2,354</w:t>
            </w:r>
          </w:p>
        </w:tc>
        <w:tc>
          <w:tcPr>
            <w:tcW w:w="3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-1687830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-1670685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-1687830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-1670685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-24765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-7620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CARES Act Paycheck Protection Program Loan</w:t>
      </w:r>
    </w:p>
    <w:p>
      <w:pPr>
        <w:spacing w:after="0" w:line="121" w:lineRule="exact"/>
        <w:rPr>
          <w:sz w:val="20"/>
          <w:szCs w:val="20"/>
          <w:color w:val="auto"/>
        </w:rPr>
      </w:pPr>
    </w:p>
    <w:p>
      <w:pPr>
        <w:ind w:right="100" w:firstLine="469"/>
        <w:spacing w:after="0" w:line="245" w:lineRule="auto"/>
        <w:rPr>
          <w:sz w:val="20"/>
          <w:szCs w:val="20"/>
          <w:color w:val="auto"/>
        </w:rPr>
      </w:pPr>
      <w:r>
        <w:rPr>
          <w:rFonts w:ascii="Times New Roman" w:cs="Times New Roman" w:eastAsia="Times New Roman" w:hAnsi="Times New Roman"/>
          <w:sz w:val="18"/>
          <w:szCs w:val="18"/>
          <w:color w:val="auto"/>
        </w:rPr>
        <w:t>On April 20, 2020, the Company entered into a loan agreement with Silicon Valley Bank (the “PPP Lender”) under the terms of which the PPP Lender made a loan to the Company in an aggregate principal amount of $1.0 million (the “PPP Loan”) pursuant to the Paycheck Protection Program (the “PPP”) under the Coronavirus Aid, Relief, and Economic Security Act (the “CARES Act”). The PPP Loan is evidenced by a promissory note (the “Note”) containing the terms and conditions for repayment of the PPP Loan.</w:t>
      </w:r>
    </w:p>
    <w:p>
      <w:pPr>
        <w:spacing w:after="0" w:line="86" w:lineRule="exact"/>
        <w:rPr>
          <w:sz w:val="20"/>
          <w:szCs w:val="20"/>
          <w:color w:val="auto"/>
        </w:rPr>
      </w:pPr>
    </w:p>
    <w:p>
      <w:pPr>
        <w:ind w:right="180" w:firstLine="469"/>
        <w:spacing w:after="0" w:line="250" w:lineRule="auto"/>
        <w:rPr>
          <w:sz w:val="20"/>
          <w:szCs w:val="20"/>
          <w:color w:val="auto"/>
        </w:rPr>
      </w:pPr>
      <w:r>
        <w:rPr>
          <w:rFonts w:ascii="Times New Roman" w:cs="Times New Roman" w:eastAsia="Times New Roman" w:hAnsi="Times New Roman"/>
          <w:sz w:val="18"/>
          <w:szCs w:val="18"/>
          <w:color w:val="auto"/>
        </w:rPr>
        <w:t>Under the terms of the Note and the PPP Loan, interest accrued on the outstanding principal amount at the rate of 1.0% per annum. The term of the Note was until April 2022, with the Company obligated to make equal monthly payments of principal and interest, beginning in November 2020 and continuing until the maturity date.</w:t>
      </w:r>
    </w:p>
    <w:p>
      <w:pPr>
        <w:spacing w:after="0" w:line="82" w:lineRule="exact"/>
        <w:rPr>
          <w:sz w:val="20"/>
          <w:szCs w:val="20"/>
          <w:color w:val="auto"/>
        </w:rPr>
      </w:pPr>
    </w:p>
    <w:p>
      <w:pPr>
        <w:ind w:right="120" w:firstLine="469"/>
        <w:spacing w:after="0" w:line="250" w:lineRule="auto"/>
        <w:rPr>
          <w:sz w:val="20"/>
          <w:szCs w:val="20"/>
          <w:color w:val="auto"/>
        </w:rPr>
      </w:pPr>
      <w:r>
        <w:rPr>
          <w:rFonts w:ascii="Times New Roman" w:cs="Times New Roman" w:eastAsia="Times New Roman" w:hAnsi="Times New Roman"/>
          <w:sz w:val="18"/>
          <w:szCs w:val="18"/>
          <w:color w:val="auto"/>
        </w:rPr>
        <w:t xml:space="preserve">The CARES Act and the PPP provide a mechanism for forgiveness of up to the full amount borrowed. On January 11, 2021, the Company was notified by the PPP Lender that the PPP Loan had been forgiven in full, including approximately $7,000 of accrued interest. In accordance with ASC 405-20, </w:t>
      </w:r>
      <w:r>
        <w:rPr>
          <w:rFonts w:ascii="Times New Roman" w:cs="Times New Roman" w:eastAsia="Times New Roman" w:hAnsi="Times New Roman"/>
          <w:sz w:val="18"/>
          <w:szCs w:val="18"/>
          <w:i w:val="1"/>
          <w:iCs w:val="1"/>
          <w:color w:val="auto"/>
        </w:rPr>
        <w:t>Extinguishment of Liabilities</w:t>
      </w:r>
      <w:r>
        <w:rPr>
          <w:rFonts w:ascii="Times New Roman" w:cs="Times New Roman" w:eastAsia="Times New Roman" w:hAnsi="Times New Roman"/>
          <w:sz w:val="18"/>
          <w:szCs w:val="18"/>
          <w:color w:val="auto"/>
        </w:rPr>
        <w:t>, the income from the forgiveness of the amount borrowed and the accrued interest was recognized in the statement of operations in other income as a gain on extinguishment of debt.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Common Stock</w:t>
      </w:r>
    </w:p>
    <w:p>
      <w:pPr>
        <w:spacing w:after="0" w:line="108"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At the Company's Annual Meeting of Stockholders held on June 22, 2022, the Company's stockholders approved an amendment to the amended and restated certificate of incorporation to increase the Company's authorized number of shares of common stock from 100,000,000 shares to 200,000,000 shares. As of June 30, 2022 the Company was authorized to issue 200,000,000 shares of $0.001 par value common stock. As of June 30, 2022 and December 31, 2021, there were 60,150,442 and 59,722,930 shares of common stock outstanding,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Stock Purchase Warrants</w:t>
      </w:r>
    </w:p>
    <w:p>
      <w:pPr>
        <w:spacing w:after="0" w:line="108" w:lineRule="exact"/>
        <w:rPr>
          <w:sz w:val="20"/>
          <w:szCs w:val="20"/>
          <w:color w:val="auto"/>
        </w:rPr>
      </w:pPr>
    </w:p>
    <w:p>
      <w:pPr>
        <w:ind w:right="120" w:firstLine="509"/>
        <w:spacing w:after="0" w:line="247" w:lineRule="auto"/>
        <w:rPr>
          <w:sz w:val="20"/>
          <w:szCs w:val="20"/>
          <w:color w:val="auto"/>
        </w:rPr>
      </w:pPr>
      <w:r>
        <w:rPr>
          <w:rFonts w:ascii="Times New Roman" w:cs="Times New Roman" w:eastAsia="Times New Roman" w:hAnsi="Times New Roman"/>
          <w:sz w:val="18"/>
          <w:szCs w:val="18"/>
          <w:color w:val="auto"/>
        </w:rPr>
        <w:t>In September 2016, in connection with a loan agreement, the Company issued warrants to purchase up to 29,796 shares of common stock at a price per share of $10.74. The warrants expire in September 2026, or earlier upon the occurrence of specified mergers or acquisitions of the Company, and are immediately exercisable</w:t>
      </w:r>
      <w:r>
        <w:rPr>
          <w:rFonts w:ascii="Times New Roman" w:cs="Times New Roman" w:eastAsia="Times New Roman" w:hAnsi="Times New Roman"/>
          <w:sz w:val="18"/>
          <w:szCs w:val="18"/>
          <w:color w:val="1F497D"/>
        </w:rPr>
        <w:t>.</w:t>
      </w:r>
      <w:r>
        <w:rPr>
          <w:rFonts w:ascii="Times New Roman" w:cs="Times New Roman" w:eastAsia="Times New Roman" w:hAnsi="Times New Roman"/>
          <w:sz w:val="18"/>
          <w:szCs w:val="18"/>
          <w:color w:val="auto"/>
        </w:rPr>
        <w:t xml:space="preserve"> The warrants were recorded in equity and had a weighted average remaining life of 4.25 years as of June 30, 2022.</w:t>
      </w: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8. Share-Based Compensation</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Share-based compensation is accounted for in accordance with the provisions of ASC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06"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Company has granted stock option awards to employees, directors and consultants from its 2011 Stock Incentive Plan (the “2011 Plan”) and its 2016 Equity Incentive Plan (the “2016 Plan”). The estimated fair value of options granted is determined as of the date of grant using the Black-Scholes option pricing model. The resulting fair value is recognized ratably over the requisite service period, which is generally the vesting period of the awards.</w:t>
      </w:r>
    </w:p>
    <w:p>
      <w:pPr>
        <w:spacing w:after="0" w:line="6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Share-based compensation expense for options granted under the 2011 Plan and the 2016 Plan is reflected in the statements of operations as follows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80" w:type="dxa"/>
            <w:vAlign w:val="bottom"/>
          </w:tcPr>
          <w:p>
            <w:pPr>
              <w:spacing w:after="0"/>
              <w:rPr>
                <w:sz w:val="16"/>
                <w:szCs w:val="16"/>
                <w:color w:val="auto"/>
              </w:rPr>
            </w:pPr>
          </w:p>
        </w:tc>
        <w:tc>
          <w:tcPr>
            <w:tcW w:w="2200" w:type="dxa"/>
            <w:vAlign w:val="bottom"/>
            <w:gridSpan w:val="4"/>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40" w:type="dxa"/>
            <w:vAlign w:val="bottom"/>
            <w:gridSpan w:val="4"/>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00" w:type="dxa"/>
            <w:vAlign w:val="bottom"/>
          </w:tcPr>
          <w:p>
            <w:pPr>
              <w:spacing w:after="0"/>
              <w:rPr>
                <w:sz w:val="16"/>
                <w:szCs w:val="16"/>
                <w:color w:val="auto"/>
              </w:rPr>
            </w:pPr>
          </w:p>
        </w:tc>
      </w:tr>
      <w:tr>
        <w:trPr>
          <w:trHeight w:val="205"/>
        </w:trPr>
        <w:tc>
          <w:tcPr>
            <w:tcW w:w="568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ind w:right="55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360" w:type="dxa"/>
            <w:vAlign w:val="bottom"/>
            <w:tcBorders>
              <w:bottom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56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36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7"/>
                <w:szCs w:val="17"/>
                <w:color w:val="auto"/>
              </w:rPr>
            </w:pPr>
          </w:p>
        </w:tc>
      </w:tr>
      <w:tr>
        <w:trPr>
          <w:trHeight w:val="210"/>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80" w:type="dxa"/>
            <w:vAlign w:val="bottom"/>
            <w:tcBorders>
              <w:top w:val="single" w:sz="8" w:color="auto"/>
            </w:tcBorders>
            <w:shd w:val="clear" w:color="auto" w:fill="CFF0FC"/>
          </w:tcPr>
          <w:p>
            <w:pPr>
              <w:jc w:val="right"/>
              <w:ind w:right="595"/>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240" w:type="dxa"/>
            <w:vAlign w:val="bottom"/>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40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22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00" w:type="dxa"/>
            <w:vAlign w:val="bottom"/>
            <w:shd w:val="clear" w:color="auto" w:fill="CFF0FC"/>
          </w:tcPr>
          <w:p>
            <w:pPr>
              <w:spacing w:after="0"/>
              <w:rPr>
                <w:sz w:val="18"/>
                <w:szCs w:val="18"/>
                <w:color w:val="auto"/>
              </w:rPr>
            </w:pP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24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4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00" w:type="dxa"/>
            <w:vAlign w:val="bottom"/>
          </w:tcPr>
          <w:p>
            <w:pPr>
              <w:spacing w:after="0"/>
              <w:rPr>
                <w:sz w:val="18"/>
                <w:szCs w:val="18"/>
                <w:color w:val="auto"/>
              </w:rPr>
            </w:pPr>
          </w:p>
        </w:tc>
      </w:tr>
      <w:tr>
        <w:trPr>
          <w:trHeight w:val="249"/>
        </w:trPr>
        <w:tc>
          <w:tcPr>
            <w:tcW w:w="56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tcBorders>
              <w:bottom w:val="single" w:sz="8" w:color="auto"/>
            </w:tcBorders>
            <w:shd w:val="clear" w:color="auto" w:fill="CFF0FC"/>
          </w:tcPr>
          <w:p>
            <w:pPr>
              <w:jc w:val="right"/>
              <w:ind w:right="595"/>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24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4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1,868</w:t>
            </w:r>
          </w:p>
        </w:tc>
        <w:tc>
          <w:tcPr>
            <w:tcW w:w="2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-25400</wp:posOffset>
            </wp:positionV>
            <wp:extent cx="7747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-7620</wp:posOffset>
            </wp:positionV>
            <wp:extent cx="774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-25400</wp:posOffset>
            </wp:positionV>
            <wp:extent cx="7683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-7620</wp:posOffset>
            </wp:positionV>
            <wp:extent cx="768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-25400</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stock options during the six months ended June 30, 2022:</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00" w:type="dxa"/>
            <w:vAlign w:val="bottom"/>
          </w:tcPr>
          <w:p>
            <w:pPr>
              <w:spacing w:after="0"/>
              <w:rPr>
                <w:sz w:val="18"/>
                <w:szCs w:val="18"/>
                <w:color w:val="auto"/>
              </w:rPr>
            </w:pPr>
          </w:p>
        </w:tc>
      </w:tr>
      <w:tr>
        <w:trPr>
          <w:trHeight w:val="216"/>
        </w:trPr>
        <w:tc>
          <w:tcPr>
            <w:tcW w:w="7640" w:type="dxa"/>
            <w:vAlign w:val="bottom"/>
          </w:tcPr>
          <w:p>
            <w:pPr>
              <w:spacing w:after="0"/>
              <w:rPr>
                <w:sz w:val="18"/>
                <w:szCs w:val="18"/>
                <w:color w:val="auto"/>
              </w:rPr>
            </w:pPr>
          </w:p>
        </w:tc>
        <w:tc>
          <w:tcPr>
            <w:tcW w:w="18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00" w:type="dxa"/>
            <w:vAlign w:val="bottom"/>
          </w:tcPr>
          <w:p>
            <w:pPr>
              <w:spacing w:after="0"/>
              <w:rPr>
                <w:sz w:val="18"/>
                <w:szCs w:val="18"/>
                <w:color w:val="auto"/>
              </w:rPr>
            </w:pPr>
          </w:p>
        </w:tc>
        <w:tc>
          <w:tcPr>
            <w:tcW w:w="14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00" w:type="dxa"/>
            <w:vAlign w:val="bottom"/>
          </w:tcPr>
          <w:p>
            <w:pPr>
              <w:spacing w:after="0"/>
              <w:rPr>
                <w:sz w:val="18"/>
                <w:szCs w:val="18"/>
                <w:color w:val="auto"/>
              </w:rPr>
            </w:pPr>
          </w:p>
        </w:tc>
      </w:tr>
      <w:tr>
        <w:trPr>
          <w:trHeight w:val="238"/>
        </w:trPr>
        <w:tc>
          <w:tcPr>
            <w:tcW w:w="7640" w:type="dxa"/>
            <w:vAlign w:val="bottom"/>
          </w:tcPr>
          <w:p>
            <w:pPr>
              <w:spacing w:after="0"/>
              <w:rPr>
                <w:sz w:val="20"/>
                <w:szCs w:val="20"/>
                <w:color w:val="auto"/>
              </w:rPr>
            </w:pPr>
          </w:p>
        </w:tc>
        <w:tc>
          <w:tcPr>
            <w:tcW w:w="184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 w:type="dxa"/>
            <w:vAlign w:val="bottom"/>
          </w:tcPr>
          <w:p>
            <w:pPr>
              <w:spacing w:after="0"/>
              <w:rPr>
                <w:sz w:val="20"/>
                <w:szCs w:val="20"/>
                <w:color w:val="auto"/>
              </w:rPr>
            </w:pPr>
          </w:p>
        </w:tc>
        <w:tc>
          <w:tcPr>
            <w:tcW w:w="14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00" w:type="dxa"/>
            <w:vAlign w:val="bottom"/>
          </w:tcPr>
          <w:p>
            <w:pPr>
              <w:spacing w:after="0"/>
              <w:rPr>
                <w:sz w:val="20"/>
                <w:szCs w:val="20"/>
                <w:color w:val="auto"/>
              </w:rPr>
            </w:pPr>
          </w:p>
        </w:tc>
      </w:tr>
      <w:tr>
        <w:trPr>
          <w:trHeight w:val="209"/>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outstanding at December 31, 2021</w:t>
            </w: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5,762,328</w:t>
            </w:r>
          </w:p>
        </w:tc>
        <w:tc>
          <w:tcPr>
            <w:tcW w:w="28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1,734,440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8"/>
                <w:szCs w:val="18"/>
                <w:color w:val="auto"/>
              </w:rPr>
            </w:pPr>
          </w:p>
        </w:tc>
      </w:tr>
      <w:tr>
        <w:trPr>
          <w:trHeight w:val="216"/>
        </w:trPr>
        <w:tc>
          <w:tcPr>
            <w:tcW w:w="7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1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(25,551 )</w:t>
            </w: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49"/>
        </w:trPr>
        <w:tc>
          <w:tcPr>
            <w:tcW w:w="7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outstanding at June 30, 2022</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7,471,217</w:t>
            </w:r>
          </w:p>
        </w:tc>
        <w:tc>
          <w:tcPr>
            <w:tcW w:w="2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76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6"/>
        </w:trPr>
        <w:tc>
          <w:tcPr>
            <w:tcW w:w="7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exercisable at December 31, 2021</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3,148,502</w:t>
            </w:r>
          </w:p>
        </w:tc>
        <w:tc>
          <w:tcPr>
            <w:tcW w:w="28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CFF0FC"/>
            </w:tcBorders>
            <w:shd w:val="clear" w:color="auto" w:fill="CFF0FC"/>
          </w:tcPr>
          <w:p>
            <w:pPr>
              <w:spacing w:after="0"/>
              <w:rPr>
                <w:sz w:val="22"/>
                <w:szCs w:val="22"/>
                <w:color w:val="auto"/>
              </w:rPr>
            </w:pPr>
          </w:p>
        </w:tc>
        <w:tc>
          <w:tcPr>
            <w:tcW w:w="14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196"/>
        </w:trPr>
        <w:tc>
          <w:tcPr>
            <w:tcW w:w="76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6"/>
        </w:trPr>
        <w:tc>
          <w:tcPr>
            <w:tcW w:w="7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exercisable at June 30, 2022</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4,137,287</w:t>
            </w:r>
          </w:p>
        </w:tc>
        <w:tc>
          <w:tcPr>
            <w:tcW w:w="28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CFF0FC"/>
            </w:tcBorders>
            <w:shd w:val="clear" w:color="auto" w:fill="CFF0FC"/>
          </w:tcPr>
          <w:p>
            <w:pPr>
              <w:spacing w:after="0"/>
              <w:rPr>
                <w:sz w:val="22"/>
                <w:szCs w:val="22"/>
                <w:color w:val="auto"/>
              </w:rPr>
            </w:pPr>
          </w:p>
        </w:tc>
        <w:tc>
          <w:tcPr>
            <w:tcW w:w="14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-624840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-607695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-325120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-307975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-24765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-7620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both"/>
        <w:ind w:right="140" w:firstLine="509"/>
        <w:spacing w:after="0" w:line="282" w:lineRule="auto"/>
        <w:rPr>
          <w:sz w:val="20"/>
          <w:szCs w:val="20"/>
          <w:color w:val="auto"/>
        </w:rPr>
      </w:pPr>
      <w:r>
        <w:rPr>
          <w:rFonts w:ascii="Times New Roman" w:cs="Times New Roman" w:eastAsia="Times New Roman" w:hAnsi="Times New Roman"/>
          <w:sz w:val="18"/>
          <w:szCs w:val="18"/>
          <w:color w:val="auto"/>
        </w:rPr>
        <w:t>As of June 30, 2022, the Company had $6.5 million of unrecognized compensation expense related to unvested stock options, which is expected to be recognized over a weighted average period of 2.7 years.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06" w:lineRule="exact"/>
        <w:rPr>
          <w:sz w:val="20"/>
          <w:szCs w:val="20"/>
          <w:color w:val="auto"/>
        </w:rPr>
      </w:pPr>
    </w:p>
    <w:p>
      <w:pPr>
        <w:jc w:val="both"/>
        <w:ind w:right="140" w:firstLine="509"/>
        <w:spacing w:after="0" w:line="250" w:lineRule="auto"/>
        <w:rPr>
          <w:sz w:val="20"/>
          <w:szCs w:val="20"/>
          <w:color w:val="auto"/>
        </w:rPr>
      </w:pPr>
      <w:r>
        <w:rPr>
          <w:rFonts w:ascii="Times New Roman" w:cs="Times New Roman" w:eastAsia="Times New Roman" w:hAnsi="Times New Roman"/>
          <w:sz w:val="18"/>
          <w:szCs w:val="18"/>
          <w:color w:val="auto"/>
        </w:rPr>
        <w:t>The Company has granted restricted stock units (“RSUs”) to employees from the 2016 Plan. The shares underlying the RSU awards have vesting terms of four years from the date of grant subject to the employees’ continuous service and subject to accelerated vesting in specified circumstances. The fair value of the RSUs granted is measured based on the market value of the Company’s common stock on the date of grant and is recognized ratably over the requisite service period, which is generally the vesting period of the awards.</w:t>
      </w:r>
    </w:p>
    <w:p>
      <w:pPr>
        <w:spacing w:after="0" w:line="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total share-based compensation expense related to RSUs is reflected in the statements of operations as follows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200" w:type="dxa"/>
            <w:vAlign w:val="bottom"/>
            <w:gridSpan w:val="4"/>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40" w:type="dxa"/>
            <w:vAlign w:val="bottom"/>
            <w:gridSpan w:val="4"/>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00" w:type="dxa"/>
            <w:vAlign w:val="bottom"/>
          </w:tcPr>
          <w:p>
            <w:pPr>
              <w:spacing w:after="0"/>
              <w:rPr>
                <w:sz w:val="16"/>
                <w:szCs w:val="16"/>
                <w:color w:val="auto"/>
              </w:rPr>
            </w:pPr>
          </w:p>
        </w:tc>
      </w:tr>
      <w:tr>
        <w:trPr>
          <w:trHeight w:val="205"/>
        </w:trPr>
        <w:tc>
          <w:tcPr>
            <w:tcW w:w="37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ind w:right="55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360" w:type="dxa"/>
            <w:vAlign w:val="bottom"/>
            <w:tcBorders>
              <w:bottom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37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36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7"/>
                <w:szCs w:val="17"/>
                <w:color w:val="auto"/>
              </w:rPr>
            </w:pPr>
          </w:p>
        </w:tc>
      </w:tr>
      <w:tr>
        <w:trPr>
          <w:trHeight w:val="209"/>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920" w:type="dxa"/>
            <w:vAlign w:val="bottom"/>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jc w:val="right"/>
              <w:ind w:right="595"/>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40" w:type="dxa"/>
            <w:vAlign w:val="bottom"/>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40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22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shd w:val="clear" w:color="auto" w:fill="CFF0FC"/>
          </w:tcPr>
          <w:p>
            <w:pPr>
              <w:spacing w:after="0"/>
              <w:rPr>
                <w:sz w:val="18"/>
                <w:szCs w:val="18"/>
                <w:color w:val="auto"/>
              </w:rPr>
            </w:pPr>
          </w:p>
        </w:tc>
      </w:tr>
      <w:tr>
        <w:trPr>
          <w:trHeight w:val="216"/>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92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4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4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tcPr>
          <w:p>
            <w:pPr>
              <w:spacing w:after="0"/>
              <w:rPr>
                <w:sz w:val="18"/>
                <w:szCs w:val="18"/>
                <w:color w:val="auto"/>
              </w:rPr>
            </w:pPr>
          </w:p>
        </w:tc>
      </w:tr>
      <w:tr>
        <w:trPr>
          <w:trHeight w:val="249"/>
        </w:trPr>
        <w:tc>
          <w:tcPr>
            <w:tcW w:w="37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92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ind w:right="595"/>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24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4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2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413"/>
        </w:trPr>
        <w:tc>
          <w:tcPr>
            <w:tcW w:w="3760" w:type="dxa"/>
            <w:vAlign w:val="bottom"/>
          </w:tcPr>
          <w:p>
            <w:pPr>
              <w:spacing w:after="0"/>
              <w:rPr>
                <w:sz w:val="24"/>
                <w:szCs w:val="24"/>
                <w:color w:val="auto"/>
              </w:rPr>
            </w:pPr>
          </w:p>
        </w:tc>
        <w:tc>
          <w:tcPr>
            <w:tcW w:w="2700" w:type="dxa"/>
            <w:vAlign w:val="bottom"/>
            <w:gridSpan w:val="2"/>
          </w:tcPr>
          <w:p>
            <w:pPr>
              <w:jc w:val="right"/>
              <w:ind w:right="655"/>
              <w:spacing w:after="0"/>
              <w:rPr>
                <w:sz w:val="20"/>
                <w:szCs w:val="20"/>
                <w:color w:val="auto"/>
              </w:rPr>
            </w:pPr>
            <w:r>
              <w:rPr>
                <w:rFonts w:ascii="Times New Roman" w:cs="Times New Roman" w:eastAsia="Times New Roman" w:hAnsi="Times New Roman"/>
                <w:sz w:val="18"/>
                <w:szCs w:val="18"/>
                <w:color w:val="auto"/>
              </w:rPr>
              <w:t>11</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4"/>
        </w:trPr>
        <w:tc>
          <w:tcPr>
            <w:tcW w:w="3760" w:type="dxa"/>
            <w:vAlign w:val="bottom"/>
            <w:tcBorders>
              <w:bottom w:val="single" w:sz="8" w:color="9A9A9A"/>
            </w:tcBorders>
          </w:tcPr>
          <w:p>
            <w:pPr>
              <w:spacing w:after="0"/>
              <w:rPr>
                <w:sz w:val="6"/>
                <w:szCs w:val="6"/>
                <w:color w:val="auto"/>
              </w:rPr>
            </w:pPr>
          </w:p>
        </w:tc>
        <w:tc>
          <w:tcPr>
            <w:tcW w:w="192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-359410</wp:posOffset>
            </wp:positionV>
            <wp:extent cx="7747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-342265</wp:posOffset>
            </wp:positionV>
            <wp:extent cx="7747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-359410</wp:posOffset>
            </wp:positionV>
            <wp:extent cx="7683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-342265</wp:posOffset>
            </wp:positionV>
            <wp:extent cx="7683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-359410</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-342265</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-359410</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-342265</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1" w:name="page12"/>
    <w:bookmarkEnd w:id="11"/>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RSUs during the six months ended June 30, 2022:</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00" w:type="dxa"/>
            <w:vAlign w:val="bottom"/>
          </w:tcPr>
          <w:p>
            <w:pPr>
              <w:spacing w:after="0"/>
              <w:rPr>
                <w:sz w:val="18"/>
                <w:szCs w:val="18"/>
                <w:color w:val="auto"/>
              </w:rPr>
            </w:pPr>
          </w:p>
        </w:tc>
      </w:tr>
      <w:tr>
        <w:trPr>
          <w:trHeight w:val="216"/>
        </w:trPr>
        <w:tc>
          <w:tcPr>
            <w:tcW w:w="7620" w:type="dxa"/>
            <w:vAlign w:val="bottom"/>
          </w:tcPr>
          <w:p>
            <w:pPr>
              <w:spacing w:after="0"/>
              <w:rPr>
                <w:sz w:val="18"/>
                <w:szCs w:val="18"/>
                <w:color w:val="auto"/>
              </w:rPr>
            </w:pPr>
          </w:p>
        </w:tc>
        <w:tc>
          <w:tcPr>
            <w:tcW w:w="18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15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00" w:type="dxa"/>
            <w:vAlign w:val="bottom"/>
          </w:tcPr>
          <w:p>
            <w:pPr>
              <w:spacing w:after="0"/>
              <w:rPr>
                <w:sz w:val="18"/>
                <w:szCs w:val="18"/>
                <w:color w:val="auto"/>
              </w:rPr>
            </w:pPr>
          </w:p>
        </w:tc>
      </w:tr>
      <w:tr>
        <w:trPr>
          <w:trHeight w:val="238"/>
        </w:trPr>
        <w:tc>
          <w:tcPr>
            <w:tcW w:w="7620" w:type="dxa"/>
            <w:vAlign w:val="bottom"/>
          </w:tcPr>
          <w:p>
            <w:pPr>
              <w:spacing w:after="0"/>
              <w:rPr>
                <w:sz w:val="20"/>
                <w:szCs w:val="20"/>
                <w:color w:val="auto"/>
              </w:rPr>
            </w:pPr>
          </w:p>
        </w:tc>
        <w:tc>
          <w:tcPr>
            <w:tcW w:w="182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20"/>
                <w:szCs w:val="20"/>
                <w:color w:val="auto"/>
              </w:rPr>
            </w:pPr>
          </w:p>
        </w:tc>
        <w:tc>
          <w:tcPr>
            <w:tcW w:w="15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00" w:type="dxa"/>
            <w:vAlign w:val="bottom"/>
          </w:tcPr>
          <w:p>
            <w:pPr>
              <w:spacing w:after="0"/>
              <w:rPr>
                <w:sz w:val="20"/>
                <w:szCs w:val="20"/>
                <w:color w:val="auto"/>
              </w:rPr>
            </w:pPr>
          </w:p>
        </w:tc>
      </w:tr>
      <w:tr>
        <w:trPr>
          <w:trHeight w:val="209"/>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Non-vested RSUs outstanding at December 31, 2021</w:t>
            </w:r>
          </w:p>
        </w:tc>
        <w:tc>
          <w:tcPr>
            <w:tcW w:w="1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1,317,347</w:t>
            </w:r>
          </w:p>
        </w:tc>
        <w:tc>
          <w:tcPr>
            <w:tcW w:w="3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shd w:val="clear" w:color="auto" w:fill="CFF0FC"/>
          </w:tcPr>
          <w:p>
            <w:pPr>
              <w:spacing w:after="0"/>
              <w:rPr>
                <w:sz w:val="18"/>
                <w:szCs w:val="18"/>
                <w:color w:val="auto"/>
              </w:rPr>
            </w:pPr>
          </w:p>
        </w:tc>
      </w:tr>
      <w:tr>
        <w:trPr>
          <w:trHeight w:val="216"/>
        </w:trPr>
        <w:tc>
          <w:tcPr>
            <w:tcW w:w="7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648,460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18"/>
                <w:szCs w:val="18"/>
                <w:color w:val="auto"/>
              </w:rPr>
            </w:pPr>
          </w:p>
        </w:tc>
      </w:tr>
      <w:tr>
        <w:trPr>
          <w:trHeight w:val="216"/>
        </w:trPr>
        <w:tc>
          <w:tcPr>
            <w:tcW w:w="7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1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(375,331 )</w:t>
            </w:r>
          </w:p>
        </w:tc>
        <w:tc>
          <w:tcPr>
            <w:tcW w:w="12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shd w:val="clear" w:color="auto" w:fill="CFF0FC"/>
          </w:tcPr>
          <w:p>
            <w:pPr>
              <w:spacing w:after="0"/>
              <w:rPr>
                <w:sz w:val="18"/>
                <w:szCs w:val="18"/>
                <w:color w:val="auto"/>
              </w:rPr>
            </w:pPr>
          </w:p>
        </w:tc>
      </w:tr>
      <w:tr>
        <w:trPr>
          <w:trHeight w:val="209"/>
        </w:trPr>
        <w:tc>
          <w:tcPr>
            <w:tcW w:w="76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Non-vested RSUs outstanding at June 30, 2022</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1,590,476</w:t>
            </w:r>
          </w:p>
        </w:tc>
        <w:tc>
          <w:tcPr>
            <w:tcW w:w="30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58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Borders>
              <w:top w:val="single" w:sz="8" w:color="CFF0FC"/>
            </w:tcBorders>
          </w:tcPr>
          <w:p>
            <w:pPr>
              <w:spacing w:after="0"/>
              <w:rPr>
                <w:sz w:val="18"/>
                <w:szCs w:val="18"/>
                <w:color w:val="auto"/>
              </w:rPr>
            </w:pPr>
          </w:p>
        </w:tc>
      </w:tr>
      <w:tr>
        <w:trPr>
          <w:trHeight w:val="20"/>
        </w:trPr>
        <w:tc>
          <w:tcPr>
            <w:tcW w:w="76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-170815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ind w:right="820" w:firstLine="614"/>
        <w:spacing w:after="0" w:line="282" w:lineRule="auto"/>
        <w:rPr>
          <w:sz w:val="20"/>
          <w:szCs w:val="20"/>
          <w:color w:val="auto"/>
        </w:rPr>
      </w:pPr>
      <w:r>
        <w:rPr>
          <w:rFonts w:ascii="Times New Roman" w:cs="Times New Roman" w:eastAsia="Times New Roman" w:hAnsi="Times New Roman"/>
          <w:sz w:val="18"/>
          <w:szCs w:val="18"/>
          <w:color w:val="auto"/>
        </w:rPr>
        <w:t>As of June 30, 2022, the Company had $4.1 million of unrecognized compensation expense related to the RSUs which is expected to be recognized over a weighted average period of 2.8 years.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106" w:lineRule="exact"/>
        <w:rPr>
          <w:sz w:val="20"/>
          <w:szCs w:val="20"/>
          <w:color w:val="auto"/>
        </w:rPr>
      </w:pPr>
    </w:p>
    <w:p>
      <w:pPr>
        <w:jc w:val="both"/>
        <w:ind w:right="120" w:firstLine="509"/>
        <w:spacing w:after="0" w:line="258" w:lineRule="auto"/>
        <w:rPr>
          <w:sz w:val="20"/>
          <w:szCs w:val="20"/>
          <w:color w:val="auto"/>
        </w:rPr>
      </w:pPr>
      <w:r>
        <w:rPr>
          <w:rFonts w:ascii="Times New Roman" w:cs="Times New Roman" w:eastAsia="Times New Roman" w:hAnsi="Times New Roman"/>
          <w:sz w:val="18"/>
          <w:szCs w:val="18"/>
          <w:color w:val="auto"/>
        </w:rPr>
        <w:t>The 2016 Employee Stock Purchase Plan (the “2016 ESPP”) became effective on June 1, 2016. The 2016 ESPP is considered a compensatory plan and the fair value of the discount and the look-back period are estimated using the Black-Scholes option pricing model and expense is recognized over the six-month withholding period prior to the purchase date.</w:t>
      </w:r>
    </w:p>
    <w:p>
      <w:pPr>
        <w:spacing w:after="0" w:line="6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share-based compensation expense recognized for the 2016 ESPP is reflected in the statements of operations and comprehensive loss as follows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20" w:type="dxa"/>
            <w:vAlign w:val="bottom"/>
          </w:tcPr>
          <w:p>
            <w:pPr>
              <w:spacing w:after="0"/>
              <w:rPr>
                <w:sz w:val="16"/>
                <w:szCs w:val="16"/>
                <w:color w:val="auto"/>
              </w:rPr>
            </w:pPr>
          </w:p>
        </w:tc>
        <w:tc>
          <w:tcPr>
            <w:tcW w:w="2320" w:type="dxa"/>
            <w:vAlign w:val="bottom"/>
            <w:gridSpan w:val="4"/>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60" w:type="dxa"/>
            <w:vAlign w:val="bottom"/>
            <w:gridSpan w:val="4"/>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00" w:type="dxa"/>
            <w:vAlign w:val="bottom"/>
          </w:tcPr>
          <w:p>
            <w:pPr>
              <w:spacing w:after="0"/>
              <w:rPr>
                <w:sz w:val="16"/>
                <w:szCs w:val="16"/>
                <w:color w:val="auto"/>
              </w:rPr>
            </w:pPr>
          </w:p>
        </w:tc>
      </w:tr>
      <w:tr>
        <w:trPr>
          <w:trHeight w:val="205"/>
        </w:trPr>
        <w:tc>
          <w:tcPr>
            <w:tcW w:w="562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ind w:right="63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320" w:type="dxa"/>
            <w:vAlign w:val="bottom"/>
            <w:tcBorders>
              <w:bottom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5620" w:type="dxa"/>
            <w:vAlign w:val="bottom"/>
          </w:tcPr>
          <w:p>
            <w:pPr>
              <w:spacing w:after="0"/>
              <w:rPr>
                <w:sz w:val="17"/>
                <w:szCs w:val="17"/>
                <w:color w:val="auto"/>
              </w:rPr>
            </w:pPr>
          </w:p>
        </w:tc>
        <w:tc>
          <w:tcPr>
            <w:tcW w:w="900" w:type="dxa"/>
            <w:vAlign w:val="bottom"/>
          </w:tcPr>
          <w:p>
            <w:pPr>
              <w:jc w:val="right"/>
              <w:ind w:right="55"/>
              <w:spacing w:after="0"/>
              <w:rPr>
                <w:sz w:val="20"/>
                <w:szCs w:val="20"/>
                <w:color w:val="auto"/>
              </w:rPr>
            </w:pPr>
            <w:r>
              <w:rPr>
                <w:rFonts w:ascii="Times New Roman" w:cs="Times New Roman" w:eastAsia="Times New Roman" w:hAnsi="Times New Roman"/>
                <w:sz w:val="16"/>
                <w:szCs w:val="16"/>
                <w:b w:val="1"/>
                <w:bCs w:val="1"/>
                <w:color w:val="auto"/>
              </w:rPr>
              <w:t>2022</w:t>
            </w:r>
          </w:p>
        </w:tc>
        <w:tc>
          <w:tcPr>
            <w:tcW w:w="280" w:type="dxa"/>
            <w:vAlign w:val="bottom"/>
          </w:tcPr>
          <w:p>
            <w:pPr>
              <w:spacing w:after="0"/>
              <w:rPr>
                <w:sz w:val="17"/>
                <w:szCs w:val="17"/>
                <w:color w:val="auto"/>
              </w:rPr>
            </w:pPr>
          </w:p>
        </w:tc>
        <w:tc>
          <w:tcPr>
            <w:tcW w:w="1140" w:type="dxa"/>
            <w:vAlign w:val="bottom"/>
            <w:gridSpan w:val="2"/>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2021</w:t>
            </w: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7"/>
                <w:szCs w:val="17"/>
                <w:color w:val="auto"/>
              </w:rPr>
            </w:pPr>
          </w:p>
        </w:tc>
      </w:tr>
      <w:tr>
        <w:trPr>
          <w:trHeight w:val="209"/>
        </w:trPr>
        <w:tc>
          <w:tcPr>
            <w:tcW w:w="5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00" w:type="dxa"/>
            <w:vAlign w:val="bottom"/>
            <w:tcBorders>
              <w:top w:val="single" w:sz="8" w:color="auto"/>
            </w:tcBorders>
            <w:shd w:val="clear" w:color="auto" w:fill="CFF0FC"/>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8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FF0FC"/>
          </w:tcPr>
          <w:p>
            <w:pPr>
              <w:spacing w:after="0"/>
              <w:rPr>
                <w:sz w:val="18"/>
                <w:szCs w:val="18"/>
                <w:color w:val="auto"/>
              </w:rPr>
            </w:pPr>
          </w:p>
        </w:tc>
      </w:tr>
      <w:tr>
        <w:trPr>
          <w:trHeight w:val="216"/>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8"/>
                <w:szCs w:val="18"/>
                <w:color w:val="auto"/>
              </w:rPr>
            </w:pPr>
          </w:p>
        </w:tc>
      </w:tr>
      <w:tr>
        <w:trPr>
          <w:trHeight w:val="249"/>
        </w:trPr>
        <w:tc>
          <w:tcPr>
            <w:tcW w:w="56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bottom w:val="single" w:sz="8" w:color="auto"/>
            </w:tcBorders>
            <w:shd w:val="clear" w:color="auto" w:fill="CFF0FC"/>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-25400</wp:posOffset>
            </wp:positionV>
            <wp:extent cx="7747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-8255</wp:posOffset>
            </wp:positionV>
            <wp:extent cx="7747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-25400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-8255</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-25400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-8255</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six months ended June 30, 2022, the Company issued 26,630 shares of common stock purchased under the 2016 ESPP.</w:t>
      </w:r>
    </w:p>
    <w:p>
      <w:pPr>
        <w:spacing w:after="0" w:line="329" w:lineRule="exact"/>
        <w:rPr>
          <w:sz w:val="20"/>
          <w:szCs w:val="20"/>
          <w:color w:val="auto"/>
        </w:rPr>
      </w:pPr>
    </w:p>
    <w:p>
      <w:pPr>
        <w:ind w:right="8500" w:firstLine="8"/>
        <w:spacing w:after="0" w:line="362" w:lineRule="auto"/>
        <w:tabs>
          <w:tab w:leader="none" w:pos="1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b w:val="1"/>
          <w:bCs w:val="1"/>
          <w:i w:val="1"/>
          <w:iCs w:val="1"/>
          <w:color w:val="auto"/>
        </w:rPr>
        <w:t>Lease Commitment Summary</w:t>
      </w:r>
    </w:p>
    <w:p>
      <w:pPr>
        <w:spacing w:after="0" w:line="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November 2016, the Company signed an office lease agreement to lease approximately 20,000 square feet of office space in Alpharetta, Georgia</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its corporate headquarters. The lease agreement is for a 6.5 year term with a renewal option for one additional five-year term. Rental payments are</w:t>
      </w:r>
    </w:p>
    <w:p>
      <w:pPr>
        <w:spacing w:after="0" w:line="234" w:lineRule="auto"/>
        <w:rPr>
          <w:sz w:val="20"/>
          <w:szCs w:val="20"/>
          <w:color w:val="auto"/>
        </w:rPr>
      </w:pPr>
      <w:r>
        <w:rPr>
          <w:rFonts w:ascii="Times New Roman" w:cs="Times New Roman" w:eastAsia="Times New Roman" w:hAnsi="Times New Roman"/>
          <w:sz w:val="18"/>
          <w:szCs w:val="18"/>
          <w:color w:val="auto"/>
        </w:rPr>
        <w:t>$35,145 per month subject to an increase of 3% per year. Rent expense under this lease is recognized on a straight-line basis over the term of the lease.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 the lease agreement requires payment of the pro-rata share of the annual operating expenses associated with the premises.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The Company’s operating leases included on the balance sheet are as follows (in thousands):</w:t>
            </w:r>
          </w:p>
        </w:tc>
        <w:tc>
          <w:tcPr>
            <w:tcW w:w="3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61"/>
        </w:trPr>
        <w:tc>
          <w:tcPr>
            <w:tcW w:w="94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tcPr>
          <w:p>
            <w:pPr>
              <w:spacing w:after="0"/>
              <w:rPr>
                <w:sz w:val="22"/>
                <w:szCs w:val="22"/>
                <w:color w:val="auto"/>
              </w:rPr>
            </w:pPr>
          </w:p>
        </w:tc>
      </w:tr>
      <w:tr>
        <w:trPr>
          <w:trHeight w:val="238"/>
        </w:trPr>
        <w:tc>
          <w:tcPr>
            <w:tcW w:w="94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50"/>
        </w:trPr>
        <w:tc>
          <w:tcPr>
            <w:tcW w:w="9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9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9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9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tcPr>
          <w:p>
            <w:pPr>
              <w:spacing w:after="0"/>
              <w:rPr>
                <w:sz w:val="18"/>
                <w:szCs w:val="18"/>
                <w:color w:val="auto"/>
              </w:rPr>
            </w:pPr>
          </w:p>
        </w:tc>
      </w:tr>
      <w:tr>
        <w:trPr>
          <w:trHeight w:val="216"/>
        </w:trPr>
        <w:tc>
          <w:tcPr>
            <w:tcW w:w="94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0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9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8"/>
                <w:szCs w:val="18"/>
                <w:color w:val="auto"/>
              </w:rPr>
            </w:pPr>
          </w:p>
        </w:tc>
      </w:tr>
      <w:tr>
        <w:trPr>
          <w:trHeight w:val="20"/>
        </w:trPr>
        <w:tc>
          <w:tcPr>
            <w:tcW w:w="9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-745490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-728345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180" w:firstLine="562"/>
        <w:spacing w:after="0" w:line="242" w:lineRule="auto"/>
        <w:rPr>
          <w:sz w:val="20"/>
          <w:szCs w:val="20"/>
          <w:color w:val="auto"/>
        </w:rPr>
      </w:pPr>
      <w:r>
        <w:rPr>
          <w:rFonts w:ascii="Times New Roman" w:cs="Times New Roman" w:eastAsia="Times New Roman" w:hAnsi="Times New Roman"/>
          <w:sz w:val="18"/>
          <w:szCs w:val="18"/>
          <w:color w:val="auto"/>
        </w:rPr>
        <w:t>The Company recognizes a right-of-use asset for the right to use the underlying asset for the lease term, and a lease liability, which represents the present value of the Company’s obligation to make payments over the lease term. The renewal option is not included in the calculation of the right-of-use asset and the lease liabilities as the Company has not yet determined if the Alpharetta, Georgia lease will be renewed. The present value of the lease payments is calculated using an incremental borrowing rate as the Company’s leases do not provide an implicit interest rate. At June 30, 2022, the Company’s weighted average discount rate was 11.0% and the weighted average lease term was 1.25 years.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2" w:name="page13"/>
    <w:bookmarkEnd w:id="12"/>
    <w:p>
      <w:pPr>
        <w:ind w:left="520"/>
        <w:spacing w:after="0"/>
        <w:rPr>
          <w:sz w:val="20"/>
          <w:szCs w:val="20"/>
          <w:color w:val="auto"/>
        </w:rPr>
      </w:pPr>
      <w:r>
        <w:rPr>
          <w:rFonts w:ascii="Times New Roman" w:cs="Times New Roman" w:eastAsia="Times New Roman" w:hAnsi="Times New Roman"/>
          <w:sz w:val="18"/>
          <w:szCs w:val="18"/>
          <w:color w:val="auto"/>
        </w:rPr>
        <w:t>Minimum lease payments were as follows at June 30, 2022 (in thousands):</w:t>
      </w:r>
    </w:p>
    <w:p>
      <w:pPr>
        <w:spacing w:after="0" w:line="230" w:lineRule="exact"/>
        <w:rPr>
          <w:sz w:val="20"/>
          <w:szCs w:val="20"/>
          <w:color w:val="auto"/>
        </w:rPr>
      </w:pPr>
    </w:p>
    <w:tbl>
      <w:tblPr>
        <w:tblLayout w:type="fixed"/>
        <w:tblInd w:w="2260" w:type="dxa"/>
        <w:tblCellMar>
          <w:top w:w="0" w:type="dxa"/>
          <w:left w:w="0" w:type="dxa"/>
          <w:bottom w:w="0" w:type="dxa"/>
          <w:right w:w="0" w:type="dxa"/>
        </w:tblCellMar>
      </w:tblPr>
      <w:tr>
        <w:trPr>
          <w:trHeight w:val="216"/>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500" w:type="dxa"/>
            <w:vAlign w:val="bottom"/>
            <w:shd w:val="clear" w:color="auto" w:fill="CFF0FC"/>
          </w:tcPr>
          <w:p>
            <w:pPr>
              <w:spacing w:after="0"/>
              <w:rPr>
                <w:sz w:val="18"/>
                <w:szCs w:val="18"/>
                <w:color w:val="auto"/>
              </w:rPr>
            </w:pPr>
          </w:p>
        </w:tc>
        <w:tc>
          <w:tcPr>
            <w:tcW w:w="760" w:type="dxa"/>
            <w:vAlign w:val="bottom"/>
            <w:tcBorders>
              <w:right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5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0" w:type="dxa"/>
            <w:vAlign w:val="bottom"/>
          </w:tcPr>
          <w:p>
            <w:pPr>
              <w:spacing w:after="0"/>
              <w:rPr>
                <w:sz w:val="18"/>
                <w:szCs w:val="18"/>
                <w:color w:val="auto"/>
              </w:rPr>
            </w:pPr>
          </w:p>
        </w:tc>
      </w:tr>
      <w:tr>
        <w:trPr>
          <w:trHeight w:val="216"/>
        </w:trPr>
        <w:tc>
          <w:tcPr>
            <w:tcW w:w="5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5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20" w:type="dxa"/>
            <w:vAlign w:val="bottom"/>
          </w:tcPr>
          <w:p>
            <w:pPr>
              <w:spacing w:after="0"/>
              <w:rPr>
                <w:sz w:val="18"/>
                <w:szCs w:val="18"/>
                <w:color w:val="auto"/>
              </w:rPr>
            </w:pPr>
          </w:p>
        </w:tc>
      </w:tr>
      <w:tr>
        <w:trPr>
          <w:trHeight w:val="209"/>
        </w:trPr>
        <w:tc>
          <w:tcPr>
            <w:tcW w:w="5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5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20" w:type="dxa"/>
            <w:vAlign w:val="bottom"/>
          </w:tcPr>
          <w:p>
            <w:pPr>
              <w:spacing w:after="0"/>
              <w:rPr>
                <w:sz w:val="18"/>
                <w:szCs w:val="18"/>
                <w:color w:val="auto"/>
              </w:rPr>
            </w:pPr>
          </w:p>
        </w:tc>
      </w:tr>
      <w:tr>
        <w:trPr>
          <w:trHeight w:val="216"/>
        </w:trPr>
        <w:tc>
          <w:tcPr>
            <w:tcW w:w="5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Less imputed interest</w:t>
            </w:r>
          </w:p>
        </w:tc>
        <w:tc>
          <w:tcPr>
            <w:tcW w:w="500" w:type="dxa"/>
            <w:vAlign w:val="bottom"/>
            <w:shd w:val="clear" w:color="auto" w:fill="CFF0FC"/>
          </w:tcPr>
          <w:p>
            <w:pPr>
              <w:spacing w:after="0"/>
              <w:rPr>
                <w:sz w:val="18"/>
                <w:szCs w:val="18"/>
                <w:color w:val="auto"/>
              </w:rPr>
            </w:pPr>
          </w:p>
        </w:tc>
        <w:tc>
          <w:tcPr>
            <w:tcW w:w="7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20" w:type="dxa"/>
            <w:vAlign w:val="bottom"/>
          </w:tcPr>
          <w:p>
            <w:pPr>
              <w:spacing w:after="0"/>
              <w:rPr>
                <w:sz w:val="18"/>
                <w:szCs w:val="18"/>
                <w:color w:val="auto"/>
              </w:rPr>
            </w:pPr>
          </w:p>
        </w:tc>
      </w:tr>
      <w:tr>
        <w:trPr>
          <w:trHeight w:val="210"/>
        </w:trPr>
        <w:tc>
          <w:tcPr>
            <w:tcW w:w="5480" w:type="dxa"/>
            <w:vAlign w:val="bottom"/>
            <w:tcBorders>
              <w:top w:val="single" w:sz="8" w:color="CFF0FC"/>
            </w:tcBorders>
          </w:tcPr>
          <w:p>
            <w:pPr>
              <w:ind w:left="28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 w:type="dxa"/>
            <w:vAlign w:val="bottom"/>
          </w:tcPr>
          <w:p>
            <w:pPr>
              <w:spacing w:after="0"/>
              <w:rPr>
                <w:sz w:val="18"/>
                <w:szCs w:val="18"/>
                <w:color w:val="auto"/>
              </w:rPr>
            </w:pPr>
          </w:p>
        </w:tc>
      </w:tr>
      <w:tr>
        <w:trPr>
          <w:trHeight w:val="20"/>
        </w:trPr>
        <w:tc>
          <w:tcPr>
            <w:tcW w:w="54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-453390</wp:posOffset>
            </wp:positionV>
            <wp:extent cx="3429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-170815</wp:posOffset>
            </wp:positionV>
            <wp:extent cx="3429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70"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Equipment leases with an initial term of 12 months or less are not recorded with operating lease liabilities. The Company recognizes expense for these leases on a straight-line basis over the lease term. The equipment leases were deemed to be immaterial.</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Operating lease cost was $62,000 for each of the three months ended June 30, 2022 and 2021, and $123,000 for each of the six months ended June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 2022 and 2021. Variable lease cost was $24,000 for each of the three months ended June 30, 2022 and 2021, and $47,000 for each of the six months</w:t>
      </w:r>
    </w:p>
    <w:p>
      <w:pPr>
        <w:spacing w:after="0"/>
        <w:rPr>
          <w:sz w:val="20"/>
          <w:szCs w:val="20"/>
          <w:color w:val="auto"/>
        </w:rPr>
      </w:pPr>
      <w:r>
        <w:rPr>
          <w:rFonts w:ascii="Times New Roman" w:cs="Times New Roman" w:eastAsia="Times New Roman" w:hAnsi="Times New Roman"/>
          <w:sz w:val="18"/>
          <w:szCs w:val="18"/>
          <w:color w:val="auto"/>
        </w:rPr>
        <w:t>ended June 30, 2022 and 2021. Short-term lease cost was $21,000 and $2,000 for the three months ended June 30, 2022 and 2021, respectively, and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$43,000 and $4,000 for the six months ended June 30, 2022 and 2021, respectively. Cash payments included in operating activities on the statement of cash</w:t>
      </w:r>
    </w:p>
    <w:p>
      <w:pPr>
        <w:spacing w:after="0"/>
        <w:rPr>
          <w:sz w:val="20"/>
          <w:szCs w:val="20"/>
          <w:color w:val="auto"/>
        </w:rPr>
      </w:pPr>
      <w:r>
        <w:rPr>
          <w:rFonts w:ascii="Times New Roman" w:cs="Times New Roman" w:eastAsia="Times New Roman" w:hAnsi="Times New Roman"/>
          <w:sz w:val="18"/>
          <w:szCs w:val="18"/>
          <w:color w:val="auto"/>
        </w:rPr>
        <w:t>flows for operating lease liabilities were $202,000 and $194,000 for the six months ended June 30, 2022 and 2021, respectively.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Service Providers</w:t>
      </w:r>
    </w:p>
    <w:p>
      <w:pPr>
        <w:spacing w:after="0" w:line="108"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In the course of the Company’s normal business operations, it has agreements with contract service providers to assist in the performance of its research and development, clinical research and manufacturing. Substantially all of these contracts are on an as needed basis.</w:t>
      </w:r>
    </w:p>
    <w:p>
      <w:pPr>
        <w:spacing w:after="0" w:line="252" w:lineRule="exact"/>
        <w:rPr>
          <w:sz w:val="20"/>
          <w:szCs w:val="20"/>
          <w:color w:val="auto"/>
        </w:rPr>
      </w:pPr>
    </w:p>
    <w:p>
      <w:pPr>
        <w:ind w:right="8580" w:firstLine="8"/>
        <w:spacing w:after="0" w:line="370" w:lineRule="auto"/>
        <w:tabs>
          <w:tab w:leader="none" w:pos="27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License and Other Agreements </w:t>
      </w:r>
      <w:r>
        <w:rPr>
          <w:rFonts w:ascii="Times New Roman" w:cs="Times New Roman" w:eastAsia="Times New Roman" w:hAnsi="Times New Roman"/>
          <w:sz w:val="18"/>
          <w:szCs w:val="18"/>
          <w:i w:val="1"/>
          <w:iCs w:val="1"/>
          <w:color w:val="auto"/>
        </w:rPr>
        <w:t>Bausch + Lomb</w:t>
      </w:r>
    </w:p>
    <w:p>
      <w:pPr>
        <w:ind w:right="80" w:firstLine="509"/>
        <w:spacing w:after="0" w:line="246" w:lineRule="auto"/>
        <w:rPr>
          <w:sz w:val="20"/>
          <w:szCs w:val="20"/>
          <w:color w:val="auto"/>
        </w:rPr>
      </w:pPr>
      <w:r>
        <w:rPr>
          <w:rFonts w:ascii="Times New Roman" w:cs="Times New Roman" w:eastAsia="Times New Roman" w:hAnsi="Times New Roman"/>
          <w:sz w:val="18"/>
          <w:szCs w:val="18"/>
          <w:color w:val="auto"/>
        </w:rPr>
        <w:t>On October 22, 2019, the Company entered into a License Agreement (as amended, the "Bausch License Agreement”) with Bausch. Pursuant to the Bausch License Agreement, the Company has granted an exclusive license to Bausch to develop, manufacture, distribute, promote, market and commercialize XIPERE using the Company’s proprietary SCS Microinjector (the “Device”), as well as specified other steroids, corticosteroids and NSAIDs in combination with the Device (“Other Products,” and together with XIPERE, the “Products”), subject to specified exceptions, in the United States and Canada (the “Territory”) for the treatment of ophthalmology indications, including non-infectious uveitis.</w:t>
      </w:r>
    </w:p>
    <w:p>
      <w:pPr>
        <w:spacing w:after="0" w:line="73" w:lineRule="exact"/>
        <w:rPr>
          <w:sz w:val="20"/>
          <w:szCs w:val="20"/>
          <w:color w:val="auto"/>
        </w:rPr>
      </w:pPr>
    </w:p>
    <w:p>
      <w:pPr>
        <w:ind w:firstLine="554"/>
        <w:spacing w:after="0" w:line="243" w:lineRule="auto"/>
        <w:rPr>
          <w:sz w:val="20"/>
          <w:szCs w:val="20"/>
          <w:color w:val="auto"/>
        </w:rPr>
      </w:pPr>
      <w:r>
        <w:rPr>
          <w:rFonts w:ascii="Times New Roman" w:cs="Times New Roman" w:eastAsia="Times New Roman" w:hAnsi="Times New Roman"/>
          <w:sz w:val="18"/>
          <w:szCs w:val="18"/>
          <w:color w:val="auto"/>
        </w:rPr>
        <w:t>Pursuant to the Bausch License Agreement, Bausch paid the Company an upfront payment of $5.0 million in October 2019. In October 2021, the FDA approved XIPERE. The Company received $5.0 million from Bausch as a result of the approval. In December 2021, $10.0 million was recorded upon completion of pre-launch activities for XIPERE and payment was received in January 2022. In addition, Bausch has agreed to pay up to an aggregate of $55.0 million in additional milestone payments upon the achievement of (i) specified regulatory approvals for specified additional indications of XIPERE and (ii) specified levels of annual net sales (as defined in the Bausch License Agreement). Further, during the applicable royalty term, the Company will also be entitled to receive tiered royalties at increasing percentages, from the high-teens to twenty percent, based on XIPERE achieving certain annual net sales thresholds in the Territory, in each case subject to reductions in specified circumstances; provided that the Company will not receive any royalties on the first $45.0 million of cumulative net sales of all products in the Territory. Bausch launched XIPERE in the United States in the first quarter of 2022. The Company's rights to these royalties and milestone payments have been sold pursuant to the terms and conditions of the Purchase and Sale Agreement described in Note 13 to the financial statements.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Arctic Vision (Hong Kong) Limited</w:t>
      </w:r>
    </w:p>
    <w:p>
      <w:pPr>
        <w:spacing w:after="0" w:line="106" w:lineRule="exact"/>
        <w:rPr>
          <w:sz w:val="20"/>
          <w:szCs w:val="20"/>
          <w:color w:val="auto"/>
        </w:rPr>
      </w:pPr>
    </w:p>
    <w:p>
      <w:pPr>
        <w:ind w:right="20" w:firstLine="554"/>
        <w:spacing w:after="0" w:line="245" w:lineRule="auto"/>
        <w:rPr>
          <w:sz w:val="20"/>
          <w:szCs w:val="20"/>
          <w:color w:val="auto"/>
        </w:rPr>
      </w:pPr>
      <w:r>
        <w:rPr>
          <w:rFonts w:ascii="Times New Roman" w:cs="Times New Roman" w:eastAsia="Times New Roman" w:hAnsi="Times New Roman"/>
          <w:sz w:val="18"/>
          <w:szCs w:val="18"/>
          <w:color w:val="auto"/>
        </w:rPr>
        <w:t>On March 10, 2020, the Company entered into a License Agreement (the “Arctic Vision License Agreement”) with Arctic Vision (Hong Kong) Limited (“Arctic Vision”). Pursuant to the Arctic Vision License Agreement, the Company has granted an exclusive license to Arctic Vision to develop, distribute, promote, market and commercialize XIPERE, subject to specified exceptions, in China, Hong Kong, Macau, Taiwan and South Korea (the “Arctic Territory”). Under the terms of the Arctic Vision License Agreement, neither party may commercialize XIPERE in the other party’s territory. Arctic Vision has agreed to use commercially reasonably efforts to pursue development and commercialization of XIPERE for indications associated with uveitis in the Arctic Territory. In addition, upon receipt of the Company’s consent, Arctic Vision will have the right, but not the obligation, to develop and commercialize XIPERE for additional indications in the Arctic Territory.</w:t>
      </w:r>
    </w:p>
    <w:p>
      <w:pPr>
        <w:spacing w:after="0" w:line="73" w:lineRule="exact"/>
        <w:rPr>
          <w:sz w:val="20"/>
          <w:szCs w:val="20"/>
          <w:color w:val="auto"/>
        </w:rPr>
      </w:pPr>
    </w:p>
    <w:p>
      <w:pPr>
        <w:ind w:right="20" w:firstLine="554"/>
        <w:spacing w:after="0" w:line="244" w:lineRule="auto"/>
        <w:rPr>
          <w:sz w:val="20"/>
          <w:szCs w:val="20"/>
          <w:color w:val="auto"/>
        </w:rPr>
      </w:pPr>
      <w:r>
        <w:rPr>
          <w:rFonts w:ascii="Times New Roman" w:cs="Times New Roman" w:eastAsia="Times New Roman" w:hAnsi="Times New Roman"/>
          <w:sz w:val="18"/>
          <w:szCs w:val="18"/>
          <w:color w:val="auto"/>
        </w:rPr>
        <w:t>Pursuant to the Arctic Vision License Agreement, Arctic Vision paid the Company an upfront payment of $4.0 million in March 2020. In December 2021, the Company received a milestone payment of $4.0 million following the receipt of FDA approval of XIPERE in the United States. In addition, Arctic Vision has agreed to pay the Company up to $22.5 million in development and sales milestones. Further, during the applicable royalty term, the Company will also be entitled to receive tiered royalties of ten to twelve</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3" w:name="page14"/>
    <w:bookmarkEnd w:id="13"/>
    <w:p>
      <w:pPr>
        <w:ind w:right="140" w:firstLine="45"/>
        <w:spacing w:after="0" w:line="250" w:lineRule="auto"/>
        <w:rPr>
          <w:sz w:val="20"/>
          <w:szCs w:val="20"/>
          <w:color w:val="auto"/>
        </w:rPr>
      </w:pPr>
      <w:r>
        <w:rPr>
          <w:rFonts w:ascii="Times New Roman" w:cs="Times New Roman" w:eastAsia="Times New Roman" w:hAnsi="Times New Roman"/>
          <w:sz w:val="18"/>
          <w:szCs w:val="18"/>
          <w:color w:val="auto"/>
        </w:rPr>
        <w:t>percent of net sales based on achieving certain annual net sales thresholds in the Territory, subject to customary reductions, payable on a product-by-product and country-by-country basis, commencing at launch in such country and lasting until the latest of (i) the date that all valid claims within the licensed patent rights covering XIPERE have expired, (ii) the date of the loss of marketing or regulatory exclusivity of XIPERE in a given country, or (iii) ten years from the first commercial sale of XIPERE in a given country. The Company's rights to these royalties and milestone payments have been sold pursuant to the terms and conditions of the Purchase and Sale Agreement described in Note 13 to the financial statements.</w:t>
      </w:r>
    </w:p>
    <w:p>
      <w:pPr>
        <w:spacing w:after="0" w:line="69" w:lineRule="exact"/>
        <w:rPr>
          <w:sz w:val="20"/>
          <w:szCs w:val="20"/>
          <w:color w:val="auto"/>
        </w:rPr>
      </w:pPr>
    </w:p>
    <w:p>
      <w:pPr>
        <w:ind w:firstLine="554"/>
        <w:spacing w:after="0" w:line="250" w:lineRule="auto"/>
        <w:rPr>
          <w:sz w:val="20"/>
          <w:szCs w:val="20"/>
          <w:color w:val="auto"/>
        </w:rPr>
      </w:pPr>
      <w:r>
        <w:rPr>
          <w:rFonts w:ascii="Times New Roman" w:cs="Times New Roman" w:eastAsia="Times New Roman" w:hAnsi="Times New Roman"/>
          <w:sz w:val="18"/>
          <w:szCs w:val="18"/>
          <w:color w:val="auto"/>
        </w:rPr>
        <w:t>In August 2021, the Company entered into an amendment to the Arctic Vision License Agreement to expand the territories covered by the license to include India and the ASEAN Countries (Brunei, Cambodia, Indonesia, Laos, Malaysia, Myanmar, the Philippines, Singapore, Thailand, and Vietnam). In September 2021, the Company entered into a second amendment to the Arctic Vision License Agreement to expand the Arctic Territory to include Australia and New Zealand. The Company received an aggregate of $3.0 million in consideration for the expansion of the Arctic Territory.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19" w:lineRule="exact"/>
        <w:rPr>
          <w:sz w:val="20"/>
          <w:szCs w:val="20"/>
          <w:color w:val="auto"/>
        </w:rPr>
      </w:pPr>
    </w:p>
    <w:p>
      <w:pPr>
        <w:jc w:val="both"/>
        <w:ind w:right="20" w:firstLine="554"/>
        <w:spacing w:after="0" w:line="250" w:lineRule="auto"/>
        <w:rPr>
          <w:sz w:val="20"/>
          <w:szCs w:val="20"/>
          <w:color w:val="auto"/>
        </w:rPr>
      </w:pPr>
      <w:r>
        <w:rPr>
          <w:rFonts w:ascii="Times New Roman" w:cs="Times New Roman" w:eastAsia="Times New Roman" w:hAnsi="Times New Roman"/>
          <w:sz w:val="18"/>
          <w:szCs w:val="18"/>
          <w:color w:val="auto"/>
        </w:rPr>
        <w:t>The Company periodically enters into short-term agreements with other customers to evaluate the potential use of its proprietary SCS Microinjector with third-party product candidates for the treatment of various diseases. Funds received from these agreements are recognized as revenue over the term of the agreement.</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Fair Value Measurements</w:t>
      </w:r>
    </w:p>
    <w:p>
      <w:pPr>
        <w:spacing w:after="0" w:line="108" w:lineRule="exact"/>
        <w:rPr>
          <w:sz w:val="20"/>
          <w:szCs w:val="20"/>
          <w:color w:val="auto"/>
        </w:rPr>
      </w:pPr>
    </w:p>
    <w:p>
      <w:pPr>
        <w:jc w:val="both"/>
        <w:ind w:right="160" w:firstLine="509"/>
        <w:spacing w:after="0" w:line="258" w:lineRule="auto"/>
        <w:rPr>
          <w:sz w:val="20"/>
          <w:szCs w:val="20"/>
          <w:color w:val="auto"/>
        </w:rPr>
      </w:pPr>
      <w:r>
        <w:rPr>
          <w:rFonts w:ascii="Times New Roman" w:cs="Times New Roman" w:eastAsia="Times New Roman" w:hAnsi="Times New Roman"/>
          <w:sz w:val="18"/>
          <w:szCs w:val="18"/>
          <w:color w:val="auto"/>
        </w:rPr>
        <w:t>The Company’s material financial instruments at June 30, 2022 and December 31, 2021 consisted primarily of cash and cash equivalents. The fair values of cash and cash equivalents, other current assets and accounts payable approximate their respective carrying values due to the short term nature of these instruments and are classified as Level 1 in the fair value hierarchy.</w:t>
      </w:r>
    </w:p>
    <w:p>
      <w:pPr>
        <w:spacing w:after="0" w:line="6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transfers between Levels 1, 2 and 3 during the six months ended June 30, 2022 and the year ended December 31, 2021.</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Net Loss Per Share</w:t>
      </w:r>
    </w:p>
    <w:p>
      <w:pPr>
        <w:spacing w:after="0" w:line="108" w:lineRule="exact"/>
        <w:rPr>
          <w:sz w:val="20"/>
          <w:szCs w:val="20"/>
          <w:color w:val="auto"/>
        </w:rPr>
      </w:pPr>
    </w:p>
    <w:p>
      <w:pPr>
        <w:ind w:right="40" w:firstLine="509"/>
        <w:spacing w:after="0" w:line="245" w:lineRule="auto"/>
        <w:rPr>
          <w:sz w:val="20"/>
          <w:szCs w:val="20"/>
          <w:color w:val="auto"/>
        </w:rPr>
      </w:pPr>
      <w:r>
        <w:rPr>
          <w:rFonts w:ascii="Times New Roman" w:cs="Times New Roman" w:eastAsia="Times New Roman" w:hAnsi="Times New Roman"/>
          <w:sz w:val="18"/>
          <w:szCs w:val="18"/>
          <w:color w:val="auto"/>
        </w:rPr>
        <w:t>Basic net loss per share is calculated by dividing the net loss by the weighted average number of shares of common stock outstanding for the period, without consideration of the dilutive effect of potential common stock equivalents. Diluted net loss per share gives effect to all dilutive potential shares of common stock outstanding during this period. For all periods presented, the Company’s potential common stock equivalents, which included stock options, restricted stock units and stock purchase warrants, have been excluded from the computation of diluted net loss per share as their inclusion would have the effect of reducing the net loss per share. Therefore, the denominator used to calculate both basic and diluted net loss per share is the same in all periods presented. The Company’s potential common stock equivalents that have been excluded from the computation of diluted net loss per share for all periods presented because of their antidilutive effect consisted of the following:</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20" w:type="dxa"/>
            <w:vAlign w:val="bottom"/>
          </w:tcPr>
          <w:p>
            <w:pPr>
              <w:spacing w:after="0"/>
              <w:rPr>
                <w:sz w:val="16"/>
                <w:szCs w:val="16"/>
                <w:color w:val="auto"/>
              </w:rPr>
            </w:pPr>
          </w:p>
        </w:tc>
        <w:tc>
          <w:tcPr>
            <w:tcW w:w="266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80" w:type="dxa"/>
            <w:vAlign w:val="bottom"/>
          </w:tcPr>
          <w:p>
            <w:pPr>
              <w:spacing w:after="0"/>
              <w:rPr>
                <w:sz w:val="16"/>
                <w:szCs w:val="16"/>
                <w:color w:val="auto"/>
              </w:rPr>
            </w:pPr>
          </w:p>
        </w:tc>
        <w:tc>
          <w:tcPr>
            <w:tcW w:w="258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Six Months Ended</w:t>
            </w:r>
          </w:p>
        </w:tc>
        <w:tc>
          <w:tcPr>
            <w:tcW w:w="100" w:type="dxa"/>
            <w:vAlign w:val="bottom"/>
          </w:tcPr>
          <w:p>
            <w:pPr>
              <w:spacing w:after="0"/>
              <w:rPr>
                <w:sz w:val="16"/>
                <w:szCs w:val="16"/>
                <w:color w:val="auto"/>
              </w:rPr>
            </w:pPr>
          </w:p>
        </w:tc>
      </w:tr>
      <w:tr>
        <w:trPr>
          <w:trHeight w:val="205"/>
        </w:trPr>
        <w:tc>
          <w:tcPr>
            <w:tcW w:w="5520" w:type="dxa"/>
            <w:vAlign w:val="bottom"/>
          </w:tcPr>
          <w:p>
            <w:pPr>
              <w:spacing w:after="0"/>
              <w:rPr>
                <w:sz w:val="17"/>
                <w:szCs w:val="17"/>
                <w:color w:val="auto"/>
              </w:rPr>
            </w:pPr>
          </w:p>
        </w:tc>
        <w:tc>
          <w:tcPr>
            <w:tcW w:w="1780" w:type="dxa"/>
            <w:vAlign w:val="bottom"/>
            <w:tcBorders>
              <w:bottom w:val="single" w:sz="8" w:color="auto"/>
            </w:tcBorders>
            <w:gridSpan w:val="3"/>
          </w:tcPr>
          <w:p>
            <w:pPr>
              <w:jc w:val="center"/>
              <w:ind w:left="815"/>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880" w:type="dxa"/>
            <w:vAlign w:val="bottom"/>
            <w:tcBorders>
              <w:bottom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1700" w:type="dxa"/>
            <w:vAlign w:val="bottom"/>
            <w:tcBorders>
              <w:bottom w:val="single" w:sz="8" w:color="auto"/>
            </w:tcBorders>
            <w:gridSpan w:val="3"/>
          </w:tcPr>
          <w:p>
            <w:pPr>
              <w:jc w:val="center"/>
              <w:ind w:left="797"/>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69"/>
        </w:trPr>
        <w:tc>
          <w:tcPr>
            <w:tcW w:w="5520" w:type="dxa"/>
            <w:vAlign w:val="bottom"/>
          </w:tcPr>
          <w:p>
            <w:pPr>
              <w:spacing w:after="0"/>
              <w:rPr>
                <w:sz w:val="14"/>
                <w:szCs w:val="14"/>
                <w:color w:val="auto"/>
              </w:rPr>
            </w:pPr>
          </w:p>
        </w:tc>
        <w:tc>
          <w:tcPr>
            <w:tcW w:w="120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380" w:type="dxa"/>
            <w:vAlign w:val="bottom"/>
          </w:tcPr>
          <w:p>
            <w:pPr>
              <w:spacing w:after="0"/>
              <w:rPr>
                <w:sz w:val="14"/>
                <w:szCs w:val="14"/>
                <w:color w:val="auto"/>
              </w:rPr>
            </w:pPr>
          </w:p>
        </w:tc>
        <w:tc>
          <w:tcPr>
            <w:tcW w:w="116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10"/>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stock options</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7,471,217</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5,958,933</w:t>
            </w:r>
          </w:p>
        </w:tc>
        <w:tc>
          <w:tcPr>
            <w:tcW w:w="3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7,471,217</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5,958,933</w:t>
            </w:r>
          </w:p>
        </w:tc>
        <w:tc>
          <w:tcPr>
            <w:tcW w:w="100" w:type="dxa"/>
            <w:vAlign w:val="bottom"/>
            <w:shd w:val="clear" w:color="auto" w:fill="CFF0FC"/>
          </w:tcPr>
          <w:p>
            <w:pPr>
              <w:spacing w:after="0"/>
              <w:rPr>
                <w:sz w:val="18"/>
                <w:szCs w:val="18"/>
                <w:color w:val="auto"/>
              </w:rPr>
            </w:pPr>
          </w:p>
        </w:tc>
      </w:tr>
      <w:tr>
        <w:trPr>
          <w:trHeight w:val="216"/>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Non-vested restricted stock units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1,590,476</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1,411,104</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1,590,476</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1,411,104</w:t>
            </w:r>
          </w:p>
        </w:tc>
        <w:tc>
          <w:tcPr>
            <w:tcW w:w="100" w:type="dxa"/>
            <w:vAlign w:val="bottom"/>
          </w:tcPr>
          <w:p>
            <w:pPr>
              <w:spacing w:after="0"/>
              <w:rPr>
                <w:sz w:val="18"/>
                <w:szCs w:val="18"/>
                <w:color w:val="auto"/>
              </w:rPr>
            </w:pPr>
          </w:p>
        </w:tc>
      </w:tr>
      <w:tr>
        <w:trPr>
          <w:trHeight w:val="216"/>
        </w:trPr>
        <w:tc>
          <w:tcPr>
            <w:tcW w:w="5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purchase warrants</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29,796</w:t>
            </w:r>
          </w:p>
        </w:tc>
        <w:tc>
          <w:tcPr>
            <w:tcW w:w="2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29,796</w:t>
            </w:r>
          </w:p>
        </w:tc>
        <w:tc>
          <w:tcPr>
            <w:tcW w:w="38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29,796</w:t>
            </w:r>
          </w:p>
        </w:tc>
        <w:tc>
          <w:tcPr>
            <w:tcW w:w="2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29,796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5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9,091,489</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7,399,833</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9,091,489</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7,399,833</w:t>
            </w:r>
          </w:p>
        </w:tc>
        <w:tc>
          <w:tcPr>
            <w:tcW w:w="100" w:type="dxa"/>
            <w:vAlign w:val="bottom"/>
          </w:tcPr>
          <w:p>
            <w:pPr>
              <w:spacing w:after="0"/>
              <w:rPr>
                <w:sz w:val="18"/>
                <w:szCs w:val="18"/>
                <w:color w:val="auto"/>
              </w:rPr>
            </w:pPr>
          </w:p>
        </w:tc>
      </w:tr>
      <w:tr>
        <w:trPr>
          <w:trHeight w:val="20"/>
        </w:trPr>
        <w:tc>
          <w:tcPr>
            <w:tcW w:w="55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-170815</wp:posOffset>
            </wp:positionV>
            <wp:extent cx="7683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-170815</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-170815</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Subsequent Event</w:t>
      </w:r>
    </w:p>
    <w:p>
      <w:pPr>
        <w:spacing w:after="0" w:line="108"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auto"/>
        </w:rPr>
        <w:t>On August 8, 2022 (the “Closing Date”), the Company, through its wholly-owned subsidiary Clearside Royalty LLC, a Delaware limited liability company (“Royalty Sub”), entered into a Purchase and Sale Agreement (the “Agreement”) with entities managed by HealthCare Royalty Management, LLC (“HCR”), pursuant to which Royalty Sub sold to HCR certain of its rights to receive royalty and milestone payments payable to Royalty Sub under the Arctic Vision License Agreement, the Bausch License Agreement, that certain License Agreement, effective as of July 3, 2019, by and between the Company and Aura Biosciences, Inc. (the “Aura License Agreement”), that certain Option and License Agreement, dated as of August 29, 2019, by and between REGENXBIO Inc. and the Company (the “REGENXBIO License Agreement”) and any and all out-license agreements following the Closing Date for, or related to XIPERE</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4" w:name="page15"/>
    <w:bookmarkEnd w:id="14"/>
    <w:p>
      <w:pPr>
        <w:ind w:right="40"/>
        <w:spacing w:after="0" w:line="250" w:lineRule="auto"/>
        <w:rPr>
          <w:sz w:val="20"/>
          <w:szCs w:val="20"/>
          <w:color w:val="auto"/>
        </w:rPr>
      </w:pPr>
      <w:r>
        <w:rPr>
          <w:rFonts w:ascii="Times New Roman" w:cs="Times New Roman" w:eastAsia="Times New Roman" w:hAnsi="Times New Roman"/>
          <w:sz w:val="18"/>
          <w:szCs w:val="18"/>
          <w:color w:val="auto"/>
        </w:rPr>
        <w:t>or the SCS Microinjector technology (to be used in connection with compounds or products of any third parties) delivered, in whole or in part, by means of the SCS Microinjector technology), excluding, for the avoidance of doubt, any in-licensed or internally developed therapies following the Closing Date (collectively, the “Royalties”), in exchange for up to $65 million. In connection with this transaction, the Company assigned the Arctic Vision License Agreement, Bausch License Agreement, Aura License Agreement, REGENXBIO License Agreement, our license agreement with Emory University and The Georgia Tech Research Corporation and related intellectual property rights to Royalty Sub.</w:t>
      </w:r>
    </w:p>
    <w:p>
      <w:pPr>
        <w:spacing w:after="0" w:line="69" w:lineRule="exact"/>
        <w:rPr>
          <w:sz w:val="20"/>
          <w:szCs w:val="20"/>
          <w:color w:val="auto"/>
        </w:rPr>
      </w:pPr>
    </w:p>
    <w:p>
      <w:pPr>
        <w:ind w:right="120" w:firstLine="509"/>
        <w:spacing w:after="0" w:line="250" w:lineRule="auto"/>
        <w:rPr>
          <w:sz w:val="20"/>
          <w:szCs w:val="20"/>
          <w:color w:val="auto"/>
        </w:rPr>
      </w:pPr>
      <w:r>
        <w:rPr>
          <w:rFonts w:ascii="Times New Roman" w:cs="Times New Roman" w:eastAsia="Times New Roman" w:hAnsi="Times New Roman"/>
          <w:sz w:val="18"/>
          <w:szCs w:val="18"/>
          <w:color w:val="auto"/>
        </w:rPr>
        <w:t>Under the terms of the Agreement, Royalty Sub will receive an initial payment of $32.5 million, less certain expenses, within 15 business days of the Closing Date. An additional $12.5 million will be placed in an escrow account to be released to Royalty Sub upon attainment of a pre-specified XIPERE sales milestone achieved no later than March 31, 2024. The terms of the Purchase and Sale Agreement also provide for an additional $20 million milestone payment to Royalty Sub upon attainment of a second pre-specified sales milestone related to 2024 XIPERE sales.</w:t>
      </w:r>
    </w:p>
    <w:p>
      <w:pPr>
        <w:spacing w:after="0" w:line="69" w:lineRule="exact"/>
        <w:rPr>
          <w:sz w:val="20"/>
          <w:szCs w:val="20"/>
          <w:color w:val="auto"/>
        </w:rPr>
      </w:pPr>
    </w:p>
    <w:p>
      <w:pPr>
        <w:ind w:right="20" w:firstLine="509"/>
        <w:spacing w:after="0" w:line="246" w:lineRule="auto"/>
        <w:rPr>
          <w:sz w:val="20"/>
          <w:szCs w:val="20"/>
          <w:color w:val="auto"/>
        </w:rPr>
      </w:pPr>
      <w:r>
        <w:rPr>
          <w:rFonts w:ascii="Times New Roman" w:cs="Times New Roman" w:eastAsia="Times New Roman" w:hAnsi="Times New Roman"/>
          <w:sz w:val="18"/>
          <w:szCs w:val="18"/>
          <w:color w:val="auto"/>
        </w:rPr>
        <w:t>The Agreement will automatically expire, and the payment of Royalties from the Royalty Sub to HCR will cease, when HCR has received payments of the Royalties equal to 2.5 times the aggregate amount of payments made by HCR under the agreement (the “2024 Threshold”) if the 2024 Threshold is achieved on or prior to December 31, 2024. If the 2024 Threshold is not achieved on or prior to December 31, 2024 (or, if earlier, the date on which the last royalty payment under the relevant license agreements is made), Royalty Sub must pay 3.4 times the aggregate amount of payments made by HCR under the agreement. After the Agreement expires, all rights to receive the Royalties return to Royalty Sub.</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06"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i w:val="1"/>
          <w:iCs w:val="1"/>
          <w:color w:val="auto"/>
        </w:rPr>
        <w:t>Certain statements contained in this Quarterly Report on Form 10-Q may constitute forward-looking statements within the meaning of Section 27A of the Securities Act of 1933, as amended, and Section 21E of the Securities Exchange Act of 1934, as amended. The words or phrases “would be,” “will allow,” “intends to,” “will likely result,” “are expected to,” “will continue,” “is anticipated,” “estimate,” “project,” or similar expressions, or the negative of such words or phrases, are intended to identify “forward-looking statements.” We have based these forward-looking statements on our current expectations and projections about future events. Because such statements include risks and uncertainties, actual results may differ materially from those expressed or implied by such forward-looking statements. Factors that could cause or contribute to these differences include those below and elsewhere in this Quarterly Report on Form 10-Q and our other filings with the Securities and Exchange Commission, or SEC, under the heading “Risk Factors”. Such risks and uncertainties may be amplified by the COVID-19 pandemic and its potential impact on our business and the global economy. Statements made herein are as of the date of the filing of this Form 10-Q with the SEC and should not be relied upon as of any subsequent date. Unless otherwise required by applicable law, we do not undertake, and we specifically disclaim, any obligation to update any forward-looking statements to reflect occurrences, developments, unanticipated events or circumstances after the date of such statement.</w:t>
      </w:r>
    </w:p>
    <w:p>
      <w:pPr>
        <w:spacing w:after="0" w:line="204" w:lineRule="exact"/>
        <w:rPr>
          <w:sz w:val="20"/>
          <w:szCs w:val="20"/>
          <w:color w:val="auto"/>
        </w:rPr>
      </w:pPr>
    </w:p>
    <w:p>
      <w:pPr>
        <w:jc w:val="both"/>
        <w:ind w:right="40" w:firstLine="509"/>
        <w:spacing w:after="0" w:line="250"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should be read in conjunction with our unaudited financial statements and related notes that appear in Item 1 of this Quarterly Report on Form 10-Q and with our audited financial statements and related notes for the year ended December 31, 2021 appearing in our Annual Report on Form 10-K filed with the SEC on March 11, 2022.</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08" w:lineRule="exact"/>
        <w:rPr>
          <w:sz w:val="20"/>
          <w:szCs w:val="20"/>
          <w:color w:val="auto"/>
        </w:rPr>
      </w:pPr>
    </w:p>
    <w:p>
      <w:pPr>
        <w:ind w:firstLine="509"/>
        <w:spacing w:after="0" w:line="235" w:lineRule="auto"/>
        <w:rPr>
          <w:sz w:val="20"/>
          <w:szCs w:val="20"/>
          <w:color w:val="auto"/>
        </w:rPr>
      </w:pPr>
      <w:r>
        <w:rPr>
          <w:rFonts w:ascii="Times New Roman" w:cs="Times New Roman" w:eastAsia="Times New Roman" w:hAnsi="Times New Roman"/>
          <w:sz w:val="18"/>
          <w:szCs w:val="18"/>
          <w:color w:val="auto"/>
        </w:rPr>
        <w:t>We are a biopharmaceutical company focused on revolutionizing the delivery of therapies to the back of the eye through the suprachoroidal space, or SCS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Our novel SCS injection platform, utilizing our proprietary SCS Microinjector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enables an in-office, repeatable, non-surgical procedure for the targeted and compartmentalized delivery of a wide variety of therapies to the macula, retina or choroid to potentially preserve and improve vision in patients with sight-threatening eye diseases. Our SCS injection platform can be used in conjunction with existing drugs designed for delivery to the SCS, novel therapies and future therapeutic innovations. We believe our proprietary suprachoroidal administration platform has the potential to become a standard for delivery of therapies intended to treat chorioretinal diseases.</w:t>
      </w:r>
    </w:p>
    <w:p>
      <w:pPr>
        <w:spacing w:after="0" w:line="80" w:lineRule="exact"/>
        <w:rPr>
          <w:sz w:val="20"/>
          <w:szCs w:val="20"/>
          <w:color w:val="auto"/>
        </w:rPr>
      </w:pPr>
    </w:p>
    <w:p>
      <w:pPr>
        <w:ind w:right="60" w:firstLine="509"/>
        <w:spacing w:after="0" w:line="233" w:lineRule="auto"/>
        <w:rPr>
          <w:sz w:val="20"/>
          <w:szCs w:val="20"/>
          <w:color w:val="auto"/>
        </w:rPr>
      </w:pPr>
      <w:r>
        <w:rPr>
          <w:rFonts w:ascii="Times New Roman" w:cs="Times New Roman" w:eastAsia="Times New Roman" w:hAnsi="Times New Roman"/>
          <w:sz w:val="18"/>
          <w:szCs w:val="18"/>
          <w:color w:val="auto"/>
        </w:rPr>
        <w:t>We are leveraging our SCS injection platform by building an internal research and development pipeline targeting retinal diseases and by creating external collaborations with other companies. We are developing our own pipeline of small molecule product candidates for administration via our SCS Microinjector, and we also strategically partner with companies developing other ophthalmic therapeutic innovations to be administered using our SCS injection platform. Our first product, XIPERE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(triamcinolone acetonide injectable suspension) for suprachoroidal use, was approved by the U.S. Food and Drug Administration, or the FDA, in October 2021. Approval of XIPERE was a significant milestone for us as it is the first approved therapeutic delivered into the SCS, the first commercial product developed by us and the first therapy for macular edema associated with uveitis.</w:t>
      </w:r>
    </w:p>
    <w:p>
      <w:pPr>
        <w:spacing w:after="0" w:line="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believe that we are creating a broad therapeutic platform for developing product candidates to treat serious eye diseases.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5" w:name="page16"/>
    <w:bookmarkEnd w:id="15"/>
    <w:p>
      <w:pPr>
        <w:ind w:left="520"/>
        <w:spacing w:after="0"/>
        <w:rPr>
          <w:sz w:val="20"/>
          <w:szCs w:val="20"/>
          <w:color w:val="auto"/>
        </w:rPr>
      </w:pPr>
      <w:r>
        <w:rPr>
          <w:rFonts w:ascii="Times New Roman" w:cs="Times New Roman" w:eastAsia="Times New Roman" w:hAnsi="Times New Roman"/>
          <w:sz w:val="18"/>
          <w:szCs w:val="18"/>
          <w:color w:val="auto"/>
        </w:rPr>
        <w:t>The current development status of our pipeline of internal product candidates and external collaborations is summarized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85725</wp:posOffset>
            </wp:positionV>
            <wp:extent cx="6172200" cy="29571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172200" cy="2957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Internal Pipeline</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XIPERE</w:t>
      </w:r>
    </w:p>
    <w:p>
      <w:pPr>
        <w:spacing w:after="0" w:line="106" w:lineRule="exact"/>
        <w:rPr>
          <w:sz w:val="20"/>
          <w:szCs w:val="20"/>
          <w:color w:val="auto"/>
        </w:rPr>
      </w:pPr>
    </w:p>
    <w:p>
      <w:pPr>
        <w:ind w:right="60" w:firstLine="509"/>
        <w:spacing w:after="0" w:line="246" w:lineRule="auto"/>
        <w:rPr>
          <w:sz w:val="20"/>
          <w:szCs w:val="20"/>
          <w:color w:val="auto"/>
        </w:rPr>
      </w:pPr>
      <w:r>
        <w:rPr>
          <w:rFonts w:ascii="Times New Roman" w:cs="Times New Roman" w:eastAsia="Times New Roman" w:hAnsi="Times New Roman"/>
          <w:sz w:val="18"/>
          <w:szCs w:val="18"/>
          <w:color w:val="auto"/>
        </w:rPr>
        <w:t>Our first product, XIPERE, is a proprietary, preservative-free suspension of the corticosteroid triamcinolone acetonide, or TA, for suprachoroidal use. Corticosteroids are the standard of care in uveitis. They are effective at treating the inflammatory aspect of ocular disease, but when delivered locally, either topically as drops, intravitreally or by periocular injection, they have been associated with significant side effects, such as cataract formation or exacerbation and elevated intraocular pressure, or IOP, which can lead to glaucoma. XIPERE is delivered into the suprachoroidal space via a novel route of administration utilizing our SCS Microinjector. XIPERE was approved by the FDA for the treatment of macular edema associated with uveitis.</w:t>
      </w:r>
    </w:p>
    <w:p>
      <w:pPr>
        <w:spacing w:after="0" w:line="73"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We are evaluating options for potential submissions to regulatory agencies to seek regulatory approval of XIPERE for the treatment of patients with macular edema associated with uveitis in additional territories outside of territories licensed by Arctic Vison and Bausch.</w:t>
      </w:r>
    </w:p>
    <w:p>
      <w:pPr>
        <w:spacing w:after="0" w:line="14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CLS-AX</w:t>
      </w:r>
    </w:p>
    <w:p>
      <w:pPr>
        <w:spacing w:after="0" w:line="106" w:lineRule="exact"/>
        <w:rPr>
          <w:sz w:val="20"/>
          <w:szCs w:val="20"/>
          <w:color w:val="auto"/>
        </w:rPr>
      </w:pPr>
    </w:p>
    <w:p>
      <w:pPr>
        <w:ind w:right="80" w:firstLine="509"/>
        <w:spacing w:after="0" w:line="250" w:lineRule="auto"/>
        <w:rPr>
          <w:sz w:val="20"/>
          <w:szCs w:val="20"/>
          <w:color w:val="auto"/>
        </w:rPr>
      </w:pPr>
      <w:r>
        <w:rPr>
          <w:rFonts w:ascii="Times New Roman" w:cs="Times New Roman" w:eastAsia="Times New Roman" w:hAnsi="Times New Roman"/>
          <w:sz w:val="18"/>
          <w:szCs w:val="18"/>
          <w:color w:val="auto"/>
        </w:rPr>
        <w:t>CLS-AX, our most advanced product candidate, is our proprietary suspension of the tyrosine kinase inhibitor axitinib for suprachoroidal injection delivered via our SCS Microinjector. CLS-AX is an inhibitor of vascular endothelial growth factor receptor-1, -2 and -3 that we believe may benefit patients who respond sub optimally to current anti-VEGF therapies. We are developing CLS-AX for administration to the SCS as a long-acting therapy for retinal diseases.</w:t>
      </w:r>
    </w:p>
    <w:p>
      <w:pPr>
        <w:spacing w:after="0" w:line="83"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color w:val="auto"/>
        </w:rPr>
        <w:t>In August 2020, we announced that the FDA had accepted our Investigational New Drug application, or IND, for CLS-AX. In January 2021, we announced that the first patients had been enrolled in our Phase 1/2a clinical trial of CLS-AX, known as OASIS. In OASIS, the primary endpoints were met in Cohorts 1 and 2. CLS-AX was well tolerated with no serious adverse events; there were no treatment emergent adverse events related to aflibercept, CLS-AX or the suprachoroidal injection procedure, no dispersion of drug into the vitreous, and no adverse events related to IOP, inflammation or vasculitis. In July 2022, we completed patient enrollment of OASIS and also completed dosing in Cohort 3 in which each patient received a dose of 0.5 mg, and in Cohort 4 in which each patient received a dose of 1.0 mg. Our extension study follows patients in Cohort 2, Cohort 3 and Cohort 4 for up to an additional three-month period.</w:t>
      </w:r>
    </w:p>
    <w:p>
      <w:pPr>
        <w:spacing w:after="0" w:line="73" w:lineRule="exact"/>
        <w:rPr>
          <w:sz w:val="20"/>
          <w:szCs w:val="20"/>
          <w:color w:val="auto"/>
        </w:rPr>
      </w:pPr>
    </w:p>
    <w:p>
      <w:pPr>
        <w:ind w:right="280" w:firstLine="509"/>
        <w:spacing w:after="0" w:line="250" w:lineRule="auto"/>
        <w:rPr>
          <w:sz w:val="20"/>
          <w:szCs w:val="20"/>
          <w:color w:val="auto"/>
        </w:rPr>
      </w:pPr>
      <w:r>
        <w:rPr>
          <w:rFonts w:ascii="Times New Roman" w:cs="Times New Roman" w:eastAsia="Times New Roman" w:hAnsi="Times New Roman"/>
          <w:sz w:val="18"/>
          <w:szCs w:val="18"/>
          <w:color w:val="auto"/>
        </w:rPr>
        <w:t>We enrolled 27 patients in total in all four OASIS cohorts. Our enrollment allowed us to collect more CLS-AX patient data to help guide our selection of the most appropriate dosing protocol for our planned Phase 2 clinical trial. We expect to report individual patient safety and tolerability data from both Cohort 3 and Cohort 4 as well as the complete analysis from all four dosing cohorts of the OASIS trial in November 2022. We have begun planning for our Phase 2 clinical trial. We anticipate that the final data readout</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6" w:name="page17"/>
    <w:bookmarkEnd w:id="16"/>
    <w:p>
      <w:pPr>
        <w:ind w:right="760"/>
        <w:spacing w:after="0" w:line="282" w:lineRule="auto"/>
        <w:rPr>
          <w:sz w:val="20"/>
          <w:szCs w:val="20"/>
          <w:color w:val="auto"/>
        </w:rPr>
      </w:pPr>
      <w:r>
        <w:rPr>
          <w:rFonts w:ascii="Times New Roman" w:cs="Times New Roman" w:eastAsia="Times New Roman" w:hAnsi="Times New Roman"/>
          <w:sz w:val="18"/>
          <w:szCs w:val="18"/>
          <w:color w:val="auto"/>
        </w:rPr>
        <w:t>from OASIS will position us to initiate activities by the end of the year for our Phase 2 trial, which will enable us to begin enrolling patients soon thereafter.</w:t>
      </w:r>
    </w:p>
    <w:p>
      <w:pPr>
        <w:spacing w:after="0" w:line="14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CLS-301</w:t>
      </w:r>
    </w:p>
    <w:p>
      <w:pPr>
        <w:spacing w:after="0" w:line="106" w:lineRule="exact"/>
        <w:rPr>
          <w:sz w:val="20"/>
          <w:szCs w:val="20"/>
          <w:color w:val="auto"/>
        </w:rPr>
      </w:pPr>
    </w:p>
    <w:p>
      <w:pPr>
        <w:ind w:right="60" w:firstLine="509"/>
        <w:spacing w:after="0" w:line="242" w:lineRule="auto"/>
        <w:rPr>
          <w:sz w:val="20"/>
          <w:szCs w:val="20"/>
          <w:color w:val="auto"/>
        </w:rPr>
      </w:pPr>
      <w:r>
        <w:rPr>
          <w:rFonts w:ascii="Times New Roman" w:cs="Times New Roman" w:eastAsia="Times New Roman" w:hAnsi="Times New Roman"/>
          <w:sz w:val="18"/>
          <w:szCs w:val="18"/>
          <w:color w:val="auto"/>
        </w:rPr>
        <w:t>We have initiated another small molecule program utilizing suprachoroidal administration of an integrin inhibitor suspension, which we refer to as CLS-301. Integrins are multi-functional cell-adhesion molecules that regulate critical cellular processes. Integrins play a role in pathologic processes, such as inflammation, angiogenesis and fibrosis. Integrin inhibition has had some recent preliminary validation in preclinical models and clinical studies of diabetic macular edema and macular degeneration conducted by others. We believe that integrin inhibition could potentially serve as primary therapy, adjunctive therapy to anti-VEGF agents or secondary therapy in refractory cases of diabetic macular edema and macular degeneration. Suprachoroidal delivery of an integrin inhibitor suspension could provide targeting, compartmentalization and durability advantages over topical or intravitreal delivery, similar to what we have observed in other preclinical studies of small molecule suspensions, such as triamcinolone acetonide and axitinib. Therefore, we are assessing ocular tolerability, distribution and pharmacokinetics of our integrin inhibitor suprachoroidal suspension in a series of preclinical studies. Our initial preclinical data has shown that the agent is well-tolerated with favorable ocular distribution targeting the chorio-retina, and we have seen encouraging initial signs of durability. We are optimizing the formulation and have initiated a second preclinical study. We expect to have results from this study by the end of 2022.</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External Collaborations Pipeline</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addition to growing our internal pipeline, we are also focused on collaborating with other companies to provide access to the suprachoroidal</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space.</w:t>
      </w:r>
    </w:p>
    <w:p>
      <w:pPr>
        <w:spacing w:after="0" w:line="97" w:lineRule="exact"/>
        <w:rPr>
          <w:sz w:val="20"/>
          <w:szCs w:val="20"/>
          <w:color w:val="auto"/>
        </w:rPr>
      </w:pPr>
    </w:p>
    <w:p>
      <w:pPr>
        <w:ind w:right="80" w:firstLine="509"/>
        <w:spacing w:after="0" w:line="250" w:lineRule="auto"/>
        <w:rPr>
          <w:sz w:val="20"/>
          <w:szCs w:val="20"/>
          <w:color w:val="auto"/>
        </w:rPr>
      </w:pPr>
      <w:r>
        <w:rPr>
          <w:rFonts w:ascii="Times New Roman" w:cs="Times New Roman" w:eastAsia="Times New Roman" w:hAnsi="Times New Roman"/>
          <w:sz w:val="18"/>
          <w:szCs w:val="18"/>
          <w:color w:val="auto"/>
        </w:rPr>
        <w:t>During the second half of 2019, we entered into three license and other agreements that we believe validate and expand the reach of our suprachoroidal injection platform. In October 2019, we announced that Bausch + Lomb, a division of Bausch Health Companies, Inc., or Bausch, acquired an exclusive license for the commercialization and development of XIPERE (triamcinolone acetonide injectable suspension) in the United States and Canada. Bausch launched XIPERE in the United States in the first quarter of 2022.</w:t>
      </w:r>
    </w:p>
    <w:p>
      <w:pPr>
        <w:spacing w:after="0" w:line="69" w:lineRule="exact"/>
        <w:rPr>
          <w:sz w:val="20"/>
          <w:szCs w:val="20"/>
          <w:color w:val="auto"/>
        </w:rPr>
      </w:pPr>
    </w:p>
    <w:p>
      <w:pPr>
        <w:ind w:right="40" w:firstLine="509"/>
        <w:spacing w:after="0" w:line="245" w:lineRule="auto"/>
        <w:rPr>
          <w:sz w:val="20"/>
          <w:szCs w:val="20"/>
          <w:color w:val="auto"/>
        </w:rPr>
      </w:pPr>
      <w:r>
        <w:rPr>
          <w:rFonts w:ascii="Times New Roman" w:cs="Times New Roman" w:eastAsia="Times New Roman" w:hAnsi="Times New Roman"/>
          <w:sz w:val="18"/>
          <w:szCs w:val="18"/>
          <w:color w:val="auto"/>
        </w:rPr>
        <w:t>In October 2019, REGENXBIO Inc., or REGENXBIO, exercised its option to license our SCS Microinjector technology for in-office delivery of adeno-associated virus, or AAV-based therapeutics to the SCS to potentially treat AMD, diabetic retinopathy and certain other conditions for which chronic anti-VEGF treatment is currently the standard of care. REGENXBIO is currently conducting two multi-center, open-label, randomized, controlled, dose-escalation Phase 2 clinical trials evaluating the efficacy, safety and tolerability of suprachoroidal delivery of RGX-314 using our SCS Microinjector technology: a Phase 2 trial entitled AAVIATE for the treatment of wet AMD and a second Phase 2 trial entitled ALTITUDE for the treatment of diabetic retinopathy. REGENXBIO has reported positive initial data from both clinical trials and that it has completed patient enrollment in both ALTITUDE and AAVIATE. We expect REGENXBIO to disclose additional data from these trials in 2022.</w:t>
      </w:r>
    </w:p>
    <w:p>
      <w:pPr>
        <w:spacing w:after="0" w:line="73" w:lineRule="exact"/>
        <w:rPr>
          <w:sz w:val="20"/>
          <w:szCs w:val="20"/>
          <w:color w:val="auto"/>
        </w:rPr>
      </w:pPr>
    </w:p>
    <w:p>
      <w:pPr>
        <w:ind w:right="40" w:firstLine="509"/>
        <w:spacing w:after="0" w:line="250" w:lineRule="auto"/>
        <w:rPr>
          <w:sz w:val="20"/>
          <w:szCs w:val="20"/>
          <w:color w:val="auto"/>
        </w:rPr>
      </w:pPr>
      <w:r>
        <w:rPr>
          <w:rFonts w:ascii="Times New Roman" w:cs="Times New Roman" w:eastAsia="Times New Roman" w:hAnsi="Times New Roman"/>
          <w:sz w:val="18"/>
          <w:szCs w:val="18"/>
          <w:color w:val="auto"/>
        </w:rPr>
        <w:t>In July 2019, Aura Biosciences, or Aura, licensed our SCS Microinjector to deliver Aura’s proprietary drug candidates into the SCS for the potential treatment of certain ocular cancers, including choroidal melanoma. Aura is currently conducting a Phase 2 trial in choroidal melanoma comprised of an open-label, dose escalation phase and a randomized, masked dose expansion phase. Aura reported positive initial data on its Phase 2 clinical trial for the treatment of choroidal melanoma in October 2021. We expect Aura to disclose additional data from this trial in 2022.</w:t>
      </w:r>
    </w:p>
    <w:p>
      <w:pPr>
        <w:spacing w:after="0" w:line="69"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auto"/>
        </w:rPr>
        <w:t>In March 2020, we entered into a license agreement, or the Arctic Vision License Agreement, with Arctic Vision (Hong Kong) Limited, or Arctic Vision. Pursuant to the Arctic Vision License Agreement, we granted an exclusive license to Arctic Vision to develop, distribute, promote, market and commercialize XIPERE, subject to specified exceptions, in China, Hong Kong, Macau, Taiwan and South Korea, or the Arctic Territory. During 2021, we entered into amendments to the Arctic Vision License Agreement to expand the territories covered by the license to include India and the ASEAN Countries (Brunei, Cambodia, Indonesia, Laos, Malaysia, Myanmar, the Philippines, Singapore, Thailand, and Vietnam) and Australia and New Zealand. In December 2020, Arctic Vision announced approval of its IND for a Phase 3 clinical trial of ARVN001 (known as XIPERE in the U.S.) in China. Arctic Vision has branded ARVN001 as Arcatus. In November 2021, Arctic Vision announced dosing of the first patient in a Phase 3 clinical trial of ARVN001 for the treatment of macular edema associated with uveitis. In March 2022, Arctic Vision announced dosing of the first patient in a Phase 1 clinical trial of ARVN011 in China for the treatment of diabetic macular edema.</w:t>
      </w:r>
    </w:p>
    <w:p>
      <w:pPr>
        <w:spacing w:after="0" w:line="77"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These partnerships enable us to expand the use of our suprachoroidal injection platform to other indications and geographies globally. Under these license agreements, we are eligible to receive up to an aggregate of more than $230 million in potential future development and sales milestones, as well as and royalties from net sales of covered products.</w:t>
      </w:r>
    </w:p>
    <w:p>
      <w:pPr>
        <w:spacing w:after="0" w:line="61" w:lineRule="exact"/>
        <w:rPr>
          <w:sz w:val="20"/>
          <w:szCs w:val="20"/>
          <w:color w:val="auto"/>
        </w:rPr>
      </w:pPr>
    </w:p>
    <w:p>
      <w:pPr>
        <w:ind w:right="100" w:firstLine="549"/>
        <w:spacing w:after="0" w:line="246" w:lineRule="auto"/>
        <w:rPr>
          <w:sz w:val="20"/>
          <w:szCs w:val="20"/>
          <w:color w:val="auto"/>
        </w:rPr>
      </w:pPr>
      <w:r>
        <w:rPr>
          <w:rFonts w:ascii="Times New Roman" w:cs="Times New Roman" w:eastAsia="Times New Roman" w:hAnsi="Times New Roman"/>
          <w:sz w:val="18"/>
          <w:szCs w:val="18"/>
          <w:color w:val="auto"/>
        </w:rPr>
        <w:t>We have incurred net losses since our inception. In recent years, our operations have consisted primarily of conducting preclinical studies and clinical trials, raising capital and undertaking other research and development initiatives. To date, we have not generated any revenue to sustain present activities, and we have primarily financed our operations through public offerings and private placements of our equity securities, issuances of convertible promissory notes, loan agreements and license agreements. As further described in Note 13 to the financial statements, on August 8, 2022, we entered into a Purchase and Sale Agreement pursuant to which</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7" w:name="page18"/>
    <w:bookmarkEnd w:id="17"/>
    <w:p>
      <w:pPr>
        <w:ind w:right="40"/>
        <w:spacing w:after="0" w:line="247" w:lineRule="auto"/>
        <w:rPr>
          <w:sz w:val="20"/>
          <w:szCs w:val="20"/>
          <w:color w:val="auto"/>
        </w:rPr>
      </w:pPr>
      <w:r>
        <w:rPr>
          <w:rFonts w:ascii="Times New Roman" w:cs="Times New Roman" w:eastAsia="Times New Roman" w:hAnsi="Times New Roman"/>
          <w:sz w:val="18"/>
          <w:szCs w:val="18"/>
          <w:color w:val="auto"/>
        </w:rPr>
        <w:t>we sold our rights to receive royalty and milestone payments due to us related to XIPERE and certain SCS Microinjector license agreements in exchange for up to $65 million, including an initial payment of $32.5 million. As of June 30, 2022, we had an accumulated deficit of $270.9 million. We recorded net losses of $7.8 million and $6.1 million for the three months ended June 30, 2022 and 2021, respectively, and net losses of $15.5 million and $13.4 million for the six months ended June 30, 2022 and 2021, respectively. We anticipate that a substantial portion of our capital resources and efforts in the foreseeable future will be focused on completing the necessary development for and obtaining regulatory approval of our product candidates, as well as discovering compounds and developing proprietary formulations to utilize with our SCS Microinjector.</w:t>
      </w:r>
    </w:p>
    <w:p>
      <w:pPr>
        <w:spacing w:after="0" w:line="72" w:lineRule="exact"/>
        <w:rPr>
          <w:sz w:val="20"/>
          <w:szCs w:val="20"/>
          <w:color w:val="auto"/>
        </w:rPr>
      </w:pPr>
    </w:p>
    <w:p>
      <w:pPr>
        <w:ind w:right="40" w:firstLine="509"/>
        <w:spacing w:after="0" w:line="243" w:lineRule="auto"/>
        <w:rPr>
          <w:sz w:val="20"/>
          <w:szCs w:val="20"/>
          <w:color w:val="auto"/>
        </w:rPr>
      </w:pPr>
      <w:r>
        <w:rPr>
          <w:rFonts w:ascii="Times New Roman" w:cs="Times New Roman" w:eastAsia="Times New Roman" w:hAnsi="Times New Roman"/>
          <w:sz w:val="18"/>
          <w:szCs w:val="18"/>
          <w:color w:val="auto"/>
        </w:rPr>
        <w:t>We expect to continue to incur significant and increasing operating losses at least for the next several years. We do not expect to generate significant product or license and other revenue unless and until XIPERE is successfully commercialized by our licensees or until we successfully complete development of, obtain regulatory approval for and commercialize additional product candidates, either on our own or together with a third party. Our financial results may fluctuate significantly from quarter to quarter and year to year, depending on the timing of our clinical trials and our expenditures on other research and development activities. We expect clinical trial expenses to increase during the remainder of 2022 as a result of our ongoing Phase 1/2a clinical trial of CLS-AX, the preparation of a Phase 2 clinical trial of CLS-AX, as well as continuing our pipeline development. We also will continue our efforts to seek to discover, research and develop additional product candidates. Based on our current research and development plans, we expect to have sufficient resources to fund our planned operations for at least the next twelve months.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COVID-19 on Our Business</w:t>
      </w:r>
    </w:p>
    <w:p>
      <w:pPr>
        <w:spacing w:after="0" w:line="108" w:lineRule="exact"/>
        <w:rPr>
          <w:sz w:val="20"/>
          <w:szCs w:val="20"/>
          <w:color w:val="auto"/>
        </w:rPr>
      </w:pPr>
    </w:p>
    <w:p>
      <w:pPr>
        <w:ind w:right="420" w:firstLine="562"/>
        <w:spacing w:after="0" w:line="250" w:lineRule="auto"/>
        <w:rPr>
          <w:sz w:val="20"/>
          <w:szCs w:val="20"/>
          <w:color w:val="auto"/>
        </w:rPr>
      </w:pPr>
      <w:r>
        <w:rPr>
          <w:rFonts w:ascii="Times New Roman" w:cs="Times New Roman" w:eastAsia="Times New Roman" w:hAnsi="Times New Roman"/>
          <w:sz w:val="18"/>
          <w:szCs w:val="18"/>
          <w:color w:val="auto"/>
        </w:rPr>
        <w:t>Our financial results for the three and six months ended June 30, 2022 were not significantly impacted by COVID-19, and we currently do not expect any material impact on our financial results for the remainder of 2022.</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Operating Results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and Other Revenue</w:t>
      </w:r>
    </w:p>
    <w:p>
      <w:pPr>
        <w:spacing w:after="0" w:line="121" w:lineRule="exact"/>
        <w:rPr>
          <w:sz w:val="20"/>
          <w:szCs w:val="20"/>
          <w:color w:val="auto"/>
        </w:rPr>
      </w:pPr>
    </w:p>
    <w:p>
      <w:pPr>
        <w:ind w:right="40" w:firstLine="509"/>
        <w:spacing w:after="0" w:line="247" w:lineRule="auto"/>
        <w:rPr>
          <w:sz w:val="20"/>
          <w:szCs w:val="20"/>
          <w:color w:val="auto"/>
        </w:rPr>
      </w:pPr>
      <w:r>
        <w:rPr>
          <w:rFonts w:ascii="Times New Roman" w:cs="Times New Roman" w:eastAsia="Times New Roman" w:hAnsi="Times New Roman"/>
          <w:sz w:val="18"/>
          <w:szCs w:val="18"/>
          <w:color w:val="auto"/>
        </w:rPr>
        <w:t>We have not generated any revenue from the sale of XIPERE, and we do not expect to generate any until Bausch has reached the first $45 million of net sales (refer to Footnote 11 to our financial statements included in this Quarterly Report on Form 10-Q) or any other product revenue unless or until we obtain regulatory approval of and commercialize our other product candidates, either on our own or with a third party. Our revenue in recent years has been generated primarily from our license agreements. We are seeking to enter into additional license and other agreements with third parties to evaluate the potential use of our proprietary SCS Microinjector with the third party’s product candidates for the treatment of various eye diseases. These agreements may include payments to us for technology access, upfront license payments, regulatory and commercial milestone payments and royalties.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08"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for the research and development of our preclinical and clinical product candidates, which include:</w:t>
      </w:r>
    </w:p>
    <w:p>
      <w:pPr>
        <w:spacing w:after="0" w:line="40" w:lineRule="exact"/>
        <w:rPr>
          <w:sz w:val="20"/>
          <w:szCs w:val="20"/>
          <w:color w:val="auto"/>
        </w:rPr>
      </w:pPr>
    </w:p>
    <w:p>
      <w:pPr>
        <w:ind w:left="1020" w:right="720" w:hanging="503"/>
        <w:spacing w:after="0" w:line="26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benefits, travel and share-based compensation expense for research and development personnel;</w:t>
      </w:r>
    </w:p>
    <w:p>
      <w:pPr>
        <w:spacing w:after="0" w:line="67" w:lineRule="exact"/>
        <w:rPr>
          <w:rFonts w:ascii="Times New Roman" w:cs="Times New Roman" w:eastAsia="Times New Roman" w:hAnsi="Times New Roman"/>
          <w:sz w:val="18"/>
          <w:szCs w:val="18"/>
          <w:color w:val="auto"/>
        </w:rPr>
      </w:pPr>
    </w:p>
    <w:p>
      <w:pPr>
        <w:ind w:left="1020" w:right="400" w:hanging="503"/>
        <w:spacing w:after="0" w:line="26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contract research organizations, or CROs, as well as contract manufacturing organizations and consultants that conduct clinical trials and preclinical studies;</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nonclinical activities and development activities;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submitting regulatory approval applications for our product candidates;</w:t>
      </w:r>
    </w:p>
    <w:p>
      <w:pPr>
        <w:spacing w:after="0" w:line="103" w:lineRule="exact"/>
        <w:rPr>
          <w:rFonts w:ascii="Times New Roman" w:cs="Times New Roman" w:eastAsia="Times New Roman" w:hAnsi="Times New Roman"/>
          <w:sz w:val="18"/>
          <w:szCs w:val="18"/>
          <w:color w:val="auto"/>
        </w:rPr>
      </w:pPr>
    </w:p>
    <w:p>
      <w:pPr>
        <w:ind w:left="1020" w:right="520" w:hanging="503"/>
        <w:spacing w:after="0" w:line="26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training physicians on the suprachoroidal injection procedure and educating and providing them with appropriate product candidate information;</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technology and intellectual property licenses;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for our research and development facility; and</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expense for assets used in research and development activities.</w:t>
      </w:r>
    </w:p>
    <w:p>
      <w:pPr>
        <w:spacing w:after="0" w:line="225"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8"/>
          <w:szCs w:val="18"/>
          <w:color w:val="auto"/>
        </w:rPr>
        <w:t>We expense research and development costs to operations as incurred. These costs include preclinical activities, such as manufacturing and stability and toxicology studies, that are supportive of a product candidate itself. In addition, there are expenses related to clinical trials and similar activities for each program, including costs associated with CROs. Clinical costs are recognized based on the terms of underlying agreements, as well as an evaluation of the progress to completion of specific tasks using data such as patient enrollment, clinical site activations and additional information provided to us by our vendors about their actual costs occurred. Expenses related to activities that support more than one development program or activity, such as salaries, share-based</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compensation and depreciation, are not classified as direct preclinical costs or clinical costs and are separately classified as unallocated.</w:t>
      </w:r>
    </w:p>
    <w:p>
      <w:pPr>
        <w:spacing w:after="0" w:line="117" w:lineRule="exact"/>
        <w:rPr>
          <w:sz w:val="20"/>
          <w:szCs w:val="20"/>
          <w:color w:val="auto"/>
        </w:rPr>
      </w:pPr>
    </w:p>
    <w:p>
      <w:pPr>
        <w:ind w:right="480" w:firstLine="509"/>
        <w:spacing w:after="0" w:line="266" w:lineRule="auto"/>
        <w:rPr>
          <w:sz w:val="20"/>
          <w:szCs w:val="20"/>
          <w:color w:val="auto"/>
        </w:rPr>
      </w:pPr>
      <w:r>
        <w:rPr>
          <w:rFonts w:ascii="Times New Roman" w:cs="Times New Roman" w:eastAsia="Times New Roman" w:hAnsi="Times New Roman"/>
          <w:sz w:val="18"/>
          <w:szCs w:val="18"/>
          <w:color w:val="auto"/>
        </w:rPr>
        <w:t>The following table shows our research and development expenses by program for the three and six months ended June 30, 2022 and 2021 (in thousands).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00" w:type="dxa"/>
            <w:vAlign w:val="bottom"/>
            <w:gridSpan w:val="4"/>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40" w:type="dxa"/>
            <w:vAlign w:val="bottom"/>
            <w:gridSpan w:val="4"/>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00" w:type="dxa"/>
            <w:vAlign w:val="bottom"/>
          </w:tcPr>
          <w:p>
            <w:pPr>
              <w:spacing w:after="0"/>
              <w:rPr>
                <w:sz w:val="16"/>
                <w:szCs w:val="16"/>
                <w:color w:val="auto"/>
              </w:rPr>
            </w:pPr>
          </w:p>
        </w:tc>
      </w:tr>
      <w:tr>
        <w:trPr>
          <w:trHeight w:val="205"/>
        </w:trPr>
        <w:tc>
          <w:tcPr>
            <w:tcW w:w="56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60" w:type="dxa"/>
            <w:vAlign w:val="bottom"/>
            <w:tcBorders>
              <w:bottom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56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2021</w:t>
            </w:r>
          </w:p>
        </w:tc>
        <w:tc>
          <w:tcPr>
            <w:tcW w:w="4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7"/>
                <w:szCs w:val="17"/>
                <w:color w:val="auto"/>
              </w:rPr>
            </w:pPr>
          </w:p>
        </w:tc>
      </w:tr>
      <w:tr>
        <w:trPr>
          <w:trHeight w:val="209"/>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XIPERE (uveitis program)</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4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100" w:type="dxa"/>
            <w:vAlign w:val="bottom"/>
            <w:shd w:val="clear" w:color="auto" w:fill="CFF0FC"/>
          </w:tcPr>
          <w:p>
            <w:pPr>
              <w:spacing w:after="0"/>
              <w:rPr>
                <w:sz w:val="18"/>
                <w:szCs w:val="18"/>
                <w:color w:val="auto"/>
              </w:rPr>
            </w:pP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CLS-AX (wet AMD program)</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2,779</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100" w:type="dxa"/>
            <w:vAlign w:val="bottom"/>
          </w:tcPr>
          <w:p>
            <w:pPr>
              <w:spacing w:after="0"/>
              <w:rPr>
                <w:sz w:val="18"/>
                <w:szCs w:val="18"/>
                <w:color w:val="auto"/>
              </w:rPr>
            </w:pPr>
          </w:p>
        </w:tc>
      </w:tr>
      <w:tr>
        <w:trPr>
          <w:trHeight w:val="216"/>
        </w:trPr>
        <w:tc>
          <w:tcPr>
            <w:tcW w:w="5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CLS-301 (DME program)</w:t>
            </w: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4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2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3,607</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4,361</w:t>
            </w:r>
          </w:p>
        </w:tc>
        <w:tc>
          <w:tcPr>
            <w:tcW w:w="100" w:type="dxa"/>
            <w:vAlign w:val="bottom"/>
          </w:tcPr>
          <w:p>
            <w:pPr>
              <w:spacing w:after="0"/>
              <w:rPr>
                <w:sz w:val="18"/>
                <w:szCs w:val="18"/>
                <w:color w:val="auto"/>
              </w:rPr>
            </w:pPr>
          </w:p>
        </w:tc>
      </w:tr>
      <w:tr>
        <w:trPr>
          <w:trHeight w:val="216"/>
        </w:trPr>
        <w:tc>
          <w:tcPr>
            <w:tcW w:w="5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Unallocated</w:t>
            </w: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3,425</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2,639</w:t>
            </w:r>
          </w:p>
        </w:tc>
        <w:tc>
          <w:tcPr>
            <w:tcW w:w="4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6,359</w:t>
            </w:r>
          </w:p>
        </w:tc>
        <w:tc>
          <w:tcPr>
            <w:tcW w:w="2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5,430</w:t>
            </w:r>
          </w:p>
        </w:tc>
        <w:tc>
          <w:tcPr>
            <w:tcW w:w="5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4,060</w:t>
            </w:r>
          </w:p>
        </w:tc>
        <w:tc>
          <w:tcPr>
            <w:tcW w:w="6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9,966</w:t>
            </w:r>
          </w:p>
        </w:tc>
        <w:tc>
          <w:tcPr>
            <w:tcW w:w="5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9,550</w:t>
            </w:r>
          </w:p>
        </w:tc>
        <w:tc>
          <w:tcPr>
            <w:tcW w:w="100" w:type="dxa"/>
            <w:vAlign w:val="bottom"/>
          </w:tcPr>
          <w:p>
            <w:pPr>
              <w:spacing w:after="0"/>
              <w:rPr>
                <w:sz w:val="18"/>
                <w:szCs w:val="18"/>
                <w:color w:val="auto"/>
              </w:rPr>
            </w:pPr>
          </w:p>
        </w:tc>
      </w:tr>
      <w:tr>
        <w:trPr>
          <w:trHeight w:val="20"/>
        </w:trPr>
        <w:tc>
          <w:tcPr>
            <w:tcW w:w="56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-454025</wp:posOffset>
            </wp:positionV>
            <wp:extent cx="7747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-454025</wp:posOffset>
            </wp:positionV>
            <wp:extent cx="7683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-454025</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-454025</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-170815</wp:posOffset>
            </wp:positionV>
            <wp:extent cx="7747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-170815</wp:posOffset>
            </wp:positionV>
            <wp:extent cx="768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-170815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100" w:firstLine="509"/>
        <w:spacing w:after="0" w:line="250" w:lineRule="auto"/>
        <w:rPr>
          <w:sz w:val="20"/>
          <w:szCs w:val="20"/>
          <w:color w:val="auto"/>
        </w:rPr>
      </w:pPr>
      <w:r>
        <w:rPr>
          <w:rFonts w:ascii="Times New Roman" w:cs="Times New Roman" w:eastAsia="Times New Roman" w:hAnsi="Times New Roman"/>
          <w:sz w:val="18"/>
          <w:szCs w:val="18"/>
          <w:color w:val="auto"/>
        </w:rPr>
        <w:t>Our expenses related to clinical trials are based on estimates of patient enrollment and related expenses at clinical investigator sites as well as estimates for the services received and efforts expended under contracts with research institutions, consultants and CROs that conduct and manage clinical trials on our behalf. We generally accrue expenses related to clinical trials based on contracted amounts applied to the level of patient enrollment and activity according to the protocol. If future timelines or contracts are modified based upon changes in the clinical trial protocol or scope of work to be performed, we would modify our estimates of accrued expenses accordingly on a prospective basis.</w:t>
      </w:r>
    </w:p>
    <w:p>
      <w:pPr>
        <w:spacing w:after="0" w:line="69" w:lineRule="exact"/>
        <w:rPr>
          <w:sz w:val="20"/>
          <w:szCs w:val="20"/>
          <w:color w:val="auto"/>
        </w:rPr>
      </w:pPr>
    </w:p>
    <w:p>
      <w:pPr>
        <w:ind w:right="140" w:firstLine="509"/>
        <w:spacing w:after="0" w:line="246"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However, it is difficult to determine with certainty the duration and completion costs of our current or future preclinical programs and clinical trials of our product candidates, or if, when or to what extent we will generate revenues from the commercialization and sale of any of our product candidates that obtain regulatory approval. We may never succeed in achieving regulatory approval for any of our current or future product candidates.</w:t>
      </w:r>
    </w:p>
    <w:p>
      <w:pPr>
        <w:spacing w:after="0" w:line="73"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The duration, costs and timing of clinical trials and development of our product candidates will depend on a variety of factors that may include, among others:</w:t>
      </w:r>
    </w:p>
    <w:p>
      <w:pPr>
        <w:spacing w:after="0" w:line="40" w:lineRule="exact"/>
        <w:rPr>
          <w:sz w:val="20"/>
          <w:szCs w:val="20"/>
          <w:color w:val="auto"/>
        </w:rPr>
      </w:pPr>
    </w:p>
    <w:p>
      <w:pPr>
        <w:ind w:left="1020" w:right="280" w:hanging="503"/>
        <w:spacing w:after="0" w:line="266"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process development, scale-up and manufacturing of our product candidates including the SCS Microinjector for clinical trials and for requirements associated with regulatory filings;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trials required for approval and any requirement for extension trials;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patient trial costs;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that participate in the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sites included in the trials;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countries in which the trials are conducted;</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eligible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doses that patients receive;</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the COVID-19 pandemic on the enrollment in, and timing of, our clinical trials;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drop-out or discontinuation rates of patients;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additional safety monitoring or other studies requested by regulatory agencies;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patient follow-up; and</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profiles of the product candidates.</w:t>
      </w:r>
    </w:p>
    <w:p>
      <w:pPr>
        <w:spacing w:after="0" w:line="104"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 addition, the probability of success for each product candidate will depend on numerous factors, including competition, manufacturing capability and commercial viability. We will determine which programs to pursue and how much to fund each program in response to the scientific and clinical success of each product candidate, as well as an assessment of each product candidate’s commercial potential.</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21" w:lineRule="exact"/>
        <w:rPr>
          <w:sz w:val="20"/>
          <w:szCs w:val="20"/>
          <w:color w:val="auto"/>
        </w:rPr>
      </w:pPr>
    </w:p>
    <w:p>
      <w:pPr>
        <w:ind w:right="440" w:firstLine="509"/>
        <w:spacing w:after="0" w:line="246"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other related costs, including share-based compensation, for personnel in executive, finance and administrative functions. General and administrative costs historically included commercial</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9" w:name="page20"/>
    <w:bookmarkEnd w:id="19"/>
    <w:p>
      <w:pPr>
        <w:ind w:right="560"/>
        <w:spacing w:after="0" w:line="282" w:lineRule="auto"/>
        <w:rPr>
          <w:sz w:val="20"/>
          <w:szCs w:val="20"/>
          <w:color w:val="auto"/>
        </w:rPr>
      </w:pPr>
      <w:r>
        <w:rPr>
          <w:rFonts w:ascii="Times New Roman" w:cs="Times New Roman" w:eastAsia="Times New Roman" w:hAnsi="Times New Roman"/>
          <w:sz w:val="18"/>
          <w:szCs w:val="18"/>
          <w:color w:val="auto"/>
        </w:rPr>
        <w:t>pre-launch preparations for XIPERE, and also include facility related costs not otherwise included in research and development expenses, as well as professional fees for legal, patent, consulting, and accounting and audit services.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108"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Other income consists of the gain on the extinguishment of the PPP Loan and accrued interest and interest income earned on our cash and cash equivalents. Interest income is not considered significant to our financial statements.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08" w:lineRule="exact"/>
        <w:rPr>
          <w:sz w:val="20"/>
          <w:szCs w:val="20"/>
          <w:color w:val="auto"/>
        </w:rPr>
      </w:pPr>
    </w:p>
    <w:p>
      <w:pPr>
        <w:ind w:right="40" w:firstLine="509"/>
        <w:spacing w:after="0" w:line="243"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financial statements, which have been prepared in accordance with accounting principles generally accepted in the United States of America, or U.S. GAAP. The preparation of these financial statements requires us to make estimates, judgments and assumptions that affect the reported amounts of assets and liabilities, disclosure of contingent assets and liabilities as of the dates of the balance sheets and the reported amounts of expenses during the reporting periods. In accordance with U.S. GAAP, we evaluate our estimates and judgments on an ongoing basis. Significant estimates include assumptions used in the determination of share-based compensation and some of our research and development expenses.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92" w:lineRule="exact"/>
        <w:rPr>
          <w:sz w:val="20"/>
          <w:szCs w:val="20"/>
          <w:color w:val="auto"/>
        </w:rPr>
      </w:pPr>
    </w:p>
    <w:p>
      <w:pPr>
        <w:ind w:right="120" w:firstLine="509"/>
        <w:spacing w:after="0" w:line="246" w:lineRule="auto"/>
        <w:rPr>
          <w:sz w:val="20"/>
          <w:szCs w:val="20"/>
          <w:color w:val="auto"/>
        </w:rPr>
      </w:pPr>
      <w:r>
        <w:rPr>
          <w:rFonts w:ascii="Times New Roman" w:cs="Times New Roman" w:eastAsia="Times New Roman" w:hAnsi="Times New Roman"/>
          <w:sz w:val="18"/>
          <w:szCs w:val="18"/>
          <w:color w:val="auto"/>
        </w:rPr>
        <w:t>We define our critical accounting policies as those accounting principles generally accepted in the United States of America that require us to make subjective estimates and judgments about matters that are uncertain and are likely to have a material impact on our financial condition and results of operations, as well as the specific manner in which we apply those principles. During the six months ended June 30, 2022, there were no significant changes to our critical accounting policies disclosed in our audited financial statements for the year ended December 31, 2021, which are included in our Annual Report on Form 10-K, as filed with the SEC on March 11, 2022.</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Three Months Ended June 30, 2022 and 2021</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for the three months ended June 30, 2022 and 2021.</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40" w:type="dxa"/>
            <w:vAlign w:val="bottom"/>
          </w:tcPr>
          <w:p>
            <w:pPr>
              <w:spacing w:after="0"/>
              <w:rPr>
                <w:sz w:val="16"/>
                <w:szCs w:val="16"/>
                <w:color w:val="auto"/>
              </w:rPr>
            </w:pPr>
          </w:p>
        </w:tc>
        <w:tc>
          <w:tcPr>
            <w:tcW w:w="3160" w:type="dxa"/>
            <w:vAlign w:val="bottom"/>
            <w:gridSpan w:val="6"/>
          </w:tcPr>
          <w:p>
            <w:pPr>
              <w:jc w:val="right"/>
              <w:ind w:right="9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5"/>
        </w:trPr>
        <w:tc>
          <w:tcPr>
            <w:tcW w:w="654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12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Period-to-Period</w:t>
            </w:r>
          </w:p>
        </w:tc>
      </w:tr>
      <w:tr>
        <w:trPr>
          <w:trHeight w:val="196"/>
        </w:trPr>
        <w:tc>
          <w:tcPr>
            <w:tcW w:w="65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2021</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196"/>
        </w:trPr>
        <w:tc>
          <w:tcPr>
            <w:tcW w:w="654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License and other revenue</w:t>
            </w:r>
          </w:p>
        </w:tc>
        <w:tc>
          <w:tcPr>
            <w:tcW w:w="820" w:type="dxa"/>
            <w:vAlign w:val="bottom"/>
            <w:shd w:val="clear" w:color="auto" w:fill="CFF0FC"/>
          </w:tcPr>
          <w:p>
            <w:pPr>
              <w:jc w:val="right"/>
              <w:ind w:right="63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(396 )</w:t>
            </w:r>
          </w:p>
        </w:tc>
      </w:tr>
      <w:tr>
        <w:trPr>
          <w:trHeight w:val="216"/>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2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5,430</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4,060</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100" w:type="dxa"/>
            <w:vAlign w:val="bottom"/>
            <w:shd w:val="clear" w:color="auto" w:fill="CFF0FC"/>
          </w:tcPr>
          <w:p>
            <w:pPr>
              <w:spacing w:after="0"/>
              <w:rPr>
                <w:sz w:val="18"/>
                <w:szCs w:val="18"/>
                <w:color w:val="auto"/>
              </w:rPr>
            </w:pPr>
          </w:p>
        </w:tc>
      </w:tr>
      <w:tr>
        <w:trPr>
          <w:trHeight w:val="216"/>
        </w:trPr>
        <w:tc>
          <w:tcPr>
            <w:tcW w:w="6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(25 )</w:t>
            </w:r>
          </w:p>
        </w:tc>
      </w:tr>
      <w:tr>
        <w:trPr>
          <w:trHeight w:val="210"/>
        </w:trPr>
        <w:tc>
          <w:tcPr>
            <w:tcW w:w="65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20" w:type="dxa"/>
            <w:vAlign w:val="bottom"/>
            <w:tcBorders>
              <w:top w:val="single" w:sz="8" w:color="auto"/>
              <w:bottom w:val="single" w:sz="8" w:color="auto"/>
            </w:tcBorders>
            <w:shd w:val="clear" w:color="auto" w:fill="CFF0FC"/>
          </w:tcPr>
          <w:p>
            <w:pPr>
              <w:spacing w:after="0"/>
              <w:rPr>
                <w:sz w:val="18"/>
                <w:szCs w:val="18"/>
                <w:color w:val="auto"/>
              </w:rPr>
            </w:pP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8,221</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6,876</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8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4"/>
              </w:rPr>
              <w:t>(7,837 )</w:t>
            </w:r>
          </w:p>
        </w:tc>
        <w:tc>
          <w:tcPr>
            <w:tcW w:w="20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(6,096 )</w:t>
            </w:r>
          </w:p>
        </w:tc>
        <w:tc>
          <w:tcPr>
            <w:tcW w:w="12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(1,741 )</w:t>
            </w:r>
          </w:p>
        </w:tc>
      </w:tr>
      <w:tr>
        <w:trPr>
          <w:trHeight w:val="216"/>
        </w:trPr>
        <w:tc>
          <w:tcPr>
            <w:tcW w:w="6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82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820" w:type="dxa"/>
            <w:vAlign w:val="bottom"/>
          </w:tcPr>
          <w:p>
            <w:pPr>
              <w:jc w:val="right"/>
              <w:ind w:right="635"/>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4"/>
              </w:rPr>
              <w:t>(7,813 )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(6,095 )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(1,718 )</w:t>
            </w:r>
          </w:p>
        </w:tc>
      </w:tr>
      <w:tr>
        <w:trPr>
          <w:trHeight w:val="20"/>
        </w:trPr>
        <w:tc>
          <w:tcPr>
            <w:tcW w:w="65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-453390</wp:posOffset>
            </wp:positionV>
            <wp:extent cx="7747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-453390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-170815</wp:posOffset>
            </wp:positionV>
            <wp:extent cx="7747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-170815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54" w:lineRule="exact"/>
        <w:rPr>
          <w:sz w:val="20"/>
          <w:szCs w:val="20"/>
          <w:color w:val="auto"/>
        </w:rPr>
      </w:pPr>
    </w:p>
    <w:p>
      <w:pPr>
        <w:jc w:val="both"/>
        <w:ind w:right="20" w:firstLine="509"/>
        <w:spacing w:after="0" w:line="268" w:lineRule="auto"/>
        <w:rPr>
          <w:sz w:val="20"/>
          <w:szCs w:val="20"/>
          <w:color w:val="auto"/>
        </w:rPr>
      </w:pPr>
      <w:r>
        <w:rPr>
          <w:rFonts w:ascii="Times New Roman" w:cs="Times New Roman" w:eastAsia="Times New Roman" w:hAnsi="Times New Roman"/>
          <w:sz w:val="18"/>
          <w:szCs w:val="18"/>
          <w:i w:val="1"/>
          <w:iCs w:val="1"/>
          <w:color w:val="auto"/>
        </w:rPr>
        <w:t>License and other revenue</w:t>
      </w:r>
      <w:r>
        <w:rPr>
          <w:rFonts w:ascii="Times New Roman" w:cs="Times New Roman" w:eastAsia="Times New Roman" w:hAnsi="Times New Roman"/>
          <w:sz w:val="18"/>
          <w:szCs w:val="18"/>
          <w:color w:val="auto"/>
        </w:rPr>
        <w:t>. In the three months ended June 30, 2022 and 2021, we recognized $0.4 million and $0.8 million, respectively, of revenue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with our license agreements.</w:t>
      </w:r>
    </w:p>
    <w:p>
      <w:pPr>
        <w:spacing w:after="0" w:line="51" w:lineRule="exact"/>
        <w:rPr>
          <w:sz w:val="20"/>
          <w:szCs w:val="20"/>
          <w:color w:val="auto"/>
        </w:rPr>
      </w:pPr>
    </w:p>
    <w:p>
      <w:pPr>
        <w:ind w:right="280" w:firstLine="509"/>
        <w:spacing w:after="0" w:line="259" w:lineRule="auto"/>
        <w:rPr>
          <w:sz w:val="20"/>
          <w:szCs w:val="20"/>
          <w:color w:val="auto"/>
        </w:rPr>
      </w:pPr>
      <w:r>
        <w:rPr>
          <w:rFonts w:ascii="Times New Roman" w:cs="Times New Roman" w:eastAsia="Times New Roman" w:hAnsi="Times New Roman"/>
          <w:sz w:val="17"/>
          <w:szCs w:val="17"/>
          <w:i w:val="1"/>
          <w:iCs w:val="1"/>
          <w:color w:val="auto"/>
        </w:rPr>
        <w:t>Research and development</w:t>
      </w:r>
      <w:r>
        <w:rPr>
          <w:rFonts w:ascii="Times New Roman" w:cs="Times New Roman" w:eastAsia="Times New Roman" w:hAnsi="Times New Roman"/>
          <w:sz w:val="17"/>
          <w:szCs w:val="17"/>
          <w:color w:val="auto"/>
        </w:rPr>
        <w:t>. Research and development expense increased by $1.4 million, from $4.1 million for the three months ended June 30,</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2021 to $5.4 million for the three months ended June 30, 2022. This was primarily due to an increase of costs of $0.9 million for the CLS-AX program, including costs for OASIS, a Phase 1/2a clinical trial of CLS-AX and a $0.5 million increase in costs of manufacturing the SCS Microinjector. This is partially offset by a $0.3 million decrease in costs related to the uveitis program as it was approved for commercial sales by the FDA in October 2021.</w:t>
      </w:r>
    </w:p>
    <w:p>
      <w:pPr>
        <w:spacing w:after="0" w:line="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General and administrative expense was $2.8 million for the three months ended June 30, 2022 and 2021.</w:t>
      </w:r>
    </w:p>
    <w:p>
      <w:pPr>
        <w:spacing w:after="0" w:line="104" w:lineRule="exact"/>
        <w:rPr>
          <w:sz w:val="20"/>
          <w:szCs w:val="20"/>
          <w:color w:val="auto"/>
        </w:rPr>
      </w:pPr>
    </w:p>
    <w:p>
      <w:pPr>
        <w:ind w:right="80" w:firstLine="509"/>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Other income. </w:t>
      </w:r>
      <w:r>
        <w:rPr>
          <w:rFonts w:ascii="Times New Roman" w:cs="Times New Roman" w:eastAsia="Times New Roman" w:hAnsi="Times New Roman"/>
          <w:sz w:val="18"/>
          <w:szCs w:val="18"/>
          <w:color w:val="auto"/>
        </w:rPr>
        <w:t>Other income for the three months ended June 30, 2022 was comprised of interest income from cash and cash equivalents.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for the three months ended June 30, 2021 was primarily comprised of the gain on the extinguishment of debt from the forgiveness of the PPP Loan and accrued interest.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Six Months Ended June 30, 2022 and 2021</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for the six months ended June 30, 2022 and 2021.</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5"/>
          </w:tcPr>
          <w:p>
            <w:pPr>
              <w:jc w:val="right"/>
              <w:ind w:right="106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65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1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Period-to-Period</w:t>
            </w:r>
          </w:p>
        </w:tc>
      </w:tr>
      <w:tr>
        <w:trPr>
          <w:trHeight w:val="196"/>
        </w:trPr>
        <w:tc>
          <w:tcPr>
            <w:tcW w:w="6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2021</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196"/>
        </w:trPr>
        <w:tc>
          <w:tcPr>
            <w:tcW w:w="654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License and other revenue</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(83 )</w:t>
            </w:r>
          </w:p>
        </w:tc>
      </w:tr>
      <w:tr>
        <w:trPr>
          <w:trHeight w:val="216"/>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9,966</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9,550</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shd w:val="clear" w:color="auto" w:fill="CFF0FC"/>
          </w:tcPr>
          <w:p>
            <w:pPr>
              <w:spacing w:after="0"/>
              <w:rPr>
                <w:sz w:val="18"/>
                <w:szCs w:val="18"/>
                <w:color w:val="auto"/>
              </w:rPr>
            </w:pPr>
          </w:p>
        </w:tc>
      </w:tr>
      <w:tr>
        <w:trPr>
          <w:trHeight w:val="216"/>
        </w:trPr>
        <w:tc>
          <w:tcPr>
            <w:tcW w:w="6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6,248</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5,709</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tcPr>
          <w:p>
            <w:pPr>
              <w:spacing w:after="0"/>
              <w:rPr>
                <w:sz w:val="18"/>
                <w:szCs w:val="18"/>
                <w:color w:val="auto"/>
              </w:rPr>
            </w:pPr>
          </w:p>
        </w:tc>
      </w:tr>
      <w:tr>
        <w:trPr>
          <w:trHeight w:val="209"/>
        </w:trPr>
        <w:tc>
          <w:tcPr>
            <w:tcW w:w="65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16,214</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15,259</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(15,483 )</w:t>
            </w:r>
          </w:p>
        </w:tc>
        <w:tc>
          <w:tcPr>
            <w:tcW w:w="20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(14,445 )</w:t>
            </w:r>
          </w:p>
        </w:tc>
        <w:tc>
          <w:tcPr>
            <w:tcW w:w="12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(1,038 )</w:t>
            </w:r>
          </w:p>
        </w:tc>
      </w:tr>
      <w:tr>
        <w:trPr>
          <w:trHeight w:val="216"/>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(973 )</w:t>
            </w:r>
          </w:p>
        </w:tc>
      </w:tr>
      <w:tr>
        <w:trPr>
          <w:trHeight w:val="20"/>
        </w:trPr>
        <w:tc>
          <w:tcPr>
            <w:tcW w:w="65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(15,457 )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(13,446 )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(2,011 )</w:t>
            </w:r>
          </w:p>
        </w:tc>
      </w:tr>
      <w:tr>
        <w:trPr>
          <w:trHeight w:val="20"/>
        </w:trPr>
        <w:tc>
          <w:tcPr>
            <w:tcW w:w="65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-454025</wp:posOffset>
            </wp:positionV>
            <wp:extent cx="7747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-454025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-454025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-170815</wp:posOffset>
            </wp:positionV>
            <wp:extent cx="7747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-170815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54" w:lineRule="exact"/>
        <w:rPr>
          <w:sz w:val="20"/>
          <w:szCs w:val="20"/>
          <w:color w:val="auto"/>
        </w:rPr>
      </w:pPr>
    </w:p>
    <w:p>
      <w:pPr>
        <w:ind w:right="160"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License and other revenue</w:t>
      </w:r>
      <w:r>
        <w:rPr>
          <w:rFonts w:ascii="Times New Roman" w:cs="Times New Roman" w:eastAsia="Times New Roman" w:hAnsi="Times New Roman"/>
          <w:sz w:val="18"/>
          <w:szCs w:val="18"/>
          <w:color w:val="auto"/>
        </w:rPr>
        <w:t>. In the six months ended June 30, 2022 and 2021, we recognized $0.7 million and $0.8 million, respectively, of revenue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with our license agreements.</w:t>
      </w:r>
    </w:p>
    <w:p>
      <w:pPr>
        <w:spacing w:after="0" w:line="63" w:lineRule="exact"/>
        <w:rPr>
          <w:sz w:val="20"/>
          <w:szCs w:val="20"/>
          <w:color w:val="auto"/>
        </w:rPr>
      </w:pPr>
    </w:p>
    <w:p>
      <w:pPr>
        <w:ind w:right="20" w:firstLine="509"/>
        <w:spacing w:after="0" w:line="239" w:lineRule="auto"/>
        <w:rPr>
          <w:sz w:val="20"/>
          <w:szCs w:val="20"/>
          <w:color w:val="auto"/>
        </w:rPr>
      </w:pPr>
      <w:r>
        <w:rPr>
          <w:rFonts w:ascii="Times New Roman" w:cs="Times New Roman" w:eastAsia="Times New Roman" w:hAnsi="Times New Roman"/>
          <w:sz w:val="18"/>
          <w:szCs w:val="18"/>
          <w:i w:val="1"/>
          <w:iCs w:val="1"/>
          <w:color w:val="auto"/>
        </w:rPr>
        <w:t>Research and development</w:t>
      </w:r>
      <w:r>
        <w:rPr>
          <w:rFonts w:ascii="Times New Roman" w:cs="Times New Roman" w:eastAsia="Times New Roman" w:hAnsi="Times New Roman"/>
          <w:sz w:val="18"/>
          <w:szCs w:val="18"/>
          <w:color w:val="auto"/>
        </w:rPr>
        <w:t>. Research and development expense increased by $0.4 million, from $9.6 million for the six months ended June 30,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$10.0 million for the six months ended June 30, 2022. The increase is primarily due to a $0.7 million increase in the CLS-AX program, including costs for OASIS, a Phase 1/2a clinical trial of CLS-AX, a $0.6 million increase in costs of manufacturing the SCS Microinjector, a $0.2 million increase in the CLS-301 program and a $0.3 million increase in employee related costs due to an increase in headcount. This increase was offset by a $1.7 million decrease in costs related to the uveitis program as it was approved for commercial sales by the FDA in October 2021.</w:t>
      </w:r>
    </w:p>
    <w:p>
      <w:pPr>
        <w:spacing w:after="0" w:line="90" w:lineRule="exact"/>
        <w:rPr>
          <w:sz w:val="20"/>
          <w:szCs w:val="20"/>
          <w:color w:val="auto"/>
        </w:rPr>
      </w:pPr>
    </w:p>
    <w:p>
      <w:pPr>
        <w:ind w:right="40" w:firstLine="509"/>
        <w:spacing w:after="0" w:line="251" w:lineRule="auto"/>
        <w:rPr>
          <w:sz w:val="20"/>
          <w:szCs w:val="20"/>
          <w:color w:val="auto"/>
        </w:rPr>
      </w:pP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General and administrative expenses increased by $0.5 million, from $5.7 million for the six months ended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2021 to $6.2 million for the six months ended June 30, 2022. This was primarily attributable to a $0.1 million increase in employee related costs and a $0.2 million increase in patent costs.</w:t>
      </w:r>
    </w:p>
    <w:p>
      <w:pPr>
        <w:spacing w:after="0" w:line="80" w:lineRule="exact"/>
        <w:rPr>
          <w:sz w:val="20"/>
          <w:szCs w:val="20"/>
          <w:color w:val="auto"/>
        </w:rPr>
      </w:pPr>
    </w:p>
    <w:p>
      <w:pPr>
        <w:ind w:right="240" w:firstLine="509"/>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Other income. </w:t>
      </w:r>
      <w:r>
        <w:rPr>
          <w:rFonts w:ascii="Times New Roman" w:cs="Times New Roman" w:eastAsia="Times New Roman" w:hAnsi="Times New Roman"/>
          <w:sz w:val="18"/>
          <w:szCs w:val="18"/>
          <w:color w:val="auto"/>
        </w:rPr>
        <w:t>Other income for the six months ended June 30, 2022 was comprised of interest income from cash and cash equivalents.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for the six months ended June 30, 2021 was primarily comprised of the gain on the extinguishment of debt from the forgiveness of the PPP Loan and accrued interest.</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08" w:lineRule="exact"/>
        <w:rPr>
          <w:sz w:val="20"/>
          <w:szCs w:val="20"/>
          <w:color w:val="auto"/>
        </w:rPr>
      </w:pPr>
    </w:p>
    <w:p>
      <w:pPr>
        <w:ind w:right="180" w:firstLine="509"/>
        <w:spacing w:after="0" w:line="250" w:lineRule="auto"/>
        <w:rPr>
          <w:sz w:val="20"/>
          <w:szCs w:val="20"/>
          <w:color w:val="auto"/>
        </w:rPr>
      </w:pPr>
      <w:r>
        <w:rPr>
          <w:rFonts w:ascii="Times New Roman" w:cs="Times New Roman" w:eastAsia="Times New Roman" w:hAnsi="Times New Roman"/>
          <w:sz w:val="18"/>
          <w:szCs w:val="18"/>
          <w:color w:val="auto"/>
        </w:rPr>
        <w:t>We have funded our operations primarily through the proceeds of public offerings of our common stock, sales of convertible preferred stock, the issuance of long-term debt and license agreements. As of June 30, 2022, we had cash and cash equivalents of $29.0 million. We invest any cash in excess of our immediate requirements primarily with a view to liquidity and capital preservation. As of June 30, 2022, our funds were held in cash and money market funds.</w:t>
      </w:r>
    </w:p>
    <w:p>
      <w:pPr>
        <w:spacing w:after="0" w:line="69" w:lineRule="exact"/>
        <w:rPr>
          <w:sz w:val="20"/>
          <w:szCs w:val="20"/>
          <w:color w:val="auto"/>
        </w:rPr>
      </w:pPr>
    </w:p>
    <w:p>
      <w:pPr>
        <w:ind w:right="40" w:firstLine="509"/>
        <w:spacing w:after="0" w:line="243" w:lineRule="auto"/>
        <w:rPr>
          <w:sz w:val="20"/>
          <w:szCs w:val="20"/>
          <w:color w:val="auto"/>
        </w:rPr>
      </w:pPr>
      <w:r>
        <w:rPr>
          <w:rFonts w:ascii="Times New Roman" w:cs="Times New Roman" w:eastAsia="Times New Roman" w:hAnsi="Times New Roman"/>
          <w:sz w:val="18"/>
          <w:szCs w:val="18"/>
          <w:color w:val="auto"/>
        </w:rPr>
        <w:t>On August 8, 2022, or the Closing Date, we, through our wholly-owned subsidiary Clearside Royalty LLC, a Delaware limited liability company, or Royalty Sub, entered into a Purchase and Sale Agreement with entities managed by HealthCare Royalty Management, LLC, or HCR, pursuant to which Royalty Sub sold to HCR certain of its rights to receive royalty and milestone payments payable to Royalty Sub under the Arctic Vision License Agreement, Bausch License Agreement, that certain License Agreement, effective as of July 3, 2019, by and between us and Aura Biosciences, Inc., that certain Option and License Agreement, dated as of August 29, 2019, by and between REGENXBIO Inc. and us, and any and all out-license agreements following the Closing Date for, or related to XIPERE or the SCS Microinjector technology to be used in connection with compounds or products of any third parties delivered, in whole or in part, by means of the SCS Microinjector technology, excluding, for the avoidance of doubt, any in-licensed or internally developed therapies following the Closing Date, in exchange for up to $65 million. Under the terms of the Purchase and Sale Agreement, Royalty Sub will receive an initial payment of $32.5 million, less certain expenses, within 15 business days of the Closing Date. An additional $12.5 million will be placed in an escrow account to be released to Royalty Sub upon attainment of a pre-specified XIPERE sales milestone achieved no later than March 31, 2024. The terms of the Purchase and Sale Agreement also provide for an additional $20 million milestone payment to Royalty Sub upon attainment of a second pre-specified sales milestone related to 2024 XIPERE sales.</w:t>
      </w:r>
    </w:p>
    <w:p>
      <w:pPr>
        <w:spacing w:after="0" w:line="77"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auto"/>
        </w:rPr>
        <w:t>In April 2020, we entered into a loan agreement with Silicon Valley Bank under the terms of which Silicon Valley bank loaned us $1.0 million, or the PPP Loan, pursuant to the Paycheck Protection Program, or PPP, under the Coronavirus Aid, Relief, and Economic Security Act, or CARES Act. In accordance with the requirements of the CARES Act, we used the proceeds primarily for payroll costs and other eligible expenses. The CARES Act and the PPP provide a mechanism for forgiveness of up to the full amount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21" w:name="page22"/>
    <w:bookmarkEnd w:id="21"/>
    <w:p>
      <w:pPr>
        <w:ind w:right="100"/>
        <w:spacing w:after="0" w:line="282" w:lineRule="auto"/>
        <w:rPr>
          <w:sz w:val="20"/>
          <w:szCs w:val="20"/>
          <w:color w:val="auto"/>
        </w:rPr>
      </w:pPr>
      <w:r>
        <w:rPr>
          <w:rFonts w:ascii="Times New Roman" w:cs="Times New Roman" w:eastAsia="Times New Roman" w:hAnsi="Times New Roman"/>
          <w:sz w:val="18"/>
          <w:szCs w:val="18"/>
          <w:color w:val="auto"/>
        </w:rPr>
        <w:t>borrowed. On January 11, 2021, we received notification from Silicon Valley Bank that the PPP loan was forgiven in full, including approximately $7,000 of accrued interest.</w:t>
      </w:r>
    </w:p>
    <w:p>
      <w:pPr>
        <w:spacing w:after="0" w:line="40" w:lineRule="exact"/>
        <w:rPr>
          <w:sz w:val="20"/>
          <w:szCs w:val="20"/>
          <w:color w:val="auto"/>
        </w:rPr>
      </w:pPr>
    </w:p>
    <w:p>
      <w:pPr>
        <w:ind w:right="240" w:firstLine="509"/>
        <w:spacing w:after="0" w:line="243" w:lineRule="auto"/>
        <w:rPr>
          <w:sz w:val="20"/>
          <w:szCs w:val="20"/>
          <w:color w:val="auto"/>
        </w:rPr>
      </w:pPr>
      <w:r>
        <w:rPr>
          <w:rFonts w:ascii="Times New Roman" w:cs="Times New Roman" w:eastAsia="Times New Roman" w:hAnsi="Times New Roman"/>
          <w:sz w:val="18"/>
          <w:szCs w:val="18"/>
          <w:color w:val="auto"/>
        </w:rPr>
        <w:t>In March 2020, Arctic Vision paid us an upfront payment of $4.0 million. In December 2021, we received a milestone payment of $4.0 million following receipt of FDA approval of XIPERE in the United States. In addition, Arctic Vision agreed to pay us up to a total of $22.5 million in development and sales milestone payments. Further, during the applicable royalty term, Arctic Vision agreed to pay us tiered royalties of 10-12% of net sales in the Arctic Territory, subject to customary reductions. In August 2021, we entered into an amendment to the Arctic Vision License Agreement to expand the territories covered by the license to include India and the ASEAN Countries (Brunei, Cambodia, Indonesia, Laos, Malaysia, Myanmar, the Philippines, Singapore, Thailand, and Vietnam). In September 2021, we entered into a second amendment to the Arctic Vision License Agreement to expand the Arctic Territory to include Australia and New Zealand. We received an aggregate of $3.0 million in consideration for the expansion of the Arctic Territory.</w:t>
      </w:r>
    </w:p>
    <w:p>
      <w:pPr>
        <w:spacing w:after="0" w:line="78" w:lineRule="exact"/>
        <w:rPr>
          <w:sz w:val="20"/>
          <w:szCs w:val="20"/>
          <w:color w:val="auto"/>
        </w:rPr>
      </w:pPr>
    </w:p>
    <w:p>
      <w:pPr>
        <w:ind w:right="200" w:firstLine="509"/>
        <w:spacing w:after="0" w:line="250" w:lineRule="auto"/>
        <w:rPr>
          <w:sz w:val="20"/>
          <w:szCs w:val="20"/>
          <w:color w:val="auto"/>
        </w:rPr>
      </w:pPr>
      <w:r>
        <w:rPr>
          <w:rFonts w:ascii="Times New Roman" w:cs="Times New Roman" w:eastAsia="Times New Roman" w:hAnsi="Times New Roman"/>
          <w:sz w:val="18"/>
          <w:szCs w:val="18"/>
          <w:color w:val="auto"/>
        </w:rPr>
        <w:t>In October 2019, we announced that Bausch acquired an exclusive license for the commercialization and development of XIPERE in the United States and Canada. On October 25, 2021, we announced that the FDA approved XIPERE for the treatment of macular edema associated with uveitis. We received $5.0 million from Bausch in November 2021 relating to the FDA approval of XIPERE, and in January 2022, we received an additional $10.0 million upon completion of pre-launch activities for XIPERE. Bausch launched XIPERE in the United States in the first quarter of 2022.</w:t>
      </w:r>
    </w:p>
    <w:p>
      <w:pPr>
        <w:spacing w:after="0" w:line="83" w:lineRule="exact"/>
        <w:rPr>
          <w:sz w:val="20"/>
          <w:szCs w:val="20"/>
          <w:color w:val="auto"/>
        </w:rPr>
      </w:pPr>
    </w:p>
    <w:p>
      <w:pPr>
        <w:ind w:right="260" w:firstLine="509"/>
        <w:spacing w:after="0" w:line="272" w:lineRule="auto"/>
        <w:rPr>
          <w:sz w:val="20"/>
          <w:szCs w:val="20"/>
          <w:color w:val="auto"/>
        </w:rPr>
      </w:pPr>
      <w:r>
        <w:rPr>
          <w:rFonts w:ascii="Times New Roman" w:cs="Times New Roman" w:eastAsia="Times New Roman" w:hAnsi="Times New Roman"/>
          <w:sz w:val="17"/>
          <w:szCs w:val="17"/>
          <w:color w:val="auto"/>
        </w:rPr>
        <w:t>We have entered into an at-the-market sales agreement, or the ATM agreement, with Cowen and Company LLC, or Cowen, under which we may offer and sell, from time to time at our sole discretion, shares of our common stock having an aggregate offering price of up to $50.0 million through Cowen acting as our sales agent. As of June 30, 2022, there was $14.4 million available for sales of our common stock under the ATM agreement.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08" w:lineRule="exact"/>
        <w:rPr>
          <w:sz w:val="20"/>
          <w:szCs w:val="20"/>
          <w:color w:val="auto"/>
        </w:rPr>
      </w:pPr>
    </w:p>
    <w:p>
      <w:pPr>
        <w:jc w:val="both"/>
        <w:ind w:right="80" w:firstLine="509"/>
        <w:spacing w:after="0" w:line="258" w:lineRule="auto"/>
        <w:rPr>
          <w:sz w:val="20"/>
          <w:szCs w:val="20"/>
          <w:color w:val="auto"/>
        </w:rPr>
      </w:pPr>
      <w:r>
        <w:rPr>
          <w:rFonts w:ascii="Times New Roman" w:cs="Times New Roman" w:eastAsia="Times New Roman" w:hAnsi="Times New Roman"/>
          <w:sz w:val="18"/>
          <w:szCs w:val="18"/>
          <w:color w:val="auto"/>
        </w:rPr>
        <w:t>Our primary uses of capital are, and we expect will continue to be, compensation and related expenses, research and development costs to build our product candidate pipeline, legal and other regulatory expenses and general overhead costs. In addition, we have certain contractual obligations for future payments. Refer to Footnote 9 to our financial statements included in this Quarterly Report on Form 10-Q.</w:t>
      </w:r>
    </w:p>
    <w:p>
      <w:pPr>
        <w:spacing w:after="0" w:line="61" w:lineRule="exact"/>
        <w:rPr>
          <w:sz w:val="20"/>
          <w:szCs w:val="20"/>
          <w:color w:val="auto"/>
        </w:rPr>
      </w:pPr>
    </w:p>
    <w:p>
      <w:pPr>
        <w:ind w:right="80" w:firstLine="509"/>
        <w:spacing w:after="0" w:line="250" w:lineRule="auto"/>
        <w:rPr>
          <w:sz w:val="20"/>
          <w:szCs w:val="20"/>
          <w:color w:val="auto"/>
        </w:rPr>
      </w:pPr>
      <w:r>
        <w:rPr>
          <w:rFonts w:ascii="Times New Roman" w:cs="Times New Roman" w:eastAsia="Times New Roman" w:hAnsi="Times New Roman"/>
          <w:sz w:val="18"/>
          <w:szCs w:val="18"/>
          <w:color w:val="auto"/>
        </w:rPr>
        <w:t>The successful development of our product candidates is highly uncertain. As such, at this time, we cannot reasonably estimate or know the nature, timing and estimated costs of the efforts that will be necessary to complete the development of CLS-AX or any future product candidates. We are also unable to predict when, if ever, material net cash inflows will commence from product sales. This is due to the numerous risks and uncertainties associated with developing drugs, including the uncertainty of:</w:t>
      </w:r>
    </w:p>
    <w:p>
      <w:pPr>
        <w:spacing w:after="0" w:line="69" w:lineRule="exact"/>
        <w:rPr>
          <w:sz w:val="20"/>
          <w:szCs w:val="20"/>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in, and completion of, clinical trials;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approvals from applicable regulatory authorities;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commercial manufacturing capabilities or making arrangements with third-party manufacturers;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and regulatory exclusivity for our product candidates; and</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the products, if and when approved, whether alone or in collaboration with others.</w:t>
      </w:r>
    </w:p>
    <w:p>
      <w:pPr>
        <w:spacing w:after="0" w:line="117"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any of our product candidates would significantly change the costs and timing associated with the development of that candidate.</w:t>
      </w:r>
    </w:p>
    <w:p>
      <w:pPr>
        <w:spacing w:after="0" w:line="54"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we expect to finance our cash needs through a combination of equity offerings, debt financings and potential collaboration, license and development agreements. Other than potential payments we may receive under our license and other agreements, we do not currently have any committed external source of funds, though, as described above, we may also be able to sell our common stock under the ATM agreement with Cowen subject to the terms of that agreement and depending on market conditions. We expect that we will require additional capital to fund our ongoing operations. Additional funds may not be available to us on a timely basis, on commercially reasonable terms, or at all. Our ability to raise additional capital may be adversely impacted by potential worsening global economic conditions and the recent disruptions to, and volatility in, the credit and financial markets in the United States and worldwide resulting from the ongoing COVID-19 pandemic, the Russian Federation invasion of Ukraine and macroeconomic conditions such as inflation.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94" w:lineRule="exact"/>
        <w:rPr>
          <w:sz w:val="20"/>
          <w:szCs w:val="20"/>
          <w:color w:val="auto"/>
        </w:rPr>
      </w:pPr>
    </w:p>
    <w:p>
      <w:pPr>
        <w:ind w:right="120" w:firstLine="509"/>
        <w:spacing w:after="0" w:line="247" w:lineRule="auto"/>
        <w:rPr>
          <w:sz w:val="20"/>
          <w:szCs w:val="20"/>
          <w:color w:val="auto"/>
        </w:rPr>
      </w:pPr>
      <w:r>
        <w:rPr>
          <w:rFonts w:ascii="Times New Roman" w:cs="Times New Roman" w:eastAsia="Times New Roman" w:hAnsi="Times New Roman"/>
          <w:sz w:val="18"/>
          <w:szCs w:val="18"/>
          <w:color w:val="auto"/>
        </w:rPr>
        <w:t>If we raise funds through additional collaborations, strategic alliances or marketing, distribution or licensing arrangements with third parties, including any future collaboration or licensing arrangement for XIPERE outside of the territories in which we have previously licensed or granted options to license XIPERE, we may be required to relinquish additional rights to our technologies,</w:t>
      </w: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22" w:name="page23"/>
    <w:bookmarkEnd w:id="22"/>
    <w:p>
      <w:pPr>
        <w:ind w:right="300"/>
        <w:spacing w:after="0" w:line="280" w:lineRule="auto"/>
        <w:rPr>
          <w:sz w:val="20"/>
          <w:szCs w:val="20"/>
          <w:color w:val="auto"/>
        </w:rPr>
      </w:pPr>
      <w:r>
        <w:rPr>
          <w:rFonts w:ascii="Times New Roman" w:cs="Times New Roman" w:eastAsia="Times New Roman" w:hAnsi="Times New Roman"/>
          <w:sz w:val="17"/>
          <w:szCs w:val="17"/>
          <w:color w:val="auto"/>
        </w:rPr>
        <w:t>future revenue streams, research programs or product candidates or to grant licenses on terms that may not be favorable to us. If we are unable to raise additional funds through equity or debt financings when needed, we may be required to delay, limit, reduce or terminate our drug development or future commercialization efforts or grant rights to develop and market product candidates that we would otherwise prefer to develop and market ourselves.</w:t>
      </w:r>
    </w:p>
    <w:p>
      <w:pPr>
        <w:spacing w:after="0" w:line="45" w:lineRule="exact"/>
        <w:rPr>
          <w:sz w:val="20"/>
          <w:szCs w:val="20"/>
          <w:color w:val="auto"/>
        </w:rPr>
      </w:pPr>
    </w:p>
    <w:p>
      <w:pPr>
        <w:jc w:val="both"/>
        <w:ind w:right="620" w:firstLine="509"/>
        <w:spacing w:after="0" w:line="258" w:lineRule="auto"/>
        <w:rPr>
          <w:sz w:val="20"/>
          <w:szCs w:val="20"/>
          <w:color w:val="auto"/>
        </w:rPr>
      </w:pPr>
      <w:r>
        <w:rPr>
          <w:rFonts w:ascii="Times New Roman" w:cs="Times New Roman" w:eastAsia="Times New Roman" w:hAnsi="Times New Roman"/>
          <w:sz w:val="18"/>
          <w:szCs w:val="18"/>
          <w:color w:val="auto"/>
        </w:rPr>
        <w:t>We also incur costs as a public company, including costs and expenses for fees to members of our board of directors, accounting and finance personnel costs, directors and officers insurance premiums, audit and legal fees, investor relations fees and expenses for compliance with reporting requirements under the Exchange Act and rules implemented by the SEC and Nasdaq.</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Outlook</w:t>
      </w:r>
    </w:p>
    <w:p>
      <w:pPr>
        <w:spacing w:after="0" w:line="121" w:lineRule="exact"/>
        <w:rPr>
          <w:sz w:val="20"/>
          <w:szCs w:val="20"/>
          <w:color w:val="auto"/>
        </w:rPr>
      </w:pPr>
    </w:p>
    <w:p>
      <w:pPr>
        <w:ind w:right="60" w:firstLine="509"/>
        <w:spacing w:after="0" w:line="246" w:lineRule="auto"/>
        <w:rPr>
          <w:sz w:val="20"/>
          <w:szCs w:val="20"/>
          <w:color w:val="auto"/>
        </w:rPr>
      </w:pPr>
      <w:r>
        <w:rPr>
          <w:rFonts w:ascii="Times New Roman" w:cs="Times New Roman" w:eastAsia="Times New Roman" w:hAnsi="Times New Roman"/>
          <w:sz w:val="18"/>
          <w:szCs w:val="18"/>
          <w:color w:val="auto"/>
        </w:rPr>
        <w:t>We have suffered recurring losses and negative cash flows from operations since inception and anticipate incurring additional losses until such time, if ever, that we can generate significant milestone payments and royalties from XIPERE and other licensing arrangements or revenues from other product candidates. We will need additional financing to fund our operations. Our plans primarily consist of raising additional capital, potentially in a combination of equity or debt financings, monetizing royalties, or restructurings, or potentially entering into additional collaborations, partnerships and other strategic arrangements.</w:t>
      </w:r>
    </w:p>
    <w:p>
      <w:pPr>
        <w:spacing w:after="0" w:line="73" w:lineRule="exact"/>
        <w:rPr>
          <w:sz w:val="20"/>
          <w:szCs w:val="20"/>
          <w:color w:val="auto"/>
        </w:rPr>
      </w:pPr>
    </w:p>
    <w:p>
      <w:pPr>
        <w:ind w:right="40" w:firstLine="509"/>
        <w:spacing w:after="0" w:line="246" w:lineRule="auto"/>
        <w:rPr>
          <w:sz w:val="20"/>
          <w:szCs w:val="20"/>
          <w:color w:val="auto"/>
        </w:rPr>
      </w:pPr>
      <w:r>
        <w:rPr>
          <w:rFonts w:ascii="Times New Roman" w:cs="Times New Roman" w:eastAsia="Times New Roman" w:hAnsi="Times New Roman"/>
          <w:sz w:val="18"/>
          <w:szCs w:val="18"/>
          <w:color w:val="auto"/>
        </w:rPr>
        <w:t xml:space="preserve">Based on our cash and cash equivalents as of the filing date, August 12, 2022, our current plans and forecasted expenses and assuming receipt of the $32.5 million initial payment we are entitled to under the Purchase and Sale Agreement, we expect that we will be able to fund our planned operating expenses and capital expenditure requirements into 2024 (see Note 13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xml:space="preserve"> in the notes to the financial statements). We have based this estimate on assumptions that may prove to be wrong, and we could exhaust our capital resources sooner than we expect. We will require additional capital in order to complete clinical development of CLS-AX.</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summary of the net cash flows provided by (used in) our operating, investing and financing activities (in thousands):</w:t>
      </w:r>
    </w:p>
    <w:p>
      <w:pPr>
        <w:spacing w:after="0" w:line="106"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6"/>
          <w:szCs w:val="16"/>
          <w:b w:val="1"/>
          <w:bCs w:val="1"/>
          <w:color w:val="auto"/>
        </w:rPr>
        <w:t>Six Months Ended</w:t>
      </w:r>
    </w:p>
    <w:p>
      <w:pPr>
        <w:spacing w:after="0" w:line="12"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6"/>
          <w:szCs w:val="16"/>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00" w:type="dxa"/>
            <w:vAlign w:val="bottom"/>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6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7"/>
                <w:szCs w:val="17"/>
                <w:color w:val="auto"/>
              </w:rPr>
            </w:pPr>
          </w:p>
        </w:tc>
      </w:tr>
      <w:tr>
        <w:trPr>
          <w:trHeight w:val="209"/>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10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activities</w:t>
            </w:r>
          </w:p>
        </w:tc>
        <w:tc>
          <w:tcPr>
            <w:tcW w:w="1020" w:type="dxa"/>
            <w:vAlign w:val="bottom"/>
          </w:tcPr>
          <w:p>
            <w:pPr>
              <w:jc w:val="right"/>
              <w:ind w:right="833"/>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(1,572 )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(12,509 )</w:t>
            </w:r>
          </w:p>
        </w:tc>
      </w:tr>
      <w:tr>
        <w:trPr>
          <w:trHeight w:val="21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Investing activities</w:t>
            </w:r>
          </w:p>
        </w:tc>
        <w:tc>
          <w:tcPr>
            <w:tcW w:w="10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Financing activities</w:t>
            </w:r>
          </w:p>
        </w:tc>
        <w:tc>
          <w:tcPr>
            <w:tcW w:w="10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21,536</w:t>
            </w:r>
          </w:p>
        </w:tc>
        <w:tc>
          <w:tcPr>
            <w:tcW w:w="100" w:type="dxa"/>
            <w:vAlign w:val="bottom"/>
          </w:tcPr>
          <w:p>
            <w:pPr>
              <w:spacing w:after="0"/>
              <w:rPr>
                <w:sz w:val="18"/>
                <w:szCs w:val="18"/>
                <w:color w:val="auto"/>
              </w:rPr>
            </w:pPr>
          </w:p>
        </w:tc>
      </w:tr>
      <w:tr>
        <w:trPr>
          <w:trHeight w:val="250"/>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1020" w:type="dxa"/>
            <w:vAlign w:val="bottom"/>
            <w:tcBorders>
              <w:bottom w:val="single" w:sz="8" w:color="auto"/>
            </w:tcBorders>
            <w:shd w:val="clear" w:color="auto" w:fill="CFF0FC"/>
          </w:tcPr>
          <w:p>
            <w:pPr>
              <w:jc w:val="right"/>
              <w:ind w:right="83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9,027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-8255</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right="60" w:firstLine="509"/>
        <w:spacing w:after="0" w:line="250" w:lineRule="auto"/>
        <w:rPr>
          <w:sz w:val="20"/>
          <w:szCs w:val="20"/>
          <w:color w:val="auto"/>
        </w:rPr>
      </w:pPr>
      <w:r>
        <w:rPr>
          <w:rFonts w:ascii="Times New Roman" w:cs="Times New Roman" w:eastAsia="Times New Roman" w:hAnsi="Times New Roman"/>
          <w:sz w:val="18"/>
          <w:szCs w:val="18"/>
          <w:color w:val="auto"/>
        </w:rPr>
        <w:t>During the six months ended June 30, 2022, our operating activities used net cash of $1.6 million and $12.5 million, respectively. The net cash used in the six months ended June 30, 2022 was primarily due to research and development expenses related to the preclinical and clinical programs and general and administrative expenses offset by the receipt of the $10.0 million milestone payment received from Bausch in connection with pre-launch activities for XIPERE. The net cash used in the six months ended June 30, 2021 was primarily attributable to higher research and development expenses related to the preclinical and clinical CLS-AX program.</w:t>
      </w:r>
    </w:p>
    <w:p>
      <w:pPr>
        <w:spacing w:after="0" w:line="69"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During the six months ended June 30, 2022 and 2021, our net cash provided by financing activities was $69,000 and $21.5 million, respectively. The cash provided by financing activities for the six months ended June 30, 2022 consisted of stock option exercises and the sale of common shares under an employee stock purchase plan. The cash provided by financing during the six months ended June 30, 2021 primarily consisted of $11.1 million of net proceeds from the sale of shares of our common stock in a registered direct offering and $3.2 million of net proceeds from the sale of shares of our common stock under the ATM agreement.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08"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required under this item.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08" w:lineRule="exact"/>
        <w:rPr>
          <w:sz w:val="20"/>
          <w:szCs w:val="20"/>
          <w:color w:val="auto"/>
        </w:rPr>
      </w:pPr>
    </w:p>
    <w:p>
      <w:pPr>
        <w:ind w:right="40" w:firstLine="509"/>
        <w:spacing w:after="0" w:line="247" w:lineRule="auto"/>
        <w:rPr>
          <w:sz w:val="20"/>
          <w:szCs w:val="20"/>
          <w:color w:val="auto"/>
        </w:rPr>
      </w:pPr>
      <w:r>
        <w:rPr>
          <w:rFonts w:ascii="Times New Roman" w:cs="Times New Roman" w:eastAsia="Times New Roman" w:hAnsi="Times New Roman"/>
          <w:sz w:val="18"/>
          <w:szCs w:val="18"/>
          <w:color w:val="auto"/>
        </w:rPr>
        <w:t>The term “disclosure controls and procedures,” as defined in Rules 13a-15(e) and 15d-15(e) under the Securities Exchange Act of 1934, as amended (the “Exchange Act”), refers to controls and procedures that are designed to ensure that information required to be disclosed by a company in the reports that it files or submits under the Exchange Act is recorded, processed, summarized and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3" w:name="page24"/>
    <w:bookmarkEnd w:id="23"/>
    <w:p>
      <w:pPr>
        <w:ind w:right="140"/>
        <w:spacing w:after="0" w:line="258" w:lineRule="auto"/>
        <w:rPr>
          <w:sz w:val="20"/>
          <w:szCs w:val="20"/>
          <w:color w:val="auto"/>
        </w:rPr>
      </w:pPr>
      <w:r>
        <w:rPr>
          <w:rFonts w:ascii="Times New Roman" w:cs="Times New Roman" w:eastAsia="Times New Roman" w:hAnsi="Times New Roman"/>
          <w:sz w:val="18"/>
          <w:szCs w:val="18"/>
          <w:color w:val="auto"/>
        </w:rPr>
        <w:t>reported, within the time periods specified in the SEC’s rules and forms. Disclosure controls and procedures include, without limitation, controls and procedures designed to ensure that such information is accumulated and communicated to a company’s management, including its principal executive and principal financial officers, as appropriate to allow timely decisions regarding required disclosure.</w:t>
      </w:r>
    </w:p>
    <w:p>
      <w:pPr>
        <w:spacing w:after="0" w:line="61"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control system, misstatements due to error or fraud may occur and not be detected.</w:t>
      </w:r>
    </w:p>
    <w:p>
      <w:pPr>
        <w:spacing w:after="0" w:line="73" w:lineRule="exact"/>
        <w:rPr>
          <w:sz w:val="20"/>
          <w:szCs w:val="20"/>
          <w:color w:val="auto"/>
        </w:rPr>
      </w:pPr>
    </w:p>
    <w:p>
      <w:pPr>
        <w:ind w:right="200" w:firstLine="509"/>
        <w:spacing w:after="0" w:line="250"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has evaluated the effectiveness of our disclosure controls and procedures as of the end of the period covered by this report. Based on that evaluation, our Chief Executive Officer and our Chief Financial Officer concluded that our disclosure controls and procedures were effective as of the end of the period covered by this report at the reasonable assurance level.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08"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during the quarter ended June 30, 2022 that has materially affected, or is reasonably likely to materially affect, our internal control over financial reporting. We have not experienced any material impact to our internal control over financial reporting.</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4" w:name="page25"/>
    <w:bookmarkEnd w:id="2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0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From time to time, we may be subject to litigation and claims arising in the ordinary course of business. We are not currently a party to any material legal proceedings and we are not aware of any pending or threatened legal proceeding against us that we believe could have a material adverse effect on our business, operating results, cash flows or financial condition.</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08" w:lineRule="exact"/>
        <w:rPr>
          <w:sz w:val="20"/>
          <w:szCs w:val="20"/>
          <w:color w:val="auto"/>
        </w:rPr>
      </w:pPr>
    </w:p>
    <w:p>
      <w:pPr>
        <w:ind w:right="60" w:firstLine="509"/>
        <w:spacing w:after="0" w:line="247" w:lineRule="auto"/>
        <w:rPr>
          <w:sz w:val="20"/>
          <w:szCs w:val="20"/>
          <w:color w:val="auto"/>
        </w:rPr>
      </w:pPr>
      <w:r>
        <w:rPr>
          <w:rFonts w:ascii="Times New Roman" w:cs="Times New Roman" w:eastAsia="Times New Roman" w:hAnsi="Times New Roman"/>
          <w:sz w:val="18"/>
          <w:szCs w:val="18"/>
          <w:color w:val="auto"/>
        </w:rPr>
        <w:t>Our business is subject to risks and events that, if they occur, could adversely affect our financial condition and results of operations and the trading price of our securities. These risks could be amplified by the COVID-19 pandemic and its potential impact on the global economy generally and our business and industry in particular. In addition to the other information set forth in this quarterly report on Form 10-Q, you should carefully consider the factors described below and in “Part I, Item 1A. Risk Factors” of our Annual Report on Form 10-K for the fiscal year ended December 31, 2021, filed with the Securities and Exchange Commission on March 11, 2022. Except as described below, there have been no material changes to the risk factors described in that report.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agreements with HCR contain various covenants and other provisions, which, if violated, could materially adversely affect our financial condition.</w:t>
      </w:r>
    </w:p>
    <w:p>
      <w:pPr>
        <w:spacing w:after="0" w:line="175" w:lineRule="exact"/>
        <w:rPr>
          <w:sz w:val="20"/>
          <w:szCs w:val="20"/>
          <w:color w:val="auto"/>
        </w:rPr>
      </w:pPr>
    </w:p>
    <w:p>
      <w:pPr>
        <w:ind w:right="60" w:firstLine="570"/>
        <w:spacing w:after="0" w:line="245" w:lineRule="auto"/>
        <w:rPr>
          <w:sz w:val="20"/>
          <w:szCs w:val="20"/>
          <w:color w:val="auto"/>
        </w:rPr>
      </w:pPr>
      <w:r>
        <w:rPr>
          <w:rFonts w:ascii="Times New Roman" w:cs="Times New Roman" w:eastAsia="Times New Roman" w:hAnsi="Times New Roman"/>
          <w:sz w:val="18"/>
          <w:szCs w:val="18"/>
          <w:color w:val="auto"/>
        </w:rPr>
        <w:t>On August 8, 2022, we, through Royalty Sub, entered into the Purchase and Sale Agreement, with HCR pursuant to which we sold our rights to royalty and milestone payments due to us from XIPERE and certain license agreements related to our SCS Microinjector, or the Royalties, subject to a cap of 2.5 times the total purchase price paid by HCR under the Purchase and Sale Agreement, which cap can be increased to 3.4 times under certain circumstances. Under the terms of the Purchase and Sale Agreement, Royalty Sub will receive an initial payment of $32.5 million, less certain expenses. An additional $12.5 million will be placed in an escrow account to be released to Royalty Sub upon attainment of a pre-specified XIPERE sales milestone achieved no later than March 31, 2024. The terms of the Purchase and Sale Agreement also provide for an additional $20 million milestone payment to Royalty Sub upon attainment of a second pre-specified sales milestone related to 2024 XIPERE sales. Under the Purchase and Sale Agreement, we are required to comply with various covenants, including obligations to take certain actions, such as actions with respect to license agreements to which we are party. In the event we violate certain covenants and other provisions, we may not receive sales milestones from HCR even if the applicable sales thresholds are met.</w:t>
      </w:r>
    </w:p>
    <w:p>
      <w:pPr>
        <w:spacing w:after="0" w:line="74" w:lineRule="exact"/>
        <w:rPr>
          <w:sz w:val="20"/>
          <w:szCs w:val="20"/>
          <w:color w:val="auto"/>
        </w:rPr>
      </w:pPr>
    </w:p>
    <w:p>
      <w:pPr>
        <w:ind w:right="40" w:firstLine="554"/>
        <w:spacing w:after="0" w:line="242" w:lineRule="auto"/>
        <w:rPr>
          <w:sz w:val="20"/>
          <w:szCs w:val="20"/>
          <w:color w:val="auto"/>
        </w:rPr>
      </w:pPr>
      <w:r>
        <w:rPr>
          <w:rFonts w:ascii="Times New Roman" w:cs="Times New Roman" w:eastAsia="Times New Roman" w:hAnsi="Times New Roman"/>
          <w:sz w:val="18"/>
          <w:szCs w:val="18"/>
          <w:color w:val="auto"/>
        </w:rPr>
        <w:t>In connection with the Purchase and Sale Agreement, we assigned the Arctic Vision License Agreement, Bausch License Agreement, Aura License Agreement, REGENXBIO License Agreement, our license agreement with Emory University and The Georgia Tech Research Corporation and related intellectual property rights to Royalty Sub, or collectively the Contributed Assets. We also entered into a Contribution and Servicing Agreement with Royalty Sub and a Pledge and Security Agreement with HCR. The Contribution and Servicing Agreement contains various representations and warranties, covenants, indemnification obligations and other provisions related to the contribution of the Royalties and the Contributed Assets and our maintenance and servicing obligations with respect to the Royalties and such Contributed Assets. The Pledge and Security Agreement contains various representations, warranties and covenants, and includes a limited recourse guaranty of Royalty Sub’s obligations under the Purchase and Sale Agreement which is secured by the pledge in favor of HCR all of the capital stock of Royalty Sub. HCR is entitled to foreclose on the capital stock of Royalty Sub following the occurrence of certain remedies events, including, without limitation, a change of control or bankruptcy of us or the our failure of to perform our obligations under the Contribution and Servicing Agreement. Such foreclosure, if it were to occur, could have a material adverse effect on our financial condition as HCR, by virtue of owning Royalty Sub, would own the Royalties and the Contributed Assets.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of Unregistered Securities</w:t>
      </w:r>
    </w:p>
    <w:p>
      <w:pPr>
        <w:spacing w:after="0" w:line="1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Issuer Purchases of Equity Securities</w:t>
      </w:r>
    </w:p>
    <w:p>
      <w:pPr>
        <w:spacing w:after="0" w:line="1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8"/>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Item 6. Exhibits</w:t>
            </w:r>
          </w:p>
        </w:tc>
        <w:tc>
          <w:tcPr>
            <w:tcW w:w="3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608"/>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No.</w:t>
            </w:r>
          </w:p>
        </w:tc>
        <w:tc>
          <w:tcPr>
            <w:tcW w:w="10000" w:type="dxa"/>
            <w:vAlign w:val="bottom"/>
            <w:gridSpan w:val="13"/>
          </w:tcPr>
          <w:p>
            <w:pPr>
              <w:ind w:left="20"/>
              <w:spacing w:after="0"/>
              <w:rPr>
                <w:sz w:val="20"/>
                <w:szCs w:val="20"/>
                <w:color w:val="auto"/>
              </w:rPr>
            </w:pPr>
            <w:r>
              <w:rPr>
                <w:rFonts w:ascii="Times New Roman" w:cs="Times New Roman" w:eastAsia="Times New Roman" w:hAnsi="Times New Roman"/>
                <w:sz w:val="18"/>
                <w:szCs w:val="18"/>
                <w:color w:val="auto"/>
              </w:rPr>
              <w:t>Description</w:t>
            </w:r>
          </w:p>
        </w:tc>
      </w:tr>
      <w:tr>
        <w:trPr>
          <w:trHeight w:val="304"/>
        </w:trPr>
        <w:tc>
          <w:tcPr>
            <w:tcW w:w="1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10000" w:type="dxa"/>
            <w:vAlign w:val="bottom"/>
            <w:tcBorders>
              <w:top w:val="single" w:sz="8" w:color="auto"/>
            </w:tcBorders>
            <w:gridSpan w:val="13"/>
          </w:tcPr>
          <w:p>
            <w:pPr>
              <w:ind w:left="20"/>
              <w:spacing w:after="0"/>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Amended and Restated Certificate of Incorporation (incorporated herein by reference to Exhibit 3.1 to the Registrant’s Current Report on</w:t>
              </w:r>
            </w:hyperlink>
          </w:p>
        </w:tc>
      </w:tr>
      <w:tr>
        <w:trPr>
          <w:trHeight w:val="169"/>
        </w:trPr>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980" w:type="dxa"/>
            <w:vAlign w:val="bottom"/>
            <w:tcBorders>
              <w:top w:val="single" w:sz="8" w:color="0000FF"/>
              <w:bottom w:val="single" w:sz="8" w:color="0000FF"/>
            </w:tcBorders>
            <w:gridSpan w:val="3"/>
          </w:tcPr>
          <w:p>
            <w:pPr>
              <w:ind w:left="20"/>
              <w:spacing w:after="0" w:line="169" w:lineRule="exact"/>
              <w:rPr>
                <w:rFonts w:ascii="Times New Roman" w:cs="Times New Roman" w:eastAsia="Times New Roman" w:hAnsi="Times New Roman"/>
                <w:sz w:val="18"/>
                <w:szCs w:val="18"/>
                <w:color w:val="0000FF"/>
                <w:w w:val="99"/>
              </w:rPr>
            </w:pPr>
            <w:hyperlink r:id="rId169">
              <w:r>
                <w:rPr>
                  <w:rFonts w:ascii="Times New Roman" w:cs="Times New Roman" w:eastAsia="Times New Roman" w:hAnsi="Times New Roman"/>
                  <w:sz w:val="18"/>
                  <w:szCs w:val="18"/>
                  <w:color w:val="0000FF"/>
                  <w:w w:val="99"/>
                </w:rPr>
                <w:t>Form 8-K (File No. 001-37783) filed with the SEC on June 7, 2016).</w:t>
              </w:r>
            </w:hyperlink>
          </w:p>
        </w:tc>
        <w:tc>
          <w:tcPr>
            <w:tcW w:w="20" w:type="dxa"/>
            <w:vAlign w:val="bottom"/>
            <w:tcBorders>
              <w:top w:val="single" w:sz="8" w:color="0000FF"/>
              <w:bottom w:val="single" w:sz="8" w:color="0000EE"/>
            </w:tcBorders>
          </w:tcPr>
          <w:p>
            <w:pPr>
              <w:spacing w:after="0"/>
              <w:rPr>
                <w:sz w:val="14"/>
                <w:szCs w:val="14"/>
                <w:color w:val="auto"/>
              </w:rPr>
            </w:pPr>
          </w:p>
        </w:tc>
        <w:tc>
          <w:tcPr>
            <w:tcW w:w="4940" w:type="dxa"/>
            <w:vAlign w:val="bottom"/>
            <w:tcBorders>
              <w:top w:val="single" w:sz="8" w:color="0000FF"/>
            </w:tcBorders>
            <w:gridSpan w:val="7"/>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331"/>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10000" w:type="dxa"/>
            <w:vAlign w:val="bottom"/>
            <w:gridSpan w:val="13"/>
          </w:tcPr>
          <w:p>
            <w:pPr>
              <w:ind w:left="20"/>
              <w:spacing w:after="0"/>
              <w:rPr>
                <w:sz w:val="20"/>
                <w:szCs w:val="20"/>
                <w:color w:val="auto"/>
              </w:rPr>
            </w:pPr>
            <w:r>
              <w:rPr>
                <w:rFonts w:ascii="Times New Roman" w:cs="Times New Roman" w:eastAsia="Times New Roman" w:hAnsi="Times New Roman"/>
                <w:sz w:val="18"/>
                <w:szCs w:val="18"/>
                <w:color w:val="0000FF"/>
              </w:rPr>
              <w:t>Certificate of Amendment to Amended and Restated Certificate of Incorporation (incorporated herein by reference to Exhibit 3.1 to the</w:t>
            </w:r>
          </w:p>
        </w:tc>
      </w:tr>
      <w:tr>
        <w:trPr>
          <w:trHeight w:val="169"/>
        </w:trPr>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0" w:type="dxa"/>
            <w:vAlign w:val="bottom"/>
            <w:tcBorders>
              <w:top w:val="single" w:sz="8" w:color="0000FF"/>
            </w:tcBorders>
            <w:gridSpan w:val="10"/>
          </w:tcPr>
          <w:p>
            <w:pPr>
              <w:ind w:left="20"/>
              <w:spacing w:after="0" w:line="169" w:lineRule="exact"/>
              <w:rPr>
                <w:sz w:val="20"/>
                <w:szCs w:val="20"/>
                <w:color w:val="auto"/>
              </w:rPr>
            </w:pPr>
            <w:r>
              <w:rPr>
                <w:rFonts w:ascii="Times New Roman" w:cs="Times New Roman" w:eastAsia="Times New Roman" w:hAnsi="Times New Roman"/>
                <w:sz w:val="18"/>
                <w:szCs w:val="18"/>
                <w:color w:val="0000FF"/>
              </w:rPr>
              <w:t>Registrant's Current Report on Form 8-K (File No. 001-37783) filed with the SEC on June 23, 2022).</w:t>
            </w:r>
          </w:p>
        </w:tc>
        <w:tc>
          <w:tcPr>
            <w:tcW w:w="16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31"/>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4"/>
                <w:szCs w:val="24"/>
                <w:color w:val="auto"/>
              </w:rPr>
            </w:pPr>
          </w:p>
        </w:tc>
        <w:tc>
          <w:tcPr>
            <w:tcW w:w="10000" w:type="dxa"/>
            <w:vAlign w:val="bottom"/>
            <w:gridSpan w:val="13"/>
          </w:tcPr>
          <w:p>
            <w:pPr>
              <w:ind w:left="20"/>
              <w:spacing w:after="0"/>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Amended and Restated Bylaws (incorporated herein by reference to Exhibit 3.2 to the Registrant’s Current Report on Form 8-K (File No.</w:t>
              </w:r>
            </w:hyperlink>
          </w:p>
        </w:tc>
      </w:tr>
      <w:tr>
        <w:trPr>
          <w:trHeight w:val="169"/>
        </w:trPr>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20" w:type="dxa"/>
            <w:vAlign w:val="bottom"/>
            <w:tcBorders>
              <w:top w:val="single" w:sz="8" w:color="0000FF"/>
              <w:bottom w:val="single" w:sz="8" w:color="0000FF"/>
            </w:tcBorders>
          </w:tcPr>
          <w:p>
            <w:pPr>
              <w:ind w:left="20"/>
              <w:spacing w:after="0" w:line="169" w:lineRule="exact"/>
              <w:rPr>
                <w:rFonts w:ascii="Times New Roman" w:cs="Times New Roman" w:eastAsia="Times New Roman" w:hAnsi="Times New Roman"/>
                <w:sz w:val="18"/>
                <w:szCs w:val="18"/>
                <w:color w:val="0000FF"/>
                <w:w w:val="99"/>
              </w:rPr>
            </w:pPr>
            <w:hyperlink r:id="rId170">
              <w:r>
                <w:rPr>
                  <w:rFonts w:ascii="Times New Roman" w:cs="Times New Roman" w:eastAsia="Times New Roman" w:hAnsi="Times New Roman"/>
                  <w:sz w:val="18"/>
                  <w:szCs w:val="18"/>
                  <w:color w:val="0000FF"/>
                  <w:w w:val="99"/>
                </w:rPr>
                <w:t>001-37783) filed with the SEC on June 7, 2016).</w:t>
              </w:r>
            </w:hyperlink>
          </w:p>
        </w:tc>
        <w:tc>
          <w:tcPr>
            <w:tcW w:w="20" w:type="dxa"/>
            <w:vAlign w:val="bottom"/>
            <w:tcBorders>
              <w:top w:val="single" w:sz="8" w:color="0000FF"/>
              <w:bottom w:val="single" w:sz="8" w:color="0000EE"/>
            </w:tcBorders>
          </w:tcPr>
          <w:p>
            <w:pPr>
              <w:spacing w:after="0"/>
              <w:rPr>
                <w:sz w:val="14"/>
                <w:szCs w:val="14"/>
                <w:color w:val="auto"/>
              </w:rPr>
            </w:pPr>
          </w:p>
        </w:tc>
        <w:tc>
          <w:tcPr>
            <w:tcW w:w="6420" w:type="dxa"/>
            <w:vAlign w:val="bottom"/>
            <w:tcBorders>
              <w:top w:val="single" w:sz="8" w:color="0000FF"/>
            </w:tcBorders>
            <w:gridSpan w:val="10"/>
          </w:tcPr>
          <w:p>
            <w:pPr>
              <w:spacing w:after="0"/>
              <w:rPr>
                <w:sz w:val="14"/>
                <w:szCs w:val="14"/>
                <w:color w:val="auto"/>
              </w:rPr>
            </w:pPr>
          </w:p>
        </w:tc>
        <w:tc>
          <w:tcPr>
            <w:tcW w:w="40" w:type="dxa"/>
            <w:vAlign w:val="bottom"/>
          </w:tcPr>
          <w:p>
            <w:pPr>
              <w:spacing w:after="0"/>
              <w:rPr>
                <w:sz w:val="14"/>
                <w:szCs w:val="14"/>
                <w:color w:val="auto"/>
              </w:rPr>
            </w:pPr>
          </w:p>
        </w:tc>
      </w:tr>
      <w:tr>
        <w:trPr>
          <w:trHeight w:val="331"/>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6500" w:type="dxa"/>
            <w:vAlign w:val="bottom"/>
            <w:tcBorders>
              <w:bottom w:val="single" w:sz="8" w:color="0000FF"/>
            </w:tcBorders>
            <w:gridSpan w:val="7"/>
          </w:tcPr>
          <w:p>
            <w:pPr>
              <w:ind w:left="20"/>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under Section 302 of the Sarbanes-Oxley Act.</w:t>
            </w:r>
          </w:p>
        </w:tc>
        <w:tc>
          <w:tcPr>
            <w:tcW w:w="3500" w:type="dxa"/>
            <w:vAlign w:val="bottom"/>
            <w:gridSpan w:val="6"/>
          </w:tcPr>
          <w:p>
            <w:pPr>
              <w:spacing w:after="0"/>
              <w:rPr>
                <w:sz w:val="24"/>
                <w:szCs w:val="24"/>
                <w:color w:val="auto"/>
              </w:rPr>
            </w:pPr>
          </w:p>
        </w:tc>
      </w:tr>
      <w:tr>
        <w:trPr>
          <w:trHeight w:val="52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10000" w:type="dxa"/>
            <w:vAlign w:val="bottom"/>
            <w:gridSpan w:val="13"/>
          </w:tcPr>
          <w:p>
            <w:pPr>
              <w:ind w:left="20"/>
              <w:spacing w:after="0"/>
              <w:rPr>
                <w:sz w:val="20"/>
                <w:szCs w:val="20"/>
                <w:color w:val="auto"/>
              </w:rPr>
            </w:pPr>
            <w:r>
              <w:rPr>
                <w:rFonts w:ascii="Times New Roman" w:cs="Times New Roman" w:eastAsia="Times New Roman" w:hAnsi="Times New Roman"/>
                <w:sz w:val="18"/>
                <w:szCs w:val="18"/>
                <w:color w:val="0000FF"/>
              </w:rPr>
              <w:t>Certification of Principal Financial Officer under Section 302 of the Sarbanes-Oxley Act.</w:t>
            </w:r>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560" w:type="dxa"/>
            <w:vAlign w:val="bottom"/>
            <w:gridSpan w:val="5"/>
            <w:shd w:val="clear" w:color="auto" w:fill="0000FF"/>
          </w:tcPr>
          <w:p>
            <w:pPr>
              <w:spacing w:after="0" w:line="20" w:lineRule="exact"/>
              <w:rPr>
                <w:sz w:val="1"/>
                <w:szCs w:val="1"/>
                <w:color w:val="auto"/>
              </w:rPr>
            </w:pPr>
          </w:p>
        </w:tc>
        <w:tc>
          <w:tcPr>
            <w:tcW w:w="900" w:type="dxa"/>
            <w:vAlign w:val="bottom"/>
            <w:tcBorders>
              <w:right w:val="single" w:sz="8" w:color="0000EE"/>
            </w:tcBorders>
            <w:shd w:val="clear" w:color="auto" w:fill="0000FF"/>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r>
      <w:tr>
        <w:trPr>
          <w:trHeight w:val="52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8840" w:type="dxa"/>
            <w:vAlign w:val="bottom"/>
            <w:tcBorders>
              <w:bottom w:val="single" w:sz="8" w:color="0000FF"/>
            </w:tcBorders>
            <w:gridSpan w:val="9"/>
          </w:tcPr>
          <w:p>
            <w:pPr>
              <w:ind w:left="20"/>
              <w:spacing w:after="0"/>
              <w:rPr>
                <w:sz w:val="20"/>
                <w:szCs w:val="20"/>
                <w:color w:val="auto"/>
              </w:rPr>
            </w:pPr>
            <w:r>
              <w:rPr>
                <w:rFonts w:ascii="Times New Roman" w:cs="Times New Roman" w:eastAsia="Times New Roman" w:hAnsi="Times New Roman"/>
                <w:sz w:val="18"/>
                <w:szCs w:val="18"/>
                <w:color w:val="0000FF"/>
                <w:w w:val="99"/>
              </w:rPr>
              <w:t>Certifications of Principal Executive Officer and Principal Financial Officer under Section 906 of the Sarbanes-Oxley Act.</w:t>
            </w:r>
          </w:p>
        </w:tc>
        <w:tc>
          <w:tcPr>
            <w:tcW w:w="1160" w:type="dxa"/>
            <w:vAlign w:val="bottom"/>
            <w:gridSpan w:val="4"/>
          </w:tcPr>
          <w:p>
            <w:pPr>
              <w:spacing w:after="0"/>
              <w:rPr>
                <w:sz w:val="24"/>
                <w:szCs w:val="24"/>
                <w:color w:val="auto"/>
              </w:rPr>
            </w:pPr>
          </w:p>
        </w:tc>
      </w:tr>
      <w:tr>
        <w:trPr>
          <w:trHeight w:val="52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5560" w:type="dxa"/>
            <w:vAlign w:val="bottom"/>
            <w:tcBorders>
              <w:bottom w:val="single" w:sz="8" w:color="0000FF"/>
            </w:tcBorders>
            <w:gridSpan w:val="5"/>
          </w:tcPr>
          <w:p>
            <w:pPr>
              <w:ind w:left="20"/>
              <w:spacing w:after="0"/>
              <w:rPr>
                <w:sz w:val="20"/>
                <w:szCs w:val="20"/>
                <w:color w:val="auto"/>
              </w:rPr>
            </w:pPr>
            <w:r>
              <w:rPr>
                <w:rFonts w:ascii="Times New Roman" w:cs="Times New Roman" w:eastAsia="Times New Roman" w:hAnsi="Times New Roman"/>
                <w:sz w:val="18"/>
                <w:szCs w:val="18"/>
                <w:color w:val="0000FF"/>
                <w:w w:val="99"/>
              </w:rPr>
              <w:t>Fourth Amended and Restated Non-employee Director Compensation Policy</w:t>
            </w:r>
          </w:p>
        </w:tc>
        <w:tc>
          <w:tcPr>
            <w:tcW w:w="4440" w:type="dxa"/>
            <w:vAlign w:val="bottom"/>
            <w:gridSpan w:val="8"/>
          </w:tcPr>
          <w:p>
            <w:pPr>
              <w:spacing w:after="0"/>
              <w:rPr>
                <w:sz w:val="24"/>
                <w:szCs w:val="24"/>
                <w:color w:val="auto"/>
              </w:rPr>
            </w:pPr>
          </w:p>
        </w:tc>
      </w:tr>
      <w:tr>
        <w:trPr>
          <w:trHeight w:val="372"/>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0000" w:type="dxa"/>
            <w:vAlign w:val="bottom"/>
            <w:gridSpan w:val="13"/>
          </w:tcPr>
          <w:p>
            <w:pPr>
              <w:ind w:left="20"/>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540"/>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0000" w:type="dxa"/>
            <w:vAlign w:val="bottom"/>
            <w:gridSpan w:val="13"/>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51"/>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10000" w:type="dxa"/>
            <w:vAlign w:val="bottom"/>
            <w:gridSpan w:val="13"/>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540"/>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10000" w:type="dxa"/>
            <w:vAlign w:val="bottom"/>
            <w:gridSpan w:val="13"/>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540"/>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10000" w:type="dxa"/>
            <w:vAlign w:val="bottom"/>
            <w:gridSpan w:val="13"/>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540"/>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10000" w:type="dxa"/>
            <w:vAlign w:val="bottom"/>
            <w:gridSpan w:val="13"/>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54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10000" w:type="dxa"/>
            <w:vAlign w:val="bottom"/>
            <w:gridSpan w:val="13"/>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95123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1">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600" w:hanging="464"/>
        <w:spacing w:after="0"/>
        <w:tabs>
          <w:tab w:leader="none" w:pos="6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16" w:lineRule="exact"/>
        <w:rPr>
          <w:sz w:val="20"/>
          <w:szCs w:val="20"/>
          <w:color w:val="auto"/>
        </w:rPr>
      </w:pPr>
    </w:p>
    <w:p>
      <w:pPr>
        <w:ind w:left="600" w:right="240" w:hanging="464"/>
        <w:spacing w:after="0" w:line="228" w:lineRule="auto"/>
        <w:tabs>
          <w:tab w:leader="none" w:pos="6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certifications are being furnished solely to accompany this quarterly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26" w:name="page27"/>
    <w:bookmarkEnd w:id="26"/>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Clearside Biomedical, Inc.</w:t>
      </w:r>
    </w:p>
    <w:p>
      <w:pPr>
        <w:spacing w:after="0" w:line="200" w:lineRule="exact"/>
        <w:rPr>
          <w:sz w:val="20"/>
          <w:szCs w:val="20"/>
          <w:color w:val="auto"/>
        </w:rPr>
      </w:pPr>
    </w:p>
    <w:p>
      <w:pPr>
        <w:spacing w:after="0" w:line="266" w:lineRule="exact"/>
        <w:rPr>
          <w:sz w:val="20"/>
          <w:szCs w:val="20"/>
          <w:color w:val="auto"/>
        </w:rPr>
      </w:pPr>
    </w:p>
    <w:p>
      <w:pPr>
        <w:jc w:val="center"/>
        <w:ind w:right="740"/>
        <w:spacing w:after="0"/>
        <w:tabs>
          <w:tab w:leader="none" w:pos="5020" w:val="left"/>
          <w:tab w:leader="none" w:pos="1320" w:val="left"/>
        </w:tabs>
        <w:rPr>
          <w:sz w:val="20"/>
          <w:szCs w:val="20"/>
          <w:color w:val="auto"/>
        </w:rPr>
      </w:pPr>
      <w:r>
        <w:rPr>
          <w:rFonts w:ascii="Times New Roman" w:cs="Times New Roman" w:eastAsia="Times New Roman" w:hAnsi="Times New Roman"/>
          <w:sz w:val="18"/>
          <w:szCs w:val="18"/>
          <w:color w:val="auto"/>
        </w:rPr>
        <w:t>Date:  August 12,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Charles A. Deignan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18415</wp:posOffset>
            </wp:positionV>
            <wp:extent cx="258000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3">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7" w:lineRule="exact"/>
        <w:rPr>
          <w:sz w:val="20"/>
          <w:szCs w:val="20"/>
          <w:color w:val="auto"/>
        </w:rPr>
      </w:pPr>
    </w:p>
    <w:p>
      <w:pPr>
        <w:jc w:val="center"/>
        <w:ind w:left="7160"/>
        <w:spacing w:after="0"/>
        <w:rPr>
          <w:sz w:val="20"/>
          <w:szCs w:val="20"/>
          <w:color w:val="auto"/>
        </w:rPr>
      </w:pPr>
      <w:r>
        <w:rPr>
          <w:rFonts w:ascii="Times New Roman" w:cs="Times New Roman" w:eastAsia="Times New Roman" w:hAnsi="Times New Roman"/>
          <w:sz w:val="18"/>
          <w:szCs w:val="18"/>
          <w:color w:val="auto"/>
        </w:rPr>
        <w:t>Charles A. Deignan</w:t>
      </w:r>
    </w:p>
    <w:p>
      <w:pPr>
        <w:jc w:val="center"/>
        <w:ind w:left="7160"/>
        <w:spacing w:after="0" w:line="234" w:lineRule="auto"/>
        <w:rPr>
          <w:sz w:val="20"/>
          <w:szCs w:val="20"/>
          <w:color w:val="auto"/>
        </w:rPr>
      </w:pPr>
      <w:r>
        <w:rPr>
          <w:rFonts w:ascii="Times New Roman" w:cs="Times New Roman" w:eastAsia="Times New Roman" w:hAnsi="Times New Roman"/>
          <w:sz w:val="18"/>
          <w:szCs w:val="18"/>
          <w:color w:val="auto"/>
        </w:rPr>
        <w:t>Chief Financial Officer</w:t>
      </w:r>
    </w:p>
    <w:p>
      <w:pPr>
        <w:ind w:left="7920"/>
        <w:spacing w:after="0" w:line="219" w:lineRule="auto"/>
        <w:rPr>
          <w:sz w:val="20"/>
          <w:szCs w:val="20"/>
          <w:color w:val="auto"/>
        </w:rPr>
      </w:pPr>
      <w:r>
        <w:rPr>
          <w:rFonts w:ascii="Times New Roman" w:cs="Times New Roman" w:eastAsia="Times New Roman" w:hAnsi="Times New Roman"/>
          <w:sz w:val="18"/>
          <w:szCs w:val="18"/>
          <w:color w:val="auto"/>
        </w:rPr>
        <w:t>(On behalf of the Registrant and as</w:t>
      </w:r>
    </w:p>
    <w:p>
      <w:pPr>
        <w:spacing w:after="0" w:line="1"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192"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320" w:right="77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22"/>
          <w:szCs w:val="22"/>
          <w:color w:val="auto"/>
        </w:rPr>
        <w:t>Exhibit 10.1</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4"/>
          <w:szCs w:val="14"/>
          <w:b w:val="1"/>
          <w:bCs w:val="1"/>
          <w:color w:val="auto"/>
        </w:rPr>
        <w:t>learside</w:t>
      </w:r>
      <w:r>
        <w:rPr>
          <w:rFonts w:ascii="Times New Roman" w:cs="Times New Roman" w:eastAsia="Times New Roman" w:hAnsi="Times New Roman"/>
          <w:sz w:val="22"/>
          <w:szCs w:val="22"/>
          <w:b w:val="1"/>
          <w:bCs w:val="1"/>
          <w:color w:val="auto"/>
        </w:rPr>
        <w:t xml:space="preserve"> B</w:t>
      </w:r>
      <w:r>
        <w:rPr>
          <w:rFonts w:ascii="Times New Roman" w:cs="Times New Roman" w:eastAsia="Times New Roman" w:hAnsi="Times New Roman"/>
          <w:sz w:val="14"/>
          <w:szCs w:val="14"/>
          <w:b w:val="1"/>
          <w:bCs w:val="1"/>
          <w:color w:val="auto"/>
        </w:rPr>
        <w:t>iomedical</w:t>
      </w:r>
      <w:r>
        <w:rPr>
          <w:rFonts w:ascii="Times New Roman" w:cs="Times New Roman" w:eastAsia="Times New Roman" w:hAnsi="Times New Roman"/>
          <w:sz w:val="22"/>
          <w:szCs w:val="22"/>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22"/>
          <w:szCs w:val="22"/>
          <w:b w:val="1"/>
          <w:bCs w:val="1"/>
          <w:color w:val="auto"/>
        </w:rPr>
        <w: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w:t>
      </w:r>
      <w:r>
        <w:rPr>
          <w:rFonts w:ascii="Times New Roman" w:cs="Times New Roman" w:eastAsia="Times New Roman" w:hAnsi="Times New Roman"/>
          <w:sz w:val="14"/>
          <w:szCs w:val="14"/>
          <w:b w:val="1"/>
          <w:bCs w:val="1"/>
          <w:color w:val="auto"/>
        </w:rPr>
        <w:t>on</w:t>
      </w: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mployee</w:t>
      </w:r>
      <w:r>
        <w:rPr>
          <w:rFonts w:ascii="Times New Roman" w:cs="Times New Roman" w:eastAsia="Times New Roman" w:hAnsi="Times New Roman"/>
          <w:sz w:val="22"/>
          <w:szCs w:val="22"/>
          <w:b w:val="1"/>
          <w:bCs w:val="1"/>
          <w:color w:val="auto"/>
        </w:rPr>
        <w:t xml:space="preserve"> D</w:t>
      </w:r>
      <w:r>
        <w:rPr>
          <w:rFonts w:ascii="Times New Roman" w:cs="Times New Roman" w:eastAsia="Times New Roman" w:hAnsi="Times New Roman"/>
          <w:sz w:val="14"/>
          <w:szCs w:val="14"/>
          <w:b w:val="1"/>
          <w:bCs w:val="1"/>
          <w:color w:val="auto"/>
        </w:rPr>
        <w:t>irector</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ompensation</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olicy</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Amended and Restated effective June 22, 2022</w:t>
      </w:r>
    </w:p>
    <w:p>
      <w:pPr>
        <w:spacing w:after="0" w:line="20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Each member of the Board of Directors (the “</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who is not also serving as an employee of Clearside Biomedical,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or any of its subsidiaries (each such member, an “</w:t>
      </w:r>
      <w:r>
        <w:rPr>
          <w:rFonts w:ascii="Times New Roman" w:cs="Times New Roman" w:eastAsia="Times New Roman" w:hAnsi="Times New Roman"/>
          <w:sz w:val="22"/>
          <w:szCs w:val="22"/>
          <w:b w:val="1"/>
          <w:bCs w:val="1"/>
          <w:i w:val="1"/>
          <w:iCs w:val="1"/>
          <w:color w:val="auto"/>
        </w:rPr>
        <w:t>Eligible Director</w:t>
      </w:r>
      <w:r>
        <w:rPr>
          <w:rFonts w:ascii="Times New Roman" w:cs="Times New Roman" w:eastAsia="Times New Roman" w:hAnsi="Times New Roman"/>
          <w:sz w:val="22"/>
          <w:szCs w:val="22"/>
          <w:color w:val="auto"/>
        </w:rPr>
        <w:t>”) will receive the compensation described in this Non-Employee Director Compensation Policy for his or her Board service. A Non-Employee Director may decline all or any portion of his or her compensation by giving notice to the Company prior to the date cash is to be paid or equity awards are to be granted, as the case may be. This policy may be amended at any time in the sole discretion of the Board or the Compensation Committee of the Board.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Annual Cash Compensation</w:t>
      </w:r>
    </w:p>
    <w:p>
      <w:pPr>
        <w:spacing w:after="0" w:line="21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2"/>
          <w:szCs w:val="22"/>
          <w:color w:val="auto"/>
        </w:rPr>
        <w:t>The annual cash compensation amount set forth below is payable in equal quarterly installments, payable in arrears on the last day of each fiscal quarter in which the service occurred. If an Eligible Director joins the Board or a committee of the Board at a time other than effective as of the first day of a fiscal quarter, each annual retainer set forth below will be pro-rated based on days served in the applicable fiscal year, with the pro-rated amount paid for the first fiscal quarter in which the Eligible Director provides the service, and regular full quarterly payments thereafter. All annual cash fees are vested upon payment.</w:t>
      </w:r>
    </w:p>
    <w:p>
      <w:pPr>
        <w:spacing w:after="0" w:line="180" w:lineRule="exact"/>
        <w:rPr>
          <w:sz w:val="20"/>
          <w:szCs w:val="20"/>
          <w:color w:val="auto"/>
        </w:rPr>
      </w:pPr>
    </w:p>
    <w:p>
      <w:pPr>
        <w:ind w:left="440" w:hanging="432"/>
        <w:spacing w:after="0"/>
        <w:tabs>
          <w:tab w:leader="none" w:pos="44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Board Service Retainer</w:t>
      </w:r>
      <w:r>
        <w:rPr>
          <w:rFonts w:ascii="Times New Roman" w:cs="Times New Roman" w:eastAsia="Times New Roman" w:hAnsi="Times New Roman"/>
          <w:sz w:val="22"/>
          <w:szCs w:val="22"/>
          <w:color w:val="auto"/>
        </w:rPr>
        <w:t>:</w:t>
      </w:r>
    </w:p>
    <w:p>
      <w:pPr>
        <w:spacing w:after="0" w:line="27" w:lineRule="exact"/>
        <w:rPr>
          <w:rFonts w:ascii="Times New Roman" w:cs="Times New Roman" w:eastAsia="Times New Roman" w:hAnsi="Times New Roman"/>
          <w:sz w:val="22"/>
          <w:szCs w:val="22"/>
          <w:color w:val="auto"/>
        </w:rPr>
      </w:pPr>
    </w:p>
    <w:p>
      <w:pPr>
        <w:ind w:left="1180" w:hanging="423"/>
        <w:spacing w:after="0" w:line="230" w:lineRule="auto"/>
        <w:tabs>
          <w:tab w:leader="none" w:pos="1180"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Eligible Directors: $40,000</w:t>
      </w:r>
    </w:p>
    <w:p>
      <w:pPr>
        <w:ind w:left="8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   Chairman of the Board Service Retainer (in addition to Eligible Director Service Retainer): $35,000</w:t>
      </w:r>
    </w:p>
    <w:p>
      <w:pPr>
        <w:spacing w:after="0" w:line="182" w:lineRule="exact"/>
        <w:rPr>
          <w:rFonts w:ascii="Times New Roman" w:cs="Times New Roman" w:eastAsia="Times New Roman" w:hAnsi="Times New Roman"/>
          <w:sz w:val="22"/>
          <w:szCs w:val="22"/>
          <w:color w:val="auto"/>
        </w:rPr>
      </w:pPr>
    </w:p>
    <w:p>
      <w:pPr>
        <w:ind w:left="440" w:hanging="432"/>
        <w:spacing w:after="0"/>
        <w:tabs>
          <w:tab w:leader="none" w:pos="44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Committee Member Service Retainer</w:t>
      </w:r>
      <w:r>
        <w:rPr>
          <w:rFonts w:ascii="Times New Roman" w:cs="Times New Roman" w:eastAsia="Times New Roman" w:hAnsi="Times New Roman"/>
          <w:sz w:val="22"/>
          <w:szCs w:val="22"/>
          <w:color w:val="auto"/>
        </w:rPr>
        <w:t>:</w:t>
      </w:r>
    </w:p>
    <w:p>
      <w:pPr>
        <w:spacing w:after="0" w:line="14" w:lineRule="exact"/>
        <w:rPr>
          <w:rFonts w:ascii="Times New Roman" w:cs="Times New Roman" w:eastAsia="Times New Roman" w:hAnsi="Times New Roman"/>
          <w:sz w:val="22"/>
          <w:szCs w:val="22"/>
          <w:color w:val="auto"/>
        </w:rPr>
      </w:pPr>
    </w:p>
    <w:p>
      <w:pPr>
        <w:ind w:left="1180" w:hanging="423"/>
        <w:spacing w:after="0" w:line="230" w:lineRule="auto"/>
        <w:tabs>
          <w:tab w:leader="none" w:pos="1180"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Member of the Audit Committee: $10,000</w:t>
      </w:r>
    </w:p>
    <w:p>
      <w:pPr>
        <w:ind w:left="1180" w:hanging="423"/>
        <w:spacing w:after="0"/>
        <w:tabs>
          <w:tab w:leader="none" w:pos="1180"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Member of the Compensation Committee: $7,500</w:t>
      </w:r>
    </w:p>
    <w:p>
      <w:pPr>
        <w:spacing w:after="0" w:line="3"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Member of the Nominating and Corporate Governance Committee: $5,000</w:t>
      </w:r>
    </w:p>
    <w:p>
      <w:pPr>
        <w:spacing w:after="0" w:line="168" w:lineRule="exact"/>
        <w:rPr>
          <w:rFonts w:ascii="Times New Roman" w:cs="Times New Roman" w:eastAsia="Times New Roman" w:hAnsi="Times New Roman"/>
          <w:sz w:val="22"/>
          <w:szCs w:val="22"/>
          <w:color w:val="auto"/>
        </w:rPr>
      </w:pPr>
    </w:p>
    <w:p>
      <w:pPr>
        <w:ind w:left="440" w:hanging="432"/>
        <w:spacing w:after="0"/>
        <w:tabs>
          <w:tab w:leader="none" w:pos="44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Committee Chair Service Retainer (in addition to Committee Member Service Retainer)</w:t>
      </w:r>
      <w:r>
        <w:rPr>
          <w:rFonts w:ascii="Times New Roman" w:cs="Times New Roman" w:eastAsia="Times New Roman" w:hAnsi="Times New Roman"/>
          <w:sz w:val="22"/>
          <w:szCs w:val="22"/>
          <w:color w:val="auto"/>
        </w:rPr>
        <w:t>:</w:t>
      </w:r>
    </w:p>
    <w:p>
      <w:pPr>
        <w:spacing w:after="0" w:line="27" w:lineRule="exact"/>
        <w:rPr>
          <w:rFonts w:ascii="Times New Roman" w:cs="Times New Roman" w:eastAsia="Times New Roman" w:hAnsi="Times New Roman"/>
          <w:sz w:val="22"/>
          <w:szCs w:val="22"/>
          <w:color w:val="auto"/>
        </w:rPr>
      </w:pPr>
    </w:p>
    <w:p>
      <w:pPr>
        <w:ind w:left="1180" w:hanging="423"/>
        <w:spacing w:after="0" w:line="230" w:lineRule="auto"/>
        <w:tabs>
          <w:tab w:leader="none" w:pos="1180"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Chairman of the Audit Committee: $10,000</w:t>
      </w:r>
    </w:p>
    <w:p>
      <w:pPr>
        <w:ind w:left="1180" w:hanging="423"/>
        <w:spacing w:after="0"/>
        <w:tabs>
          <w:tab w:leader="none" w:pos="1180"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Chairman of the Compensation Committee: $7,500</w:t>
      </w:r>
    </w:p>
    <w:p>
      <w:pPr>
        <w:spacing w:after="0" w:line="3"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Chairman of the Nominating and Corporate Governance Committee: $5,000</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22"/>
          <w:szCs w:val="22"/>
          <w:b w:val="1"/>
          <w:bCs w:val="1"/>
          <w:color w:val="auto"/>
        </w:rPr>
        <w:t>Equity Compensation</w:t>
      </w:r>
    </w:p>
    <w:p>
      <w:pPr>
        <w:spacing w:after="0" w:line="20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The equity compensation set forth below will be granted under the Company’s 2016 Equity Incentive Plan (the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All stock options granted under this policy will be nonstatutory stock options, with an exercise price per share equal to 100% of the Fair Market Value (as defined in the Plan) of the underlying common stock on the date of grant, and a term of ten years from the date of grant (subject to earlier termination in connection with a termination of service as provided in the Plan).</w:t>
      </w:r>
    </w:p>
    <w:p>
      <w:pPr>
        <w:spacing w:after="0" w:line="170" w:lineRule="exact"/>
        <w:rPr>
          <w:sz w:val="20"/>
          <w:szCs w:val="20"/>
          <w:color w:val="auto"/>
        </w:rPr>
      </w:pPr>
    </w:p>
    <w:p>
      <w:pPr>
        <w:jc w:val="both"/>
        <w:ind w:firstLine="8"/>
        <w:spacing w:after="0" w:line="241" w:lineRule="auto"/>
        <w:tabs>
          <w:tab w:leader="none" w:pos="432"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Initial Grant</w:t>
      </w:r>
      <w:r>
        <w:rPr>
          <w:rFonts w:ascii="Times New Roman" w:cs="Times New Roman" w:eastAsia="Times New Roman" w:hAnsi="Times New Roman"/>
          <w:sz w:val="22"/>
          <w:szCs w:val="22"/>
          <w:color w:val="auto"/>
        </w:rPr>
        <w:t>: For each Eligible Director who is first elected or appointed to the Board following the date hereof, on the date of such Eligible Director’s initial election or appointment to the Board (or, if such date is not a market trading day, the first market trading day thereafter), the Eligible Director will be automatically, and without further action by the Board or Compensation Committee of the Board, granted a stock option for 45,000 shares of common stock. The shares subject to each such stock option will vest in 36 equal monthly installments on the last day of each month, subject to the Eligible Director’s Continuous Service (as defined in the Plan) through such vesting date.</w:t>
      </w:r>
    </w:p>
    <w:p>
      <w:pPr>
        <w:spacing w:after="0" w:line="176" w:lineRule="exact"/>
        <w:rPr>
          <w:rFonts w:ascii="Times New Roman" w:cs="Times New Roman" w:eastAsia="Times New Roman" w:hAnsi="Times New Roman"/>
          <w:sz w:val="22"/>
          <w:szCs w:val="22"/>
          <w:color w:val="auto"/>
        </w:rPr>
      </w:pPr>
    </w:p>
    <w:p>
      <w:pPr>
        <w:jc w:val="both"/>
        <w:ind w:firstLine="8"/>
        <w:spacing w:after="0" w:line="238" w:lineRule="auto"/>
        <w:tabs>
          <w:tab w:leader="none" w:pos="445"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Grant</w:t>
      </w:r>
      <w:r>
        <w:rPr>
          <w:rFonts w:ascii="Times New Roman" w:cs="Times New Roman" w:eastAsia="Times New Roman" w:hAnsi="Times New Roman"/>
          <w:sz w:val="22"/>
          <w:szCs w:val="22"/>
          <w:color w:val="auto"/>
        </w:rPr>
        <w:t>: On the date of each annual stockholders meeting of the Company held after the date hereof, each Eligible Director who continues to serve as a member of the Board following such stockholders meeting will be automatically, and without further action by the Board or Compensation Committee of the Board, granted a stock option for 30,000 shares of common stock. The shares subject to each such stock option will vest in full on the earlier of (a) the date immediately prior to the next following annual stockholder meeting and (b) the date that is 12 months after the grant date, subject to the Eligible Director’s Continuous Service (as defined in the Plan) through such vesting date.</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1"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George Lasezkay, certify that:</w:t>
      </w:r>
    </w:p>
    <w:p>
      <w:pPr>
        <w:spacing w:after="0" w:line="104" w:lineRule="exact"/>
        <w:rPr>
          <w:sz w:val="20"/>
          <w:szCs w:val="20"/>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June 30, 2022 of Clearside Biomedical, Inc. (the “registrant”);</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50"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2" w:lineRule="exact"/>
        <w:rPr>
          <w:rFonts w:ascii="Times New Roman" w:cs="Times New Roman" w:eastAsia="Times New Roman" w:hAnsi="Times New Roman"/>
          <w:sz w:val="18"/>
          <w:szCs w:val="18"/>
          <w:color w:val="auto"/>
        </w:rPr>
      </w:pPr>
    </w:p>
    <w:p>
      <w:pPr>
        <w:ind w:left="520" w:right="220" w:hanging="512"/>
        <w:spacing w:after="0" w:line="266"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jc w:val="both"/>
        <w:ind w:left="520" w:right="260" w:hanging="512"/>
        <w:spacing w:after="0" w:line="258"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1" w:lineRule="exact"/>
        <w:rPr>
          <w:rFonts w:ascii="Times New Roman" w:cs="Times New Roman" w:eastAsia="Times New Roman" w:hAnsi="Times New Roman"/>
          <w:sz w:val="18"/>
          <w:szCs w:val="18"/>
          <w:color w:val="auto"/>
        </w:rPr>
      </w:pPr>
    </w:p>
    <w:p>
      <w:pPr>
        <w:ind w:left="1020" w:hanging="503"/>
        <w:spacing w:after="0" w:line="258"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1" w:lineRule="exact"/>
        <w:rPr>
          <w:rFonts w:ascii="Times New Roman" w:cs="Times New Roman" w:eastAsia="Times New Roman" w:hAnsi="Times New Roman"/>
          <w:sz w:val="18"/>
          <w:szCs w:val="18"/>
          <w:color w:val="auto"/>
        </w:rPr>
      </w:pPr>
    </w:p>
    <w:p>
      <w:pPr>
        <w:ind w:left="1020" w:right="320" w:hanging="503"/>
        <w:spacing w:after="0" w:line="258"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Times New Roman" w:cs="Times New Roman" w:eastAsia="Times New Roman" w:hAnsi="Times New Roman"/>
          <w:sz w:val="18"/>
          <w:szCs w:val="18"/>
          <w:color w:val="auto"/>
        </w:rPr>
      </w:pPr>
    </w:p>
    <w:p>
      <w:pPr>
        <w:jc w:val="both"/>
        <w:ind w:left="1020" w:right="480" w:hanging="503"/>
        <w:spacing w:after="0" w:line="266"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020" w:hanging="503"/>
        <w:spacing w:after="0" w:line="250"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82" w:lineRule="exact"/>
        <w:rPr>
          <w:rFonts w:ascii="Times New Roman" w:cs="Times New Roman" w:eastAsia="Times New Roman" w:hAnsi="Times New Roman"/>
          <w:sz w:val="18"/>
          <w:szCs w:val="18"/>
          <w:color w:val="auto"/>
        </w:rPr>
      </w:pPr>
    </w:p>
    <w:p>
      <w:pPr>
        <w:ind w:left="480" w:right="260" w:hanging="472"/>
        <w:spacing w:after="0" w:line="266" w:lineRule="auto"/>
        <w:tabs>
          <w:tab w:leader="none" w:pos="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1020" w:right="740" w:hanging="503"/>
        <w:spacing w:after="0" w:line="266"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020" w:right="420" w:hanging="503"/>
        <w:spacing w:after="0" w:line="266"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12, 2022</w:t>
      </w:r>
    </w:p>
    <w:p>
      <w:pPr>
        <w:spacing w:after="0" w:line="21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George Lasezkay, Pharm.D., J.D.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7">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George Lasezkay, Pharm. D., J.D.</w:t>
      </w:r>
    </w:p>
    <w:p>
      <w:pPr>
        <w:spacing w:after="0" w:line="2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Charles A. Deignan, certify that:</w:t>
      </w:r>
    </w:p>
    <w:p>
      <w:pPr>
        <w:spacing w:after="0" w:line="104" w:lineRule="exact"/>
        <w:rPr>
          <w:sz w:val="20"/>
          <w:szCs w:val="20"/>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June 30, 2022 of Clearside Biomedical, Inc. (the “registrant”);</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50"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2" w:lineRule="exact"/>
        <w:rPr>
          <w:rFonts w:ascii="Times New Roman" w:cs="Times New Roman" w:eastAsia="Times New Roman" w:hAnsi="Times New Roman"/>
          <w:sz w:val="18"/>
          <w:szCs w:val="18"/>
          <w:color w:val="auto"/>
        </w:rPr>
      </w:pPr>
    </w:p>
    <w:p>
      <w:pPr>
        <w:ind w:left="520" w:right="220" w:hanging="512"/>
        <w:spacing w:after="0" w:line="266"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jc w:val="both"/>
        <w:ind w:left="520" w:right="260" w:hanging="512"/>
        <w:spacing w:after="0" w:line="258"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1" w:lineRule="exact"/>
        <w:rPr>
          <w:rFonts w:ascii="Times New Roman" w:cs="Times New Roman" w:eastAsia="Times New Roman" w:hAnsi="Times New Roman"/>
          <w:sz w:val="18"/>
          <w:szCs w:val="18"/>
          <w:color w:val="auto"/>
        </w:rPr>
      </w:pPr>
    </w:p>
    <w:p>
      <w:pPr>
        <w:ind w:left="1020" w:hanging="503"/>
        <w:spacing w:after="0" w:line="258"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1" w:lineRule="exact"/>
        <w:rPr>
          <w:rFonts w:ascii="Times New Roman" w:cs="Times New Roman" w:eastAsia="Times New Roman" w:hAnsi="Times New Roman"/>
          <w:sz w:val="18"/>
          <w:szCs w:val="18"/>
          <w:color w:val="auto"/>
        </w:rPr>
      </w:pPr>
    </w:p>
    <w:p>
      <w:pPr>
        <w:ind w:left="1020" w:right="320" w:hanging="503"/>
        <w:spacing w:after="0" w:line="258"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Times New Roman" w:cs="Times New Roman" w:eastAsia="Times New Roman" w:hAnsi="Times New Roman"/>
          <w:sz w:val="18"/>
          <w:szCs w:val="18"/>
          <w:color w:val="auto"/>
        </w:rPr>
      </w:pPr>
    </w:p>
    <w:p>
      <w:pPr>
        <w:jc w:val="both"/>
        <w:ind w:left="1020" w:right="480" w:hanging="503"/>
        <w:spacing w:after="0" w:line="266"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020" w:hanging="503"/>
        <w:spacing w:after="0" w:line="250"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82" w:lineRule="exact"/>
        <w:rPr>
          <w:rFonts w:ascii="Times New Roman" w:cs="Times New Roman" w:eastAsia="Times New Roman" w:hAnsi="Times New Roman"/>
          <w:sz w:val="18"/>
          <w:szCs w:val="18"/>
          <w:color w:val="auto"/>
        </w:rPr>
      </w:pPr>
    </w:p>
    <w:p>
      <w:pPr>
        <w:ind w:left="520" w:right="220" w:hanging="512"/>
        <w:spacing w:after="0" w:line="266"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1020" w:right="740" w:hanging="503"/>
        <w:spacing w:after="0" w:line="266"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020" w:right="420" w:hanging="503"/>
        <w:spacing w:after="0" w:line="266"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12, 2022</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Charles A. Deignan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5715</wp:posOffset>
            </wp:positionV>
            <wp:extent cx="284607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9">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ind w:left="6780"/>
        <w:spacing w:after="0"/>
        <w:rPr>
          <w:sz w:val="20"/>
          <w:szCs w:val="20"/>
          <w:color w:val="auto"/>
        </w:rPr>
      </w:pPr>
      <w:r>
        <w:rPr>
          <w:rFonts w:ascii="Times New Roman" w:cs="Times New Roman" w:eastAsia="Times New Roman" w:hAnsi="Times New Roman"/>
          <w:sz w:val="18"/>
          <w:szCs w:val="18"/>
          <w:color w:val="auto"/>
        </w:rPr>
        <w:t>Charles A. Deignan</w:t>
      </w:r>
    </w:p>
    <w:p>
      <w:pPr>
        <w:spacing w:after="0" w:line="2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12"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CERTIFICATIONS OF</w:t>
      </w:r>
    </w:p>
    <w:p>
      <w:pPr>
        <w:spacing w:after="0" w:line="2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b w:val="1"/>
          <w:bCs w:val="1"/>
          <w:color w:val="auto"/>
        </w:rPr>
        <w:t>PRINCIPAL EXECUTIVE OFFICER AND PRINCIPAL FINANCIAL OFFICER</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3" w:lineRule="exact"/>
        <w:rPr>
          <w:sz w:val="20"/>
          <w:szCs w:val="20"/>
          <w:color w:val="auto"/>
        </w:rPr>
      </w:pPr>
    </w:p>
    <w:p>
      <w:pPr>
        <w:ind w:right="20" w:firstLine="509"/>
        <w:spacing w:after="0" w:line="280" w:lineRule="auto"/>
        <w:rPr>
          <w:sz w:val="20"/>
          <w:szCs w:val="20"/>
          <w:color w:val="auto"/>
        </w:rPr>
      </w:pPr>
      <w:r>
        <w:rPr>
          <w:rFonts w:ascii="Times New Roman" w:cs="Times New Roman" w:eastAsia="Times New Roman" w:hAnsi="Times New Roman"/>
          <w:sz w:val="17"/>
          <w:szCs w:val="17"/>
          <w:color w:val="auto"/>
        </w:rPr>
        <w:t>Pursuant to the requirement set forth in Rule 13a-14(b) of the Securities Exchange Act of 1934, as amended, (the “Exchange Act”) and Section 1350 of Chapter 63 of Title 18 of the United States Code (18 U.S.C. §1350), George Lasezkay, President and Chief Executive Officer of Clearside Biomedical, Inc. (the “Company”), and Charles A. Deignan, Chief Financial Officer of the Company, each hereby certifies that, to the best of his knowledge:</w:t>
      </w:r>
    </w:p>
    <w:p>
      <w:pPr>
        <w:spacing w:after="0" w:line="45" w:lineRule="exact"/>
        <w:rPr>
          <w:sz w:val="20"/>
          <w:szCs w:val="20"/>
          <w:color w:val="auto"/>
        </w:rPr>
      </w:pPr>
    </w:p>
    <w:p>
      <w:pPr>
        <w:ind w:left="520" w:right="440" w:hanging="512"/>
        <w:spacing w:after="0" w:line="266"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period ended June 30, 2022, to which this Certification is attached as Exhibit 32.1 (the “Periodic Report”), fully complies with the requirements of Section 13(a) or Section 15(d) of the Exchange Act; and</w:t>
      </w:r>
    </w:p>
    <w:p>
      <w:pPr>
        <w:spacing w:after="0" w:line="54" w:lineRule="exact"/>
        <w:rPr>
          <w:rFonts w:ascii="Times New Roman" w:cs="Times New Roman" w:eastAsia="Times New Roman" w:hAnsi="Times New Roman"/>
          <w:sz w:val="18"/>
          <w:szCs w:val="18"/>
          <w:color w:val="auto"/>
        </w:rPr>
      </w:pPr>
    </w:p>
    <w:p>
      <w:pPr>
        <w:ind w:left="520" w:right="420" w:hanging="512"/>
        <w:spacing w:after="0" w:line="282"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fairly presents, in all material respects, the financial condition and results of operations of the Company.</w:t>
      </w:r>
    </w:p>
    <w:p>
      <w:pPr>
        <w:spacing w:after="0" w:line="144"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undersigned have set their hands hereto as of the 12th day of August, 2022.</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George Lasezkay, Pharm. D., J.D.</w:t>
            </w:r>
          </w:p>
        </w:tc>
        <w:tc>
          <w:tcPr>
            <w:tcW w:w="2260" w:type="dxa"/>
            <w:vAlign w:val="bottom"/>
          </w:tcPr>
          <w:p>
            <w:pPr>
              <w:spacing w:after="0"/>
              <w:rPr>
                <w:sz w:val="20"/>
                <w:szCs w:val="20"/>
                <w:color w:val="auto"/>
              </w:rPr>
            </w:pPr>
          </w:p>
        </w:tc>
        <w:tc>
          <w:tcPr>
            <w:tcW w:w="4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Charles. A. Deignan</w:t>
            </w:r>
          </w:p>
        </w:tc>
      </w:tr>
      <w:tr>
        <w:trPr>
          <w:trHeight w:val="191"/>
        </w:trPr>
        <w:tc>
          <w:tcPr>
            <w:tcW w:w="450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George Lasezkay, Pharm. D., J.D.</w:t>
            </w:r>
          </w:p>
        </w:tc>
        <w:tc>
          <w:tcPr>
            <w:tcW w:w="2260" w:type="dxa"/>
            <w:vAlign w:val="bottom"/>
          </w:tcPr>
          <w:p>
            <w:pPr>
              <w:spacing w:after="0"/>
              <w:rPr>
                <w:sz w:val="16"/>
                <w:szCs w:val="16"/>
                <w:color w:val="auto"/>
              </w:rPr>
            </w:pPr>
          </w:p>
        </w:tc>
        <w:tc>
          <w:tcPr>
            <w:tcW w:w="448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Charles A. Deignan</w:t>
            </w:r>
          </w:p>
        </w:tc>
      </w:tr>
      <w:tr>
        <w:trPr>
          <w:trHeight w:val="189"/>
        </w:trPr>
        <w:tc>
          <w:tcPr>
            <w:tcW w:w="45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President and Chief Executive Officer</w:t>
            </w:r>
          </w:p>
        </w:tc>
        <w:tc>
          <w:tcPr>
            <w:tcW w:w="2260" w:type="dxa"/>
            <w:vAlign w:val="bottom"/>
          </w:tcPr>
          <w:p>
            <w:pPr>
              <w:spacing w:after="0"/>
              <w:rPr>
                <w:sz w:val="16"/>
                <w:szCs w:val="16"/>
                <w:color w:val="auto"/>
              </w:rPr>
            </w:pPr>
          </w:p>
        </w:tc>
        <w:tc>
          <w:tcPr>
            <w:tcW w:w="44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26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225" w:lineRule="exact"/>
        <w:rPr>
          <w:sz w:val="20"/>
          <w:szCs w:val="20"/>
          <w:color w:val="auto"/>
        </w:rPr>
      </w:pPr>
    </w:p>
    <w:p>
      <w:pPr>
        <w:ind w:left="520" w:right="100" w:hanging="512"/>
        <w:spacing w:after="0" w:line="250" w:lineRule="auto"/>
        <w:tabs>
          <w:tab w:leader="none" w:pos="37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2"/>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1."/>
      <w:numFmt w:val="decimal"/>
      <w:start w:val="9"/>
    </w:lvl>
  </w:abstractNum>
  <w:abstractNum w:abstractNumId="5">
    <w:nsid w:val="1190CDE7"/>
    <w:multiLevelType w:val="hybridMultilevel"/>
    <w:lvl w:ilvl="0">
      <w:lvlJc w:val="left"/>
      <w:lvlText w:val="%1."/>
      <w:numFmt w:val="decimal"/>
      <w:start w:val="10"/>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2">
    <w:nsid w:val="1BEFD79F"/>
    <w:multiLevelType w:val="hybridMultilevel"/>
    <w:lvl w:ilvl="0">
      <w:lvlJc w:val="left"/>
      <w:lvlText w:val="%1."/>
      <w:numFmt w:val="decimal"/>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71" Type="http://schemas.openxmlformats.org/officeDocument/2006/relationships/image" Target="media/image162.png"/><Relationship Id="rId172" Type="http://schemas.openxmlformats.org/officeDocument/2006/relationships/image" Target="media/image163.png"/><Relationship Id="rId173" Type="http://schemas.openxmlformats.org/officeDocument/2006/relationships/image" Target="media/image164.png"/><Relationship Id="rId174" Type="http://schemas.openxmlformats.org/officeDocument/2006/relationships/image" Target="media/image165.png"/><Relationship Id="rId175" Type="http://schemas.openxmlformats.org/officeDocument/2006/relationships/image" Target="media/image166.png"/><Relationship Id="rId176" Type="http://schemas.openxmlformats.org/officeDocument/2006/relationships/image" Target="media/image167.png"/><Relationship Id="rId177" Type="http://schemas.openxmlformats.org/officeDocument/2006/relationships/image" Target="media/image168.png"/><Relationship Id="rId178" Type="http://schemas.openxmlformats.org/officeDocument/2006/relationships/image" Target="media/image169.png"/><Relationship Id="rId179" Type="http://schemas.openxmlformats.org/officeDocument/2006/relationships/image" Target="media/image170.png"/><Relationship Id="rId180" Type="http://schemas.openxmlformats.org/officeDocument/2006/relationships/image" Target="media/image171.png"/><Relationship Id="rId181" Type="http://schemas.openxmlformats.org/officeDocument/2006/relationships/image" Target="media/image172.png"/><Relationship Id="rId169" Type="http://schemas.openxmlformats.org/officeDocument/2006/relationships/hyperlink" Target="https://www.sec.gov/Archives/edgar/data/1539029/000119312516615374/d208521dex31.htm" TargetMode="External"/><Relationship Id="rId170" Type="http://schemas.openxmlformats.org/officeDocument/2006/relationships/hyperlink" Target="https://www.sec.gov/Archives/edgar/data/1539029/000119312516615374/d208521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2022-08-13T13:47:12Z</dcterms:created>
  <dcterms:modified xsi:type="dcterms:W3CDTF">2022-08-13T13:47:12Z</dcterms:modified>
</cp:coreProperties>
</file>