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9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b w:val="1"/>
          <w:bCs w:val="1"/>
          <w:color w:val="auto"/>
        </w:rPr>
        <w:t>Mark One)</w:t>
      </w:r>
    </w:p>
    <w:p>
      <w:pPr>
        <w:spacing w:after="0" w:line="12" w:lineRule="exact"/>
        <w:rPr>
          <w:sz w:val="24"/>
          <w:szCs w:val="24"/>
          <w:color w:val="auto"/>
        </w:rPr>
      </w:pPr>
    </w:p>
    <w:p>
      <w:pPr>
        <w:ind w:left="4180" w:right="3060" w:hanging="3960"/>
        <w:spacing w:after="0" w:line="330" w:lineRule="auto"/>
        <w:tabs>
          <w:tab w:leader="none" w:pos="611"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OR</w:t>
      </w:r>
    </w:p>
    <w:p>
      <w:pPr>
        <w:spacing w:after="0" w:line="57" w:lineRule="exact"/>
        <w:rPr>
          <w:sz w:val="24"/>
          <w:szCs w:val="24"/>
          <w:color w:val="auto"/>
        </w:rPr>
      </w:pPr>
    </w:p>
    <w:p>
      <w:pPr>
        <w:ind w:left="4060" w:right="2740" w:hanging="3840"/>
        <w:spacing w:after="0" w:line="328" w:lineRule="auto"/>
        <w:tabs>
          <w:tab w:leader="none" w:pos="618"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_______ to __________</w:t>
      </w:r>
    </w:p>
    <w:p>
      <w:pPr>
        <w:spacing w:after="0" w:line="1" w:lineRule="exact"/>
        <w:rPr>
          <w:rFonts w:ascii="MS PGothic" w:cs="MS PGothic" w:eastAsia="MS PGothic" w:hAnsi="MS PGothic"/>
          <w:sz w:val="15"/>
          <w:szCs w:val="15"/>
          <w:color w:val="auto"/>
          <w:highlight w:val="black"/>
        </w:rPr>
      </w:pPr>
    </w:p>
    <w:p>
      <w:pPr>
        <w:ind w:left="4420"/>
        <w:spacing w:after="0"/>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Clearside Biomedical, Inc.</w:t>
      </w: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sectPr>
      </w:pPr>
    </w:p>
    <w:p>
      <w:pPr>
        <w:spacing w:after="0" w:line="267" w:lineRule="exact"/>
        <w:rPr>
          <w:sz w:val="24"/>
          <w:szCs w:val="24"/>
          <w:color w:val="auto"/>
        </w:rPr>
      </w:pPr>
    </w:p>
    <w:p>
      <w:pPr>
        <w:jc w:val="center"/>
        <w:ind w:right="1500"/>
        <w:spacing w:after="0"/>
        <w:rPr>
          <w:sz w:val="20"/>
          <w:szCs w:val="20"/>
          <w:color w:val="auto"/>
        </w:rPr>
      </w:pPr>
      <w:r>
        <w:rPr>
          <w:rFonts w:ascii="Arial" w:cs="Arial" w:eastAsia="Arial" w:hAnsi="Arial"/>
          <w:sz w:val="15"/>
          <w:szCs w:val="15"/>
          <w:b w:val="1"/>
          <w:bCs w:val="1"/>
          <w:color w:val="auto"/>
        </w:rPr>
        <w:t>Delaware</w:t>
      </w: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2140"/>
        <w:spacing w:after="0"/>
        <w:rPr>
          <w:sz w:val="20"/>
          <w:szCs w:val="20"/>
          <w:color w:val="auto"/>
        </w:rPr>
      </w:pPr>
      <w:r>
        <w:rPr>
          <w:rFonts w:ascii="Arial" w:cs="Arial" w:eastAsia="Arial" w:hAnsi="Arial"/>
          <w:sz w:val="15"/>
          <w:szCs w:val="15"/>
          <w:b w:val="1"/>
          <w:bCs w:val="1"/>
          <w:color w:val="auto"/>
        </w:rPr>
        <w:t>45-2437375</w:t>
      </w:r>
    </w:p>
    <w:p>
      <w:pPr>
        <w:spacing w:after="0" w:line="1"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63" w:lineRule="exact"/>
        <w:rPr>
          <w:sz w:val="24"/>
          <w:szCs w:val="24"/>
          <w:color w:val="auto"/>
        </w:rPr>
      </w:pPr>
    </w:p>
    <w:p>
      <w:pPr>
        <w:sectPr>
          <w:pgSz w:w="11900" w:h="16838" w:orient="portrait"/>
          <w:cols w:equalWidth="0" w:num="2">
            <w:col w:w="7140" w:space="720"/>
            <w:col w:w="3280"/>
          </w:cols>
          <w:pgMar w:left="320" w:top="603" w:right="439" w:bottom="1440" w:gutter="0" w:footer="0" w:header="0"/>
          <w:type w:val="continuous"/>
        </w:sectPr>
      </w:pPr>
    </w:p>
    <w:tbl>
      <w:tblPr>
        <w:tblLayout w:type="fixed"/>
        <w:tblInd w:w="520" w:type="dxa"/>
        <w:tblCellMar>
          <w:top w:w="0" w:type="dxa"/>
          <w:left w:w="0" w:type="dxa"/>
          <w:bottom w:w="0" w:type="dxa"/>
          <w:right w:w="0" w:type="dxa"/>
        </w:tblCellMar>
      </w:tblPr>
      <w:tr>
        <w:trPr>
          <w:trHeight w:val="172"/>
        </w:trPr>
        <w:tc>
          <w:tcPr>
            <w:tcW w:w="860" w:type="dxa"/>
            <w:vAlign w:val="bottom"/>
          </w:tcPr>
          <w:p>
            <w:pPr>
              <w:spacing w:after="0"/>
              <w:rPr>
                <w:sz w:val="14"/>
                <w:szCs w:val="14"/>
                <w:color w:val="auto"/>
              </w:rPr>
            </w:pPr>
          </w:p>
        </w:tc>
        <w:tc>
          <w:tcPr>
            <w:tcW w:w="6040" w:type="dxa"/>
            <w:vAlign w:val="bottom"/>
            <w:gridSpan w:val="7"/>
          </w:tcPr>
          <w:p>
            <w:pPr>
              <w:jc w:val="center"/>
              <w:ind w:right="3180"/>
              <w:spacing w:after="0"/>
              <w:rPr>
                <w:sz w:val="20"/>
                <w:szCs w:val="20"/>
                <w:color w:val="auto"/>
              </w:rPr>
            </w:pPr>
            <w:r>
              <w:rPr>
                <w:rFonts w:ascii="Arial" w:cs="Arial" w:eastAsia="Arial" w:hAnsi="Arial"/>
                <w:sz w:val="15"/>
                <w:szCs w:val="15"/>
                <w:b w:val="1"/>
                <w:bCs w:val="1"/>
                <w:color w:val="auto"/>
                <w:w w:val="93"/>
              </w:rPr>
              <w:t>900 North Point Parkway, Suite 200</w:t>
            </w:r>
          </w:p>
        </w:tc>
        <w:tc>
          <w:tcPr>
            <w:tcW w:w="2840" w:type="dxa"/>
            <w:vAlign w:val="bottom"/>
            <w:gridSpan w:val="2"/>
            <w:vMerge w:val="restart"/>
          </w:tcPr>
          <w:p>
            <w:pPr>
              <w:jc w:val="right"/>
              <w:ind w:right="1566"/>
              <w:spacing w:after="0"/>
              <w:rPr>
                <w:sz w:val="20"/>
                <w:szCs w:val="20"/>
                <w:color w:val="auto"/>
              </w:rPr>
            </w:pPr>
            <w:r>
              <w:rPr>
                <w:rFonts w:ascii="Arial" w:cs="Arial" w:eastAsia="Arial" w:hAnsi="Arial"/>
                <w:sz w:val="15"/>
                <w:szCs w:val="15"/>
                <w:b w:val="1"/>
                <w:bCs w:val="1"/>
                <w:color w:val="auto"/>
              </w:rPr>
              <w:t>30005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2060" w:type="dxa"/>
            <w:vAlign w:val="bottom"/>
            <w:gridSpan w:val="2"/>
          </w:tcPr>
          <w:p>
            <w:pPr>
              <w:jc w:val="center"/>
              <w:ind w:left="725"/>
              <w:spacing w:after="0" w:line="167" w:lineRule="exact"/>
              <w:rPr>
                <w:sz w:val="20"/>
                <w:szCs w:val="20"/>
                <w:color w:val="auto"/>
              </w:rPr>
            </w:pPr>
            <w:r>
              <w:rPr>
                <w:rFonts w:ascii="Arial" w:cs="Arial" w:eastAsia="Arial" w:hAnsi="Arial"/>
                <w:sz w:val="15"/>
                <w:szCs w:val="15"/>
                <w:b w:val="1"/>
                <w:bCs w:val="1"/>
                <w:color w:val="auto"/>
                <w:w w:val="97"/>
              </w:rPr>
              <w:t>Alpharetta, GA</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rPr>
                <w:sz w:val="16"/>
                <w:szCs w:val="16"/>
                <w:color w:val="auto"/>
              </w:rPr>
            </w:pPr>
          </w:p>
        </w:tc>
        <w:tc>
          <w:tcPr>
            <w:tcW w:w="6040" w:type="dxa"/>
            <w:vAlign w:val="bottom"/>
            <w:gridSpan w:val="7"/>
          </w:tcPr>
          <w:p>
            <w:pPr>
              <w:jc w:val="center"/>
              <w:ind w:right="3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 w:type="dxa"/>
            <w:vAlign w:val="bottom"/>
          </w:tcPr>
          <w:p>
            <w:pPr>
              <w:spacing w:after="0"/>
              <w:rPr>
                <w:sz w:val="16"/>
                <w:szCs w:val="16"/>
                <w:color w:val="auto"/>
              </w:rPr>
            </w:pPr>
          </w:p>
        </w:tc>
        <w:tc>
          <w:tcPr>
            <w:tcW w:w="2700" w:type="dxa"/>
            <w:vAlign w:val="bottom"/>
          </w:tcPr>
          <w:p>
            <w:pPr>
              <w:jc w:val="center"/>
              <w:ind w:right="88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20" w:type="dxa"/>
            <w:vAlign w:val="bottom"/>
            <w:gridSpan w:val="7"/>
          </w:tcPr>
          <w:p>
            <w:pPr>
              <w:jc w:val="center"/>
              <w:ind w:right="2366"/>
              <w:spacing w:after="0"/>
              <w:rPr>
                <w:sz w:val="20"/>
                <w:szCs w:val="20"/>
                <w:color w:val="auto"/>
              </w:rPr>
            </w:pPr>
            <w:r>
              <w:rPr>
                <w:rFonts w:ascii="Arial" w:cs="Arial" w:eastAsia="Arial" w:hAnsi="Arial"/>
                <w:sz w:val="14"/>
                <w:szCs w:val="14"/>
                <w:b w:val="1"/>
                <w:bCs w:val="1"/>
                <w:color w:val="auto"/>
                <w:w w:val="92"/>
              </w:rPr>
              <w:t>Registrant’s telephone number, including area code: (678) 270-3631</w:t>
            </w: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980" w:type="dxa"/>
            <w:vAlign w:val="bottom"/>
            <w:gridSpan w:val="5"/>
          </w:tcPr>
          <w:p>
            <w:pPr>
              <w:jc w:val="center"/>
              <w:ind w:left="3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color w:val="auto"/>
                <w:w w:val="93"/>
              </w:rPr>
              <w:t>Title of each class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gridSpan w:val="4"/>
          </w:tcPr>
          <w:p>
            <w:pPr>
              <w:jc w:val="center"/>
              <w:ind w:right="1540"/>
              <w:spacing w:after="0" w:line="162" w:lineRule="exact"/>
              <w:rPr>
                <w:sz w:val="20"/>
                <w:szCs w:val="20"/>
                <w:color w:val="auto"/>
              </w:rPr>
            </w:pPr>
            <w:r>
              <w:rPr>
                <w:rFonts w:ascii="Arial" w:cs="Arial" w:eastAsia="Arial" w:hAnsi="Arial"/>
                <w:sz w:val="15"/>
                <w:szCs w:val="15"/>
                <w:color w:val="auto"/>
                <w:w w:val="93"/>
              </w:rPr>
              <w:t>Trading Symbol(s)</w:t>
            </w:r>
          </w:p>
        </w:tc>
        <w:tc>
          <w:tcPr>
            <w:tcW w:w="2840" w:type="dxa"/>
            <w:vAlign w:val="bottom"/>
            <w:gridSpan w:val="2"/>
          </w:tcPr>
          <w:p>
            <w:pPr>
              <w:jc w:val="center"/>
              <w:ind w:left="64"/>
              <w:spacing w:after="0" w:line="162" w:lineRule="exact"/>
              <w:rPr>
                <w:sz w:val="20"/>
                <w:szCs w:val="20"/>
                <w:color w:val="auto"/>
              </w:rPr>
            </w:pPr>
            <w:r>
              <w:rPr>
                <w:rFonts w:ascii="Arial" w:cs="Arial" w:eastAsia="Arial" w:hAnsi="Arial"/>
                <w:sz w:val="15"/>
                <w:szCs w:val="15"/>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gridSpan w:val="3"/>
          </w:tcPr>
          <w:p>
            <w:pPr>
              <w:jc w:val="center"/>
              <w:ind w:right="80"/>
              <w:spacing w:after="0"/>
              <w:rPr>
                <w:sz w:val="20"/>
                <w:szCs w:val="20"/>
                <w:color w:val="auto"/>
              </w:rPr>
            </w:pPr>
            <w:r>
              <w:rPr>
                <w:rFonts w:ascii="Arial" w:cs="Arial" w:eastAsia="Arial" w:hAnsi="Arial"/>
                <w:sz w:val="15"/>
                <w:szCs w:val="15"/>
                <w:color w:val="auto"/>
                <w:w w:val="90"/>
              </w:rPr>
              <w:t>Common Stock, par value $0.001 per share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center"/>
              <w:ind w:right="1660"/>
              <w:spacing w:after="0"/>
              <w:rPr>
                <w:sz w:val="20"/>
                <w:szCs w:val="20"/>
                <w:color w:val="auto"/>
              </w:rPr>
            </w:pPr>
            <w:r>
              <w:rPr>
                <w:rFonts w:ascii="Arial" w:cs="Arial" w:eastAsia="Arial" w:hAnsi="Arial"/>
                <w:sz w:val="15"/>
                <w:szCs w:val="15"/>
                <w:color w:val="auto"/>
                <w:w w:val="94"/>
              </w:rPr>
              <w:t>CLSD</w:t>
            </w:r>
          </w:p>
        </w:tc>
        <w:tc>
          <w:tcPr>
            <w:tcW w:w="14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r>
        <w:trPr>
          <w:trHeight w:val="374"/>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20" w:type="dxa"/>
            <w:vAlign w:val="bottom"/>
            <w:gridSpan w:val="7"/>
          </w:tcPr>
          <w:p>
            <w:pPr>
              <w:jc w:val="center"/>
              <w:ind w:right="236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66"/>
        </w:trPr>
        <w:tc>
          <w:tcPr>
            <w:tcW w:w="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0" w:type="dxa"/>
            <w:vAlign w:val="bottom"/>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0" w:type="dxa"/>
            <w:vAlign w:val="bottom"/>
            <w:gridSpan w:val="2"/>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9740" w:type="dxa"/>
            <w:vAlign w:val="bottom"/>
            <w:gridSpan w:val="10"/>
          </w:tcPr>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0"/>
        </w:trPr>
        <w:tc>
          <w:tcPr>
            <w:tcW w:w="6900" w:type="dxa"/>
            <w:vAlign w:val="bottom"/>
            <w:gridSpan w:val="8"/>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w:t>
            </w:r>
          </w:p>
        </w:tc>
        <w:tc>
          <w:tcPr>
            <w:tcW w:w="2840" w:type="dxa"/>
            <w:vAlign w:val="bottom"/>
            <w:gridSpan w:val="2"/>
          </w:tcPr>
          <w:p>
            <w:pPr>
              <w:ind w:left="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firstLine="509"/>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40" w:firstLine="509"/>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360" w:firstLine="509"/>
        <w:spacing w:after="0" w:line="3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0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0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720"/>
              <w:spacing w:after="0"/>
              <w:rPr>
                <w:sz w:val="20"/>
                <w:szCs w:val="20"/>
                <w:color w:val="auto"/>
              </w:rPr>
            </w:pPr>
            <w:r>
              <w:rPr>
                <w:rFonts w:ascii="Arial" w:cs="Arial" w:eastAsia="Arial" w:hAnsi="Arial"/>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20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0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720"/>
              <w:spacing w:after="0"/>
              <w:rPr>
                <w:sz w:val="20"/>
                <w:szCs w:val="20"/>
                <w:color w:val="auto"/>
              </w:rPr>
            </w:pPr>
            <w:r>
              <w:rPr>
                <w:rFonts w:ascii="Arial" w:cs="Arial" w:eastAsia="Arial" w:hAnsi="Arial"/>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20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820" w:type="dxa"/>
            <w:vAlign w:val="bottom"/>
          </w:tcPr>
          <w:p>
            <w:pPr>
              <w:ind w:left="2720"/>
              <w:spacing w:after="0"/>
              <w:rPr>
                <w:sz w:val="20"/>
                <w:szCs w:val="20"/>
                <w:color w:val="auto"/>
              </w:rPr>
            </w:pPr>
            <w:r>
              <w:rPr>
                <w:rFonts w:ascii="Arial" w:cs="Arial" w:eastAsia="Arial" w:hAnsi="Arial"/>
                <w:sz w:val="15"/>
                <w:szCs w:val="15"/>
                <w:color w:val="auto"/>
              </w:rPr>
              <w:t>Emerging growth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6" w:lineRule="exact"/>
        <w:rPr>
          <w:sz w:val="24"/>
          <w:szCs w:val="24"/>
          <w:color w:val="auto"/>
        </w:rPr>
      </w:pPr>
    </w:p>
    <w:p>
      <w:pPr>
        <w:ind w:firstLine="509"/>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6" w:lineRule="exact"/>
        <w:rPr>
          <w:sz w:val="24"/>
          <w:szCs w:val="24"/>
          <w:color w:val="auto"/>
        </w:rPr>
      </w:pPr>
    </w:p>
    <w:p>
      <w:pPr>
        <w:ind w:right="180" w:firstLine="569"/>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 w:lineRule="exact"/>
        <w:rPr>
          <w:sz w:val="24"/>
          <w:szCs w:val="24"/>
          <w:color w:val="auto"/>
        </w:rPr>
      </w:pPr>
    </w:p>
    <w:p>
      <w:pPr>
        <w:ind w:left="520"/>
        <w:spacing w:after="0" w:line="173" w:lineRule="exact"/>
        <w:tabs>
          <w:tab w:leader="none" w:pos="7600" w:val="left"/>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87" w:lineRule="exact"/>
        <w:rPr>
          <w:sz w:val="24"/>
          <w:szCs w:val="24"/>
          <w:color w:val="auto"/>
        </w:rPr>
      </w:pPr>
    </w:p>
    <w:p>
      <w:pPr>
        <w:ind w:right="400" w:firstLine="509"/>
        <w:spacing w:after="0"/>
        <w:rPr>
          <w:sz w:val="20"/>
          <w:szCs w:val="20"/>
          <w:color w:val="auto"/>
        </w:rPr>
      </w:pPr>
      <w:r>
        <w:rPr>
          <w:rFonts w:ascii="Arial" w:cs="Arial" w:eastAsia="Arial" w:hAnsi="Arial"/>
          <w:sz w:val="15"/>
          <w:szCs w:val="15"/>
          <w:color w:val="auto"/>
        </w:rPr>
        <w:t>The aggregate market value of Clearside Biomedical, Inc. voting and non-voting common equity held by non-affiliates as of June 30, 2021 (the last business day of the registrant's most recently completed second fiscal quarter) based on the closing sale price of $4.87 as reported on the Nasdaq Global Market on that date was approximately $227,700,000.</w:t>
      </w:r>
    </w:p>
    <w:p>
      <w:pPr>
        <w:spacing w:after="0" w:line="3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March 7, 2022, the registrant had 60,147,618 shares of common stock, par value $0.001 per share, outstanding.</w:t>
      </w:r>
    </w:p>
    <w:p>
      <w:pPr>
        <w:spacing w:after="0" w:line="53" w:lineRule="exact"/>
        <w:rPr>
          <w:sz w:val="24"/>
          <w:szCs w:val="24"/>
          <w:color w:val="auto"/>
        </w:rPr>
      </w:pPr>
    </w:p>
    <w:p>
      <w:pPr>
        <w:ind w:left="41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75" w:lineRule="exact"/>
        <w:rPr>
          <w:sz w:val="24"/>
          <w:szCs w:val="24"/>
          <w:color w:val="auto"/>
        </w:rPr>
      </w:pPr>
    </w:p>
    <w:p>
      <w:pPr>
        <w:ind w:right="260" w:firstLine="509"/>
        <w:spacing w:after="0" w:line="255" w:lineRule="auto"/>
        <w:rPr>
          <w:sz w:val="20"/>
          <w:szCs w:val="20"/>
          <w:color w:val="auto"/>
        </w:rPr>
      </w:pPr>
      <w:r>
        <w:rPr>
          <w:rFonts w:ascii="Arial" w:cs="Arial" w:eastAsia="Arial" w:hAnsi="Arial"/>
          <w:sz w:val="15"/>
          <w:szCs w:val="15"/>
          <w:color w:val="auto"/>
        </w:rPr>
        <w:t>Portions of the Company’s definitive proxy statement, to be filed pursuant to Regulation 14A under the Securities Exchange Act of 1934, for its 2022 Annual Meeting of Stockholders are incorporated by reference in Part III of the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5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commercialization of XIPERE by our licensing partners;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the development and potential commercialization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preclinical studies and clinical trials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planned regulatory filings;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clinical utility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and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enter into and maintain collaborations with other companies;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 candidates with significant commercial potential that are compatible with suprachoroidal injection and which are consistent with our commercial objectives;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cash resources, our future expenses and needs for additional financing.</w:t>
      </w:r>
    </w:p>
    <w:p>
      <w:pPr>
        <w:spacing w:after="0" w:line="212" w:lineRule="exact"/>
        <w:rPr>
          <w:sz w:val="20"/>
          <w:szCs w:val="20"/>
          <w:color w:val="auto"/>
        </w:rPr>
      </w:pPr>
    </w:p>
    <w:p>
      <w:pPr>
        <w:ind w:right="20" w:firstLine="509"/>
        <w:spacing w:after="0" w:line="206" w:lineRule="exact"/>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As a result of these factors, we cannot assure you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this Annual Report will prove to be accurate. Furthermore, if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prove to be inaccurate, the inaccuracy may be material. In light of the significant uncertainties in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have proprietary rights to a number of trademarks used in this Annual Report which are important to our business, including Clearside, XIPERE, SCS,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Risk Factors Summary</w:t>
      </w:r>
    </w:p>
    <w:p>
      <w:pPr>
        <w:spacing w:after="0" w:line="216" w:lineRule="exact"/>
        <w:rPr>
          <w:sz w:val="20"/>
          <w:szCs w:val="20"/>
          <w:color w:val="auto"/>
        </w:rPr>
      </w:pPr>
    </w:p>
    <w:p>
      <w:pPr>
        <w:jc w:val="both"/>
        <w:ind w:right="300" w:firstLine="509"/>
        <w:spacing w:after="0" w:line="270" w:lineRule="auto"/>
        <w:rPr>
          <w:sz w:val="20"/>
          <w:szCs w:val="20"/>
          <w:color w:val="auto"/>
        </w:rPr>
      </w:pPr>
      <w:r>
        <w:rPr>
          <w:rFonts w:ascii="Arial" w:cs="Arial" w:eastAsia="Arial" w:hAnsi="Arial"/>
          <w:sz w:val="17"/>
          <w:szCs w:val="17"/>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56" w:lineRule="exact"/>
        <w:rPr>
          <w:sz w:val="20"/>
          <w:szCs w:val="20"/>
          <w:color w:val="auto"/>
        </w:rPr>
      </w:pPr>
    </w:p>
    <w:p>
      <w:pPr>
        <w:ind w:left="760" w:right="4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62" w:lineRule="exact"/>
        <w:rPr>
          <w:rFonts w:ascii="Arial" w:cs="Arial" w:eastAsia="Arial" w:hAnsi="Arial"/>
          <w:sz w:val="18"/>
          <w:szCs w:val="18"/>
          <w:color w:val="auto"/>
        </w:rPr>
      </w:pPr>
    </w:p>
    <w:p>
      <w:pPr>
        <w:ind w:left="760" w:right="380" w:hanging="378"/>
        <w:spacing w:after="0" w:line="324"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16" w:lineRule="exact"/>
        <w:rPr>
          <w:rFonts w:ascii="Arial" w:cs="Arial" w:eastAsia="Arial" w:hAnsi="Arial"/>
          <w:sz w:val="16"/>
          <w:szCs w:val="16"/>
          <w:color w:val="auto"/>
        </w:rPr>
      </w:pPr>
    </w:p>
    <w:p>
      <w:pPr>
        <w:ind w:left="760" w:right="200" w:hanging="378"/>
        <w:spacing w:after="0" w:line="270"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efforts are focused on the development of product candidates for treatment of eye disease through suprachoroidal injection and partnering with companies who can leverage our SCS Microinjector to deliver their ophthalmic product candidates to the suprachoroidal space, or SCS. Suprachoroidal injection is a novel approach and may fail to achieve and sustain market acceptance.</w:t>
      </w:r>
    </w:p>
    <w:p>
      <w:pPr>
        <w:spacing w:after="0" w:line="55" w:lineRule="exact"/>
        <w:rPr>
          <w:rFonts w:ascii="Arial" w:cs="Arial" w:eastAsia="Arial" w:hAnsi="Arial"/>
          <w:sz w:val="17"/>
          <w:szCs w:val="17"/>
          <w:color w:val="auto"/>
        </w:rPr>
      </w:pPr>
    </w:p>
    <w:p>
      <w:pPr>
        <w:ind w:left="760" w:right="4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regulatory approval for, and commercialize either on our own or with a third party, CLS-AX or our other product candidates, or if we experience significant delays in doing so, our business may be harmed.</w:t>
      </w:r>
    </w:p>
    <w:p>
      <w:pPr>
        <w:spacing w:after="0" w:line="62" w:lineRule="exact"/>
        <w:rPr>
          <w:rFonts w:ascii="Arial" w:cs="Arial" w:eastAsia="Arial" w:hAnsi="Arial"/>
          <w:sz w:val="18"/>
          <w:szCs w:val="18"/>
          <w:color w:val="auto"/>
        </w:rPr>
      </w:pPr>
    </w:p>
    <w:p>
      <w:pPr>
        <w:ind w:left="760" w:right="2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62"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granted an exclusive license to Bausch for the commercialization and development of XIPERE in the United States and Canada. If we are unable to maintain our partnership with Bausch, or if Bausch fails to successfully commercialize XIPERE, our business and prospects will be materially harmed.</w:t>
      </w:r>
    </w:p>
    <w:p>
      <w:pPr>
        <w:spacing w:after="0" w:line="73" w:lineRule="exact"/>
        <w:rPr>
          <w:rFonts w:ascii="Arial" w:cs="Arial" w:eastAsia="Arial" w:hAnsi="Arial"/>
          <w:sz w:val="18"/>
          <w:szCs w:val="18"/>
          <w:color w:val="auto"/>
        </w:rPr>
      </w:pPr>
    </w:p>
    <w:p>
      <w:pPr>
        <w:ind w:left="760" w:right="60" w:hanging="378"/>
        <w:spacing w:after="0" w:line="24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into, and intend to continue intend to enter into, collaborations with third parties for the development and commercialization of product candidates. If those collaborations are not successful, we may not be able to capitalize on the market potential of these product candidates.</w:t>
      </w:r>
    </w:p>
    <w:p>
      <w:pPr>
        <w:spacing w:after="0" w:line="73" w:lineRule="exact"/>
        <w:rPr>
          <w:rFonts w:ascii="Arial" w:cs="Arial" w:eastAsia="Arial" w:hAnsi="Arial"/>
          <w:sz w:val="18"/>
          <w:szCs w:val="18"/>
          <w:color w:val="auto"/>
        </w:rPr>
      </w:pPr>
    </w:p>
    <w:p>
      <w:pPr>
        <w:ind w:left="760" w:right="20" w:hanging="378"/>
        <w:spacing w:after="0" w:line="24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20" w:type="dxa"/>
            <w:vAlign w:val="bottom"/>
            <w:gridSpan w:val="11"/>
            <w:vMerge w:val="restart"/>
          </w:tcPr>
          <w:p>
            <w:pPr>
              <w:jc w:val="center"/>
              <w:ind w:right="4740"/>
              <w:spacing w:after="0"/>
              <w:rPr>
                <w:rFonts w:ascii="Arial" w:cs="Arial" w:eastAsia="Arial" w:hAnsi="Arial"/>
                <w:sz w:val="18"/>
                <w:szCs w:val="18"/>
                <w:b w:val="1"/>
                <w:bCs w:val="1"/>
                <w:color w:val="0000FF"/>
                <w:w w:val="98"/>
              </w:rPr>
            </w:pPr>
            <w:hyperlink w:anchor="page5">
              <w:r>
                <w:rPr>
                  <w:rFonts w:ascii="Arial" w:cs="Arial" w:eastAsia="Arial" w:hAnsi="Arial"/>
                  <w:sz w:val="18"/>
                  <w:szCs w:val="18"/>
                  <w:b w:val="1"/>
                  <w:bCs w:val="1"/>
                  <w:color w:val="0000FF"/>
                  <w:w w:val="98"/>
                </w:rPr>
                <w:t>PART I</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20" w:type="dxa"/>
            <w:vAlign w:val="bottom"/>
            <w:gridSpan w:val="11"/>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4020" w:type="dxa"/>
            <w:vAlign w:val="bottom"/>
            <w:gridSpan w:val="16"/>
          </w:tcPr>
          <w:p>
            <w:pPr>
              <w:spacing w:after="0"/>
              <w:rPr>
                <w:sz w:val="18"/>
                <w:szCs w:val="18"/>
                <w:color w:val="auto"/>
              </w:rPr>
            </w:pPr>
          </w:p>
        </w:tc>
        <w:tc>
          <w:tcPr>
            <w:tcW w:w="580" w:type="dxa"/>
            <w:vAlign w:val="bottom"/>
            <w:tcBorders>
              <w:top w:val="single" w:sz="8" w:color="0000EE"/>
            </w:tcBorders>
            <w:gridSpan w:val="3"/>
          </w:tcPr>
          <w:p>
            <w:pPr>
              <w:spacing w:after="0"/>
              <w:rPr>
                <w:sz w:val="18"/>
                <w:szCs w:val="18"/>
                <w:color w:val="auto"/>
              </w:rPr>
            </w:pPr>
          </w:p>
        </w:tc>
        <w:tc>
          <w:tcPr>
            <w:tcW w:w="4740" w:type="dxa"/>
            <w:vAlign w:val="bottom"/>
            <w:gridSpan w:val="8"/>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1A.</w:t>
            </w:r>
          </w:p>
        </w:tc>
        <w:tc>
          <w:tcPr>
            <w:tcW w:w="9980" w:type="dxa"/>
            <w:vAlign w:val="bottom"/>
            <w:gridSpan w:val="28"/>
          </w:tcPr>
          <w:p>
            <w:pPr>
              <w:spacing w:after="0" w:line="182"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EE"/>
            </w:tcBorders>
            <w:gridSpan w:val="4"/>
          </w:tcPr>
          <w:p>
            <w:pPr>
              <w:spacing w:after="0" w:line="182" w:lineRule="exact"/>
              <w:rPr>
                <w:rFonts w:ascii="Arial" w:cs="Arial" w:eastAsia="Arial" w:hAnsi="Arial"/>
                <w:sz w:val="18"/>
                <w:szCs w:val="18"/>
                <w:color w:val="0000FF"/>
                <w:w w:val="96"/>
              </w:rPr>
            </w:pPr>
            <w:hyperlink w:anchor="page57">
              <w:r>
                <w:rPr>
                  <w:rFonts w:ascii="Arial" w:cs="Arial" w:eastAsia="Arial" w:hAnsi="Arial"/>
                  <w:sz w:val="18"/>
                  <w:szCs w:val="18"/>
                  <w:color w:val="0000FF"/>
                  <w:w w:val="96"/>
                </w:rPr>
                <w:t>Unresolved</w:t>
              </w:r>
            </w:hyperlink>
          </w:p>
        </w:tc>
        <w:tc>
          <w:tcPr>
            <w:tcW w:w="9080" w:type="dxa"/>
            <w:vAlign w:val="bottom"/>
            <w:gridSpan w:val="24"/>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Staff Comments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Properties</w:t>
              </w:r>
            </w:hyperlink>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20" w:type="dxa"/>
            <w:vAlign w:val="bottom"/>
            <w:gridSpan w:val="3"/>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83"/>
        </w:trPr>
        <w:tc>
          <w:tcPr>
            <w:tcW w:w="820" w:type="dxa"/>
            <w:vAlign w:val="bottom"/>
            <w:gridSpan w:val="3"/>
            <w:vMerge w:val="continue"/>
          </w:tcPr>
          <w:p>
            <w:pPr>
              <w:spacing w:after="0"/>
              <w:rPr>
                <w:sz w:val="15"/>
                <w:szCs w:val="15"/>
                <w:color w:val="auto"/>
              </w:rPr>
            </w:pPr>
          </w:p>
        </w:tc>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FF"/>
                <w:w w:val="88"/>
              </w:rPr>
            </w:pPr>
            <w:hyperlink w:anchor="page57">
              <w:r>
                <w:rPr>
                  <w:rFonts w:ascii="Arial" w:cs="Arial" w:eastAsia="Arial" w:hAnsi="Arial"/>
                  <w:sz w:val="18"/>
                  <w:szCs w:val="18"/>
                  <w:color w:val="0000FF"/>
                  <w:w w:val="88"/>
                </w:rPr>
                <w:t>Legal Proceedings</w:t>
              </w:r>
            </w:hyperlink>
          </w:p>
        </w:tc>
        <w:tc>
          <w:tcPr>
            <w:tcW w:w="8640" w:type="dxa"/>
            <w:vAlign w:val="bottom"/>
            <w:gridSpan w:val="22"/>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9980" w:type="dxa"/>
            <w:vAlign w:val="bottom"/>
            <w:gridSpan w:val="28"/>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Mine Safety Disclosures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11"/>
          </w:tcPr>
          <w:p>
            <w:pPr>
              <w:jc w:val="center"/>
              <w:ind w:right="4680"/>
              <w:spacing w:after="0"/>
              <w:rPr>
                <w:rFonts w:ascii="Arial" w:cs="Arial" w:eastAsia="Arial" w:hAnsi="Arial"/>
                <w:sz w:val="18"/>
                <w:szCs w:val="18"/>
                <w:b w:val="1"/>
                <w:bCs w:val="1"/>
                <w:color w:val="0000FF"/>
                <w:w w:val="99"/>
              </w:rPr>
            </w:pPr>
            <w:hyperlink w:anchor="page57">
              <w:r>
                <w:rPr>
                  <w:rFonts w:ascii="Arial" w:cs="Arial" w:eastAsia="Arial" w:hAnsi="Arial"/>
                  <w:sz w:val="18"/>
                  <w:szCs w:val="18"/>
                  <w:b w:val="1"/>
                  <w:bCs w:val="1"/>
                  <w:color w:val="0000FF"/>
                  <w:w w:val="99"/>
                </w:rPr>
                <w:t>PART II</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3"/>
            <w:vMerge w:val="restart"/>
          </w:tcPr>
          <w:p>
            <w:pPr>
              <w:ind w:left="20"/>
              <w:spacing w:after="0" w:line="202" w:lineRule="exact"/>
              <w:rPr>
                <w:sz w:val="20"/>
                <w:szCs w:val="20"/>
                <w:color w:val="auto"/>
              </w:rPr>
            </w:pPr>
            <w:r>
              <w:rPr>
                <w:rFonts w:ascii="Arial" w:cs="Arial" w:eastAsia="Arial" w:hAnsi="Arial"/>
                <w:sz w:val="18"/>
                <w:szCs w:val="18"/>
                <w:color w:val="auto"/>
              </w:rPr>
              <w:t>Item 5.</w:t>
            </w: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40" w:type="dxa"/>
            <w:vAlign w:val="bottom"/>
            <w:gridSpan w:val="6"/>
            <w:vMerge w:val="restart"/>
          </w:tcPr>
          <w:p>
            <w:pPr>
              <w:ind w:left="6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Issuer Purchases of Equity Securities</w:t>
              </w:r>
            </w:hyperlink>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83"/>
        </w:trPr>
        <w:tc>
          <w:tcPr>
            <w:tcW w:w="820" w:type="dxa"/>
            <w:vAlign w:val="bottom"/>
            <w:gridSpan w:val="3"/>
            <w:vMerge w:val="continue"/>
          </w:tcPr>
          <w:p>
            <w:pPr>
              <w:spacing w:after="0"/>
              <w:rPr>
                <w:sz w:val="15"/>
                <w:szCs w:val="15"/>
                <w:color w:val="auto"/>
              </w:rPr>
            </w:pPr>
          </w:p>
        </w:tc>
        <w:tc>
          <w:tcPr>
            <w:tcW w:w="5300" w:type="dxa"/>
            <w:vAlign w:val="bottom"/>
            <w:gridSpan w:val="21"/>
          </w:tcPr>
          <w:p>
            <w:pPr>
              <w:spacing w:after="0" w:line="182"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Market for Registrant’s Common Equity, Related Stockholder Matters and</w:t>
              </w:r>
            </w:hyperlink>
          </w:p>
        </w:tc>
        <w:tc>
          <w:tcPr>
            <w:tcW w:w="40" w:type="dxa"/>
            <w:vAlign w:val="bottom"/>
            <w:vMerge w:val="continue"/>
          </w:tcPr>
          <w:p>
            <w:pPr>
              <w:spacing w:after="0"/>
              <w:rPr>
                <w:sz w:val="15"/>
                <w:szCs w:val="15"/>
                <w:color w:val="auto"/>
              </w:rPr>
            </w:pPr>
          </w:p>
        </w:tc>
        <w:tc>
          <w:tcPr>
            <w:tcW w:w="4640" w:type="dxa"/>
            <w:vAlign w:val="bottom"/>
            <w:gridSpan w:val="6"/>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27"/>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[Reserved]</w:t>
              </w:r>
            </w:hyperlink>
          </w:p>
        </w:tc>
        <w:tc>
          <w:tcPr>
            <w:tcW w:w="19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820" w:type="dxa"/>
            <w:vAlign w:val="bottom"/>
            <w:gridSpan w:val="3"/>
            <w:vMerge w:val="restart"/>
          </w:tcPr>
          <w:p>
            <w:pPr>
              <w:ind w:left="20"/>
              <w:spacing w:after="0" w:line="202" w:lineRule="exact"/>
              <w:rPr>
                <w:sz w:val="20"/>
                <w:szCs w:val="20"/>
                <w:color w:val="auto"/>
              </w:rPr>
            </w:pPr>
            <w:r>
              <w:rPr>
                <w:rFonts w:ascii="Arial" w:cs="Arial" w:eastAsia="Arial" w:hAnsi="Arial"/>
                <w:sz w:val="18"/>
                <w:szCs w:val="18"/>
                <w:color w:val="auto"/>
              </w:rPr>
              <w:t>Item 7.</w:t>
            </w: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83"/>
        </w:trPr>
        <w:tc>
          <w:tcPr>
            <w:tcW w:w="820" w:type="dxa"/>
            <w:vAlign w:val="bottom"/>
            <w:gridSpan w:val="3"/>
            <w:vMerge w:val="continue"/>
          </w:tcPr>
          <w:p>
            <w:pPr>
              <w:spacing w:after="0"/>
              <w:rPr>
                <w:sz w:val="15"/>
                <w:szCs w:val="15"/>
                <w:color w:val="auto"/>
              </w:rPr>
            </w:pPr>
          </w:p>
        </w:tc>
        <w:tc>
          <w:tcPr>
            <w:tcW w:w="9980" w:type="dxa"/>
            <w:vAlign w:val="bottom"/>
            <w:gridSpan w:val="28"/>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Management’s Discussion and Analysis of Financial Condition and Results of Operations</w:t>
              </w:r>
            </w:hyperlink>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4"/>
          </w:tcPr>
          <w:p>
            <w:pPr>
              <w:spacing w:after="0" w:line="182" w:lineRule="exact"/>
              <w:rPr>
                <w:rFonts w:ascii="Arial" w:cs="Arial" w:eastAsia="Arial" w:hAnsi="Arial"/>
                <w:sz w:val="18"/>
                <w:szCs w:val="18"/>
                <w:color w:val="0000FF"/>
              </w:rPr>
            </w:pPr>
            <w:hyperlink w:anchor="page68">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7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5"/>
          </w:tcPr>
          <w:p>
            <w:pPr>
              <w:spacing w:after="0" w:line="182" w:lineRule="exact"/>
              <w:rPr>
                <w:rFonts w:ascii="Arial" w:cs="Arial" w:eastAsia="Arial" w:hAnsi="Arial"/>
                <w:sz w:val="18"/>
                <w:szCs w:val="18"/>
                <w:color w:val="0000FF"/>
              </w:rPr>
            </w:pPr>
            <w:hyperlink w:anchor="page69">
              <w:r>
                <w:rPr>
                  <w:rFonts w:ascii="Arial" w:cs="Arial" w:eastAsia="Arial" w:hAnsi="Arial"/>
                  <w:sz w:val="18"/>
                  <w:szCs w:val="18"/>
                  <w:color w:val="0000FF"/>
                </w:rPr>
                <w:t>Financial Statements and Supplementary Data</w:t>
              </w:r>
            </w:hyperlink>
          </w:p>
        </w:tc>
        <w:tc>
          <w:tcPr>
            <w:tcW w:w="2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7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w:t>
            </w:r>
          </w:p>
        </w:tc>
        <w:tc>
          <w:tcPr>
            <w:tcW w:w="3320" w:type="dxa"/>
            <w:vAlign w:val="bottom"/>
            <w:tcBorders>
              <w:top w:val="single" w:sz="8" w:color="0000EE"/>
            </w:tcBorders>
            <w:gridSpan w:val="13"/>
          </w:tcPr>
          <w:p>
            <w:pPr>
              <w:spacing w:after="0" w:line="182" w:lineRule="exact"/>
              <w:rPr>
                <w:rFonts w:ascii="Arial" w:cs="Arial" w:eastAsia="Arial" w:hAnsi="Arial"/>
                <w:sz w:val="18"/>
                <w:szCs w:val="18"/>
                <w:color w:val="0000FF"/>
                <w:w w:val="83"/>
              </w:rPr>
            </w:pPr>
            <w:hyperlink w:anchor="page90">
              <w:r>
                <w:rPr>
                  <w:rFonts w:ascii="Arial" w:cs="Arial" w:eastAsia="Arial" w:hAnsi="Arial"/>
                  <w:sz w:val="18"/>
                  <w:szCs w:val="18"/>
                  <w:color w:val="0000FF"/>
                  <w:w w:val="83"/>
                </w:rPr>
                <w:t>Changes in and Disagreements with Accountants</w:t>
              </w:r>
            </w:hyperlink>
          </w:p>
        </w:tc>
        <w:tc>
          <w:tcPr>
            <w:tcW w:w="6660" w:type="dxa"/>
            <w:vAlign w:val="bottom"/>
            <w:gridSpan w:val="15"/>
          </w:tcPr>
          <w:p>
            <w:pPr>
              <w:ind w:left="260"/>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on Accounting and Financial Disclosure</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Controls and Procedures</w:t>
              </w:r>
            </w:hyperlink>
          </w:p>
        </w:tc>
        <w:tc>
          <w:tcPr>
            <w:tcW w:w="800" w:type="dxa"/>
            <w:vAlign w:val="bottom"/>
          </w:tcPr>
          <w:p>
            <w:pPr>
              <w:spacing w:after="0"/>
              <w:rPr>
                <w:sz w:val="15"/>
                <w:szCs w:val="15"/>
                <w:color w:val="auto"/>
              </w:rPr>
            </w:pPr>
          </w:p>
        </w:tc>
        <w:tc>
          <w:tcPr>
            <w:tcW w:w="27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FF"/>
                <w:w w:val="92"/>
              </w:rPr>
            </w:pPr>
            <w:hyperlink w:anchor="page90">
              <w:r>
                <w:rPr>
                  <w:rFonts w:ascii="Arial" w:cs="Arial" w:eastAsia="Arial" w:hAnsi="Arial"/>
                  <w:sz w:val="18"/>
                  <w:szCs w:val="18"/>
                  <w:color w:val="0000FF"/>
                  <w:w w:val="92"/>
                </w:rPr>
                <w:t>Other Information</w:t>
              </w:r>
            </w:hyperlink>
          </w:p>
        </w:tc>
        <w:tc>
          <w:tcPr>
            <w:tcW w:w="44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27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18"/>
          </w:tcPr>
          <w:p>
            <w:pPr>
              <w:spacing w:after="0" w:line="182"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Disclosure Regarding Foreign Jurisdictions that Prevent Inspections</w:t>
              </w:r>
            </w:hyperlink>
          </w:p>
        </w:tc>
        <w:tc>
          <w:tcPr>
            <w:tcW w:w="20" w:type="dxa"/>
            <w:vAlign w:val="bottom"/>
            <w:tcBorders>
              <w:bottom w:val="single" w:sz="8" w:color="0000EE"/>
            </w:tcBorders>
          </w:tcPr>
          <w:p>
            <w:pPr>
              <w:spacing w:after="0"/>
              <w:rPr>
                <w:sz w:val="15"/>
                <w:szCs w:val="15"/>
                <w:color w:val="auto"/>
              </w:rPr>
            </w:pPr>
          </w:p>
        </w:tc>
        <w:tc>
          <w:tcPr>
            <w:tcW w:w="5060" w:type="dxa"/>
            <w:vAlign w:val="bottom"/>
            <w:gridSpan w:val="9"/>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3"/>
          </w:tcPr>
          <w:p>
            <w:pPr>
              <w:jc w:val="center"/>
              <w:ind w:right="4380"/>
              <w:spacing w:after="0"/>
              <w:rPr>
                <w:sz w:val="20"/>
                <w:szCs w:val="20"/>
                <w:color w:val="auto"/>
              </w:rPr>
            </w:pPr>
            <w:r>
              <w:rPr>
                <w:rFonts w:ascii="Arial" w:cs="Arial" w:eastAsia="Arial" w:hAnsi="Arial"/>
                <w:sz w:val="18"/>
                <w:szCs w:val="18"/>
                <w:b w:val="1"/>
                <w:bCs w:val="1"/>
                <w:color w:val="0000FF"/>
              </w:rPr>
              <w:t>PART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10.</w:t>
            </w:r>
          </w:p>
        </w:tc>
        <w:tc>
          <w:tcPr>
            <w:tcW w:w="9980" w:type="dxa"/>
            <w:vAlign w:val="bottom"/>
            <w:gridSpan w:val="28"/>
          </w:tcPr>
          <w:p>
            <w:pPr>
              <w:spacing w:after="0" w:line="190" w:lineRule="exact"/>
              <w:rPr>
                <w:rFonts w:ascii="Arial" w:cs="Arial" w:eastAsia="Arial" w:hAnsi="Arial"/>
                <w:sz w:val="18"/>
                <w:szCs w:val="18"/>
                <w:color w:val="0000FF"/>
              </w:rPr>
            </w:pPr>
            <w:hyperlink w:anchor="page91">
              <w:r>
                <w:rPr>
                  <w:rFonts w:ascii="Arial" w:cs="Arial" w:eastAsia="Arial" w:hAnsi="Arial"/>
                  <w:sz w:val="18"/>
                  <w:szCs w:val="18"/>
                  <w:color w:val="0000FF"/>
                </w:rPr>
                <w:t>Directors, Executive Officers and Corporate Governance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4"/>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Executive Compensation</w:t>
              </w:r>
            </w:hyperlink>
          </w:p>
        </w:tc>
        <w:tc>
          <w:tcPr>
            <w:tcW w:w="520" w:type="dxa"/>
            <w:vAlign w:val="bottom"/>
            <w:gridSpan w:val="2"/>
          </w:tcPr>
          <w:p>
            <w:pPr>
              <w:spacing w:after="0"/>
              <w:rPr>
                <w:sz w:val="15"/>
                <w:szCs w:val="15"/>
                <w:color w:val="auto"/>
              </w:rPr>
            </w:pPr>
          </w:p>
        </w:tc>
        <w:tc>
          <w:tcPr>
            <w:tcW w:w="720" w:type="dxa"/>
            <w:vAlign w:val="bottom"/>
            <w:gridSpan w:val="6"/>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27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EE"/>
            </w:tcBorders>
            <w:gridSpan w:val="9"/>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Security Ownership of</w:t>
              </w:r>
            </w:hyperlink>
          </w:p>
        </w:tc>
        <w:tc>
          <w:tcPr>
            <w:tcW w:w="8180" w:type="dxa"/>
            <w:vAlign w:val="bottom"/>
            <w:gridSpan w:val="19"/>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Certain Beneficial Owners and Management and Related Stockholder Matters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Certain Relationships and Related Transactions, and Director Independence</w:t>
              </w:r>
            </w:hyperlink>
          </w:p>
        </w:tc>
        <w:tc>
          <w:tcPr>
            <w:tcW w:w="27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line="182" w:lineRule="exact"/>
              <w:rPr>
                <w:rFonts w:ascii="Arial" w:cs="Arial" w:eastAsia="Arial" w:hAnsi="Arial"/>
                <w:sz w:val="18"/>
                <w:szCs w:val="18"/>
                <w:color w:val="0000FF"/>
              </w:rPr>
            </w:pPr>
            <w:hyperlink w:anchor="page91">
              <w:r>
                <w:rPr>
                  <w:rFonts w:ascii="Arial" w:cs="Arial" w:eastAsia="Arial" w:hAnsi="Arial"/>
                  <w:sz w:val="18"/>
                  <w:szCs w:val="18"/>
                  <w:color w:val="0000FF"/>
                </w:rPr>
                <w:t>Principal Accountant Fees and Services</w:t>
              </w:r>
            </w:hyperlink>
          </w:p>
        </w:tc>
        <w:tc>
          <w:tcPr>
            <w:tcW w:w="4540" w:type="dxa"/>
            <w:vAlign w:val="bottom"/>
            <w:gridSpan w:val="5"/>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2"/>
          </w:tcPr>
          <w:p>
            <w:pPr>
              <w:jc w:val="center"/>
              <w:ind w:right="4640"/>
              <w:spacing w:after="0"/>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PART IV</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15.</w:t>
            </w:r>
          </w:p>
        </w:tc>
        <w:tc>
          <w:tcPr>
            <w:tcW w:w="4620" w:type="dxa"/>
            <w:vAlign w:val="bottom"/>
            <w:gridSpan w:val="16"/>
          </w:tcPr>
          <w:p>
            <w:pPr>
              <w:spacing w:after="0" w:line="182" w:lineRule="exact"/>
              <w:rPr>
                <w:rFonts w:ascii="Arial" w:cs="Arial" w:eastAsia="Arial" w:hAnsi="Arial"/>
                <w:sz w:val="18"/>
                <w:szCs w:val="18"/>
                <w:color w:val="0000FF"/>
              </w:rPr>
            </w:pPr>
            <w:hyperlink w:anchor="page92">
              <w:r>
                <w:rPr>
                  <w:rFonts w:ascii="Arial" w:cs="Arial" w:eastAsia="Arial" w:hAnsi="Arial"/>
                  <w:sz w:val="18"/>
                  <w:szCs w:val="18"/>
                  <w:color w:val="0000FF"/>
                </w:rPr>
                <w:t>Exhibits, Financial Statement Schedules</w:t>
              </w:r>
            </w:hyperlink>
          </w:p>
        </w:tc>
        <w:tc>
          <w:tcPr>
            <w:tcW w:w="720" w:type="dxa"/>
            <w:vAlign w:val="bottom"/>
            <w:tcBorders>
              <w:top w:val="single" w:sz="8" w:color="0000EE"/>
            </w:tcBorders>
            <w:gridSpan w:val="6"/>
          </w:tcPr>
          <w:p>
            <w:pPr>
              <w:spacing w:after="0"/>
              <w:rPr>
                <w:sz w:val="15"/>
                <w:szCs w:val="15"/>
                <w:color w:val="auto"/>
              </w:rPr>
            </w:pPr>
          </w:p>
        </w:tc>
        <w:tc>
          <w:tcPr>
            <w:tcW w:w="4640" w:type="dxa"/>
            <w:vAlign w:val="bottom"/>
            <w:gridSpan w:val="6"/>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line="182" w:lineRule="exact"/>
              <w:rPr>
                <w:rFonts w:ascii="Arial" w:cs="Arial" w:eastAsia="Arial" w:hAnsi="Arial"/>
                <w:sz w:val="18"/>
                <w:szCs w:val="18"/>
                <w:color w:val="0000FF"/>
              </w:rPr>
            </w:pPr>
            <w:hyperlink w:anchor="page95">
              <w:r>
                <w:rPr>
                  <w:rFonts w:ascii="Arial" w:cs="Arial" w:eastAsia="Arial" w:hAnsi="Arial"/>
                  <w:sz w:val="18"/>
                  <w:szCs w:val="18"/>
                  <w:color w:val="0000FF"/>
                </w:rPr>
                <w:t>Form 10-K Summary</w:t>
              </w:r>
            </w:hyperlink>
          </w:p>
        </w:tc>
        <w:tc>
          <w:tcPr>
            <w:tcW w:w="7080" w:type="dxa"/>
            <w:vAlign w:val="bottom"/>
            <w:gridSpan w:val="16"/>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820" w:type="dxa"/>
            <w:vAlign w:val="bottom"/>
            <w:gridSpan w:val="3"/>
          </w:tcPr>
          <w:p>
            <w:pPr>
              <w:ind w:left="20"/>
              <w:spacing w:after="0" w:line="182" w:lineRule="exact"/>
              <w:rPr>
                <w:rFonts w:ascii="Arial" w:cs="Arial" w:eastAsia="Arial" w:hAnsi="Arial"/>
                <w:sz w:val="18"/>
                <w:szCs w:val="18"/>
                <w:color w:val="0000FF"/>
                <w:w w:val="90"/>
              </w:rPr>
            </w:pPr>
            <w:hyperlink w:anchor="page96">
              <w:r>
                <w:rPr>
                  <w:rFonts w:ascii="Arial" w:cs="Arial" w:eastAsia="Arial" w:hAnsi="Arial"/>
                  <w:sz w:val="18"/>
                  <w:szCs w:val="18"/>
                  <w:color w:val="0000FF"/>
                  <w:w w:val="90"/>
                </w:rPr>
                <w:t>Signatures</w:t>
              </w:r>
            </w:hyperlink>
          </w:p>
        </w:tc>
        <w:tc>
          <w:tcPr>
            <w:tcW w:w="1540" w:type="dxa"/>
            <w:vAlign w:val="bottom"/>
            <w:tcBorders>
              <w:top w:val="single" w:sz="8" w:color="0000FF"/>
            </w:tcBorders>
            <w:gridSpan w:val="7"/>
            <w:vMerge w:val="restart"/>
          </w:tcPr>
          <w:p>
            <w:pPr>
              <w:spacing w:after="0"/>
              <w:rPr>
                <w:sz w:val="15"/>
                <w:szCs w:val="15"/>
                <w:color w:val="auto"/>
              </w:rPr>
            </w:pPr>
          </w:p>
        </w:tc>
        <w:tc>
          <w:tcPr>
            <w:tcW w:w="3360" w:type="dxa"/>
            <w:vAlign w:val="bottom"/>
            <w:gridSpan w:val="11"/>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top w:val="single" w:sz="8" w:color="0000FF"/>
            </w:tcBorders>
            <w:gridSpan w:val="7"/>
            <w:vMerge w:val="continue"/>
          </w:tcPr>
          <w:p>
            <w:pPr>
              <w:spacing w:after="0"/>
              <w:rPr>
                <w:sz w:val="24"/>
                <w:szCs w:val="24"/>
                <w:color w:val="auto"/>
              </w:rPr>
            </w:pPr>
          </w:p>
        </w:tc>
        <w:tc>
          <w:tcPr>
            <w:tcW w:w="3360" w:type="dxa"/>
            <w:vAlign w:val="bottom"/>
            <w:gridSpan w:val="11"/>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PART I</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are a biopharmaceutical company focused on revolutionizing the delivery of therapies to the back of the eye through the suprachoroidal space, or SCS. Our novel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17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we are creating a broad therapeutic platform for developing product candidates to treat serious eye diseases.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Suprachoroidal Space (SCS) Injection Platform</w:t>
      </w:r>
    </w:p>
    <w:p>
      <w:pPr>
        <w:spacing w:after="0" w:line="104" w:lineRule="exact"/>
        <w:rPr>
          <w:sz w:val="20"/>
          <w:szCs w:val="20"/>
          <w:color w:val="auto"/>
        </w:rPr>
      </w:pPr>
    </w:p>
    <w:p>
      <w:pPr>
        <w:ind w:right="100" w:firstLine="549"/>
        <w:spacing w:after="0" w:line="279" w:lineRule="auto"/>
        <w:rPr>
          <w:sz w:val="20"/>
          <w:szCs w:val="20"/>
          <w:color w:val="auto"/>
        </w:rPr>
      </w:pPr>
      <w:r>
        <w:rPr>
          <w:rFonts w:ascii="Arial" w:cs="Arial" w:eastAsia="Arial" w:hAnsi="Arial"/>
          <w:sz w:val="16"/>
          <w:szCs w:val="16"/>
          <w:color w:val="auto"/>
        </w:rPr>
        <w:t>Our suprachoroidal injection platform is a novel, patented approach for delivering pharmacotherapy to the back of the eye via the SCS. When fluid is injected between the choroid and sclera, the elasticity of the SCS allows the fluid to migrate and spread spherically toward the posterior regions of the eye where it is absorbed into adjacent tissue. Our proprietary SCS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 The suprachoroidal injection procedure is depicted in the picture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127000</wp:posOffset>
            </wp:positionV>
            <wp:extent cx="3188970" cy="1791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897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With suprachoroidal injections, product candidates are more directly administered to the retina and choroid, limiting exposure to non-target tissues as compared to other ocular drug administration techniques. Furthermore, a natural pressure gradient between the intraocular pressure, or IOP, and the SCS pressure drives suprachoroidal injectates posteriorly towards the macula, which facilitates treatment of macular disorders with this office-based approach, without the need for an intraocular catheter or other surgical techniques. In contrast, intravitreal injections, the current standard for delivery of many drugs for eye diseases, rely on diffusion of drug outward from the vitreous, a jelly-like substance that occupies the central portion of the eye, to the retina and choroid. This diffusion can result in lower concentrations of drug in these targeted areas and the drug spreading to unintended parts of the eye, potentially causing significant side effects. We believe treatment of eye disease via suprachoroidal injection may provide a number of benefits, including a non-surgical procedure, lower frequency of administration, limited exposure to non-targeted tissues, faster onset of therapeutic effect and an improved safety profile.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extensive patent portfolio provides us with the right to develop and commercialize pharmacological agents for treatment of eye diseases via suprachoroidal injection. We believe this proprietary method of administration has the potential to become the standard for the delivery of therapies intended to treat retinal and choroidal diseases. Our intellectual property portfolio consists of 24 issued U.S. patents and more than 60 European and international patents broadly directed to the use of the SCS Microinjector, administration of any drug into the SCS by injection, as well as XIPERE and our product candidates.</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SCS Microinjector</w:t>
      </w:r>
    </w:p>
    <w:p>
      <w:pPr>
        <w:spacing w:after="0" w:line="10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Our proprietary SCS Microinjector can be used to inject a wide variety of therapies into the SCS, including our internally developed and our collaborators’ drug candidates. Our SCS Microinjector provides targeted delivery to potentially improve efficacy and compartmentalization of medication to reduce or eliminate toxic effects on non-diseased cells. Suprachoroidal injection enables the rapid dispersion of medicine to the back of the eye, offering the potential for the medicine to act longer and minimize harm to the surrounding healthy parts of the eye.</w:t>
      </w:r>
    </w:p>
    <w:p>
      <w:pPr>
        <w:spacing w:after="0" w:line="17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Our SCS Microinjector has been tested in over 1,200 suprachoroidal injections as part of our clinical trials, and these injections performed across multiple retinal disorders have demonstrated a safety profile comparable to intravitreal injections.</w:t>
      </w:r>
    </w:p>
    <w:p>
      <w:pPr>
        <w:spacing w:after="0" w:line="171" w:lineRule="exact"/>
        <w:rPr>
          <w:sz w:val="20"/>
          <w:szCs w:val="20"/>
          <w:color w:val="auto"/>
        </w:rPr>
      </w:pPr>
    </w:p>
    <w:p>
      <w:pPr>
        <w:ind w:right="460" w:firstLine="509"/>
        <w:spacing w:after="0" w:line="291" w:lineRule="auto"/>
        <w:rPr>
          <w:sz w:val="20"/>
          <w:szCs w:val="20"/>
          <w:color w:val="auto"/>
        </w:rPr>
      </w:pPr>
      <w:r>
        <w:rPr>
          <w:rFonts w:ascii="Arial" w:cs="Arial" w:eastAsia="Arial" w:hAnsi="Arial"/>
          <w:sz w:val="17"/>
          <w:szCs w:val="17"/>
          <w:color w:val="auto"/>
        </w:rPr>
        <w:t>The SCS Microinjector, shown in the picture below, is composed of a syringe and two 30-gauge hollow microneedles of varying lengths, each approximately one millimeter, within a custom-designed hub that optimizes insertion and suprachoroidal administration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119380</wp:posOffset>
            </wp:positionV>
            <wp:extent cx="4920615" cy="2820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061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549"/>
        <w:spacing w:after="0" w:line="259" w:lineRule="auto"/>
        <w:rPr>
          <w:sz w:val="20"/>
          <w:szCs w:val="20"/>
          <w:color w:val="auto"/>
        </w:rPr>
      </w:pPr>
      <w:r>
        <w:rPr>
          <w:rFonts w:ascii="Arial" w:cs="Arial" w:eastAsia="Arial" w:hAnsi="Arial"/>
          <w:sz w:val="17"/>
          <w:szCs w:val="17"/>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Intravitreal injections are typically performed using a needle that is approximately five millimeters in length, or five times the length of our microneedle. Using a needle of this length, the physician penetrates past the sclera, choroid and retina until reaching the vitreous and does not receive any tactile feedback as to when the needle reaches one of the layers between the sclera and the vitreous.</w:t>
      </w:r>
    </w:p>
    <w:p>
      <w:pPr>
        <w:spacing w:after="0" w:line="174" w:lineRule="exact"/>
        <w:rPr>
          <w:sz w:val="20"/>
          <w:szCs w:val="20"/>
          <w:color w:val="auto"/>
        </w:rPr>
      </w:pPr>
    </w:p>
    <w:p>
      <w:pPr>
        <w:ind w:firstLine="549"/>
        <w:spacing w:after="0" w:line="241" w:lineRule="auto"/>
        <w:rPr>
          <w:sz w:val="20"/>
          <w:szCs w:val="20"/>
          <w:color w:val="auto"/>
        </w:rPr>
      </w:pPr>
      <w:r>
        <w:rPr>
          <w:rFonts w:ascii="Arial" w:cs="Arial" w:eastAsia="Arial" w:hAnsi="Arial"/>
          <w:sz w:val="18"/>
          <w:szCs w:val="18"/>
          <w:color w:val="auto"/>
        </w:rPr>
        <w:t>By contrast, our SCS Microinjector is designed to inject drug into the SCS. This suprachoroidal injection is designed to be carried out, under local anesthesia, perpendicular to the sclera, at a site similar to an intravitreal injection. Once the microneedle penetrates the sclera and reaches the SCS, the boundary between the sclera and the choroid, the open bevel of the needle releases the drug between these two layers. Once drug is injected into the SCS, it spreads to the back of the eye, due to a natural pressure gradient between the IOP and the SCS pressure, precisely targeting the cells of interest without the need for intraocular catheters or other surgical techniques.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Pipeline</w:t>
      </w:r>
    </w:p>
    <w:p>
      <w:pPr>
        <w:spacing w:after="0" w:line="104" w:lineRule="exact"/>
        <w:rPr>
          <w:sz w:val="20"/>
          <w:szCs w:val="20"/>
          <w:color w:val="auto"/>
        </w:rPr>
      </w:pPr>
    </w:p>
    <w:p>
      <w:pPr>
        <w:ind w:firstLine="554"/>
        <w:spacing w:after="0" w:line="243" w:lineRule="auto"/>
        <w:rPr>
          <w:sz w:val="20"/>
          <w:szCs w:val="20"/>
          <w:color w:val="auto"/>
        </w:rPr>
      </w:pPr>
      <w:r>
        <w:rPr>
          <w:rFonts w:ascii="Arial" w:cs="Arial" w:eastAsia="Arial" w:hAnsi="Arial"/>
          <w:sz w:val="18"/>
          <w:szCs w:val="18"/>
          <w:color w:val="auto"/>
        </w:rPr>
        <w:t>We have research capabilities focused on developing proprietary therapeutic formulations to utilize with our SCS Microinjector. Our current internal research and development initiatives are focused on small molecules and gene therapy to address serious diseases that affect the back of the eye. In addition to growing our internal pipeline, we are also focused on strategically collaborating with other companies to provide access to the suprachoroidal space through the use of our SCS Microinjector.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6350</wp:posOffset>
            </wp:positionV>
            <wp:extent cx="6172200" cy="2991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Internal Development Pipeline</w:t>
      </w:r>
    </w:p>
    <w:p>
      <w:pPr>
        <w:spacing w:after="0" w:line="108"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We are building a robust internal development pipeline focused on small molecules. Our first product, XIPERE, was approved by the FDA in October 2021. The XIPERE approval supports our approach both clinically and preclinically to advance small molecule suspensions delivered into the SCS.</w:t>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Our most advanced clinical development product candidate is a proprietary suspension of axitinib, a tyrosine kinase inhibitor, or TKI, for suprachoroidal injection, which we refer to as CLS-AX. CLS-AX is currently being studied in a Phase 1/2a clinical trial, entitled OASIS, in patients with neovascular age-related macular degeneration, commonly referred to as wet AMD.</w:t>
      </w:r>
    </w:p>
    <w:p>
      <w:pPr>
        <w:spacing w:after="0" w:line="18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initiated another small molecule program utilizing suprachoroidal administration of an integrin inhibitor suspension, which we refer to as CLS-301. Integrins play a role in pathologic processes, such as inflammation, angiogenesis and fibrosis, and we believe integrin inhibition may play a role in the treatment of diabetic macular edema and macular degeneration. Our integrin inhibition program is currently in preclinical development and we expect to have results from these initial studies by the end of 2022.</w:t>
      </w:r>
    </w:p>
    <w:p>
      <w:pPr>
        <w:spacing w:after="0" w:line="188"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Based on our preclinical studies, we believe that gene therapy is a promising approach to treating retinal diseases, particularly those that are inherited, and that our suprachoroidal injection technology can enhance the benefits of this approach. Multiple, peer-reviewed publications have also validated a suprachoroidal gene therapy treatment approach. Our work in this area includes suprachoroidal administration of therapeutic transgenes and non-viral vector gene therapy. Our preclinical proof-of-concept studies utilizing suprachoroidal delivery of marker genes using DNA nanoparticles have shown the potential for suprachoroidal administration to deliver genes. We believe that companies with specific gene therapy expertise will be able to advance these programs more rapidly. Therefore, in keeping with our strategic approach to focus on small molecule suspensions, we have decided to consider additional development and commercialization partners for gene therapy.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CLS-AX (axitinib injectable suspension)</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CLS-AX, our most advanced product candidate, is our proprietary suspension of the TKI axitinib for suprachoroidal injection delivered via our SCS Microinjector. CLS-AX is an inhibitor of vascular endothelial growth factor receptor-1, -2 and -3 that we believe may benefit patients who respond sub optimally to current anti-VEGF therapies. We are developing CLS-AX for administration to the SCS as a long-acting therapy for wet AMD, a retinal degenerative disease that causes a progressive loss of central vision.</w:t>
      </w:r>
    </w:p>
    <w:p>
      <w:pPr>
        <w:spacing w:after="0" w:line="18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6"/>
          <w:szCs w:val="16"/>
          <w:color w:val="auto"/>
        </w:rPr>
        <w:t>AMD is the leading cause of irreversible blindness in adults over 55 years old in developed countries. Approximately 11 million individuals in the United States are affected with AMD, with a global prevalence of 170 million. Aging is the greatest risk factor; therefore, the United States prevalence of AMD is anticipated to increase to 22 million by 2050, while the global prevalence is expected to increase to 288 million by 2040. An estimated 10% to 15% of people with AMD will develop the wet form, which refers to the advanced neovascular stage of the disease in which blood vessels leak blood and fluid into the macula and damage photoreceptor cells. Wet AMD often progresses rapidly and causes substantial loss of central vision if left untreated. Current wet AMD therapy has a ceiling of efficacy as increased dosage or more intense regimens yield limited or no additional visual benefit and require adherence to a regimen of frequent injections. This treatment burden is further highlighted by recent large “real-world” retrospective studies of wet AMD which underscore the difficulty in adhering to regimens. These real-world studies demonstrate that patients are undertreated, receiving only 6 to 7 injections per year on average, resulting in mean improvement of only one to three letters in visual acuity after one year of treatment. The current anti-VEGF market for the treatment of retinal diseases consists of several drugs that generated aggregate 2020 sales of approximately $14.3 billion globally.</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Axitinib is currently approved to treat renal cell cancer. Because it is a well-characterized small molecule instead of a novel complex biologic, we believe there is potential for less immune response and inflammation compared to some new, contemporary biologic agents. Also, compared to other TKIs, axitinib has shown better biocompatibility with ocular cells, including retinal pigment epithelial cells, which may potentially translate to safety benefits. Other TKIs have shown biologic effect in wet AMD clinical trials when delivered systemically, topically and intravitreally. However, each of these routes of administration have been associated with off-target effects. Consequently, a limitation of TKIs may be associated with the delivery of the drug and not a result of the mechanism of action. Importantly, we believe that administration of CLS-AX to the SCS using our SCS Microinjector, may minimize the occurrence of related adverse events, such as vitreous floaters, "snow globe" effect or corneal off-target effects seen with other TKI administration techniques.</w:t>
      </w:r>
    </w:p>
    <w:p>
      <w:pPr>
        <w:spacing w:after="0" w:line="19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With its broad VEGF blockade, we believe axitinib may have efficacy advantages over existing retinal therapies, which predominantly focus on VEGF-A blockade and may upregulate other forms of VEGF. Axitinib achieves pan-VEGF blockade by acting at a different level of the angiogenesis cascade, directly inhibiting VEGF receptors-1, -2, and -3 with high potency and specificity. In preclinical studies, axitinib was observed to be greater than ten times more potent than other TKIs. In multiple preclinical animal studies conducted by independent investigators, axitinib has inhibited corneal, retinal and choroidal angiogenesis. In addition, in preclinical models, axitinib more effectively inhibited and regressed experimental corneal neovascularization than other TKIs.</w:t>
      </w:r>
    </w:p>
    <w:p>
      <w:pPr>
        <w:spacing w:after="0" w:line="18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our internal preclinical studies, CLS-AX delivered through suprachoroidal injection was well tolerated and showed durability over several months. This could lead to a longer lasting, highly effective treatment that may reduce the number of treatments and visits required for wet AMD patients to achieve optimal results. These studies have also demonstrated up to eleven times higher drug levels in affected tissues versus intravitreal administration of the same dose of axitinib. Therefore, suprachoroidal delivery of CLS-AX has the potential to compartmentalize therapy away from unaffected tissues for potential safety benefits and target the affected chorioretinal tissue layers for potential efficacy benefits.</w:t>
      </w:r>
    </w:p>
    <w:p>
      <w:pPr>
        <w:spacing w:after="0" w:line="17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August 2020, we announced that the FDA had accepted our Investigational New Drug application, or IND, for CLS-AX. In January 2021, we announced the enrollment of our first patient in OASIS, a Phase 1/2a clinical trial of CLS-AX in patients with wet AMD. OASIS is an open-label, dose-escalation clinical trial to assess the safety and tolerability of single doses of CLS-AX administered through suprachoroidal injection following two or more prior treatments with aflibercept, an intravitreal anti-VEGF agent, dosed at screening. The primary endpoint for the trial will assess the safety and tolerability of CLS-AX for the three months following the administration of CLS-AX, and secondary endpoints will evaluate the pharmacokinetics, visual function, ocular anatomy and the need for additional treatment with intravitreal aflibercept during the three-month period.</w:t>
      </w:r>
    </w:p>
    <w:p>
      <w:pPr>
        <w:spacing w:after="0" w:line="17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Patient inclusion criteria for enrollment in OASIS include: active subfoveal choroidal neovascularization secondary to AMD; two or more anti-VEGF treatments with a meaningful response in the four months preceding the screening visit; and a best corrected visual acuity, or BCVA, score of ≥ 20 letters (20/400) and ≤ 75 letters (20/32) with &lt; 5 letters change between screening and baseline to ensure patient stability after anti-VEGF treatment. Patients are then assessed at weeks four, eight and twelve. Patients will be assessed for additional therapy if they experience any of the following: (1) loss of 10 or more letters in BCVA compared to the best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prior study-assessed BCVA in the study eye that is attributed to intra- or sub-retinal fluid observed by the investigator; (2) increase in central subfield retinal thickness greater than 75 microns from baseline at visit 2 in the study eye; or (3) presence of vision-threatening hemorrhage due to AMD in the study eye. The trial design consists of three cohorts of approximately five patients each. Cohort 1 participants received the lowest dose, 0.03 mg of axitinib delivered via suprachoroidal injection. Dose escalation then proceeded following review of the safety data by the Safety Monitoring Committee for the trial and their recommendation to advance to the next higher dose cohort.</w:t>
      </w:r>
    </w:p>
    <w:p>
      <w:pPr>
        <w:spacing w:after="0" w:line="18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March 2021, we completed patient dosing in Cohort 1 of OASIS. In June 2021, we reported that we achieved our safety and tolerability endpoints. Dose escalation then proceeded following review of the safety data by the Safety Monitoring Committee for the trial and their recommendation to advance to the next higher dose cohort.</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September 2021, we completed patient enrollment in Cohort 2 and in December 2021 reported that primary endpoints were achieved. The 0.1 mg dose of CLS-AX was well tolerated with no serious adverse events. In addition, there were no treatment emergent adverse events related to aflibercept, CLS-AX or the suprachoroidal injection procedure, no dispersion of drug into the vitreous, and no adverse events related to IOP, inflammation or vasculitis in this Cohort. Dose escalation then proceeded following review of the safety data by the Safety Monitoring Committee for the trial and their recommendation to advance to the next higher dose cohort. OASIS is currently enrolling patients in Cohort 3, in which each patient will receive a dose of 0.5 mg. We expect to report data on Cohort 3 mid-year 2022. In addition, we have added an extension study to follow patients in Cohort 2 and Cohort 3 for up to an additional three-month period.</w:t>
      </w:r>
    </w:p>
    <w:p>
      <w:pPr>
        <w:spacing w:after="0" w:line="191"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In March 2022, we announced that we are planning to add a fourth cohort in this trial to explore a broad range of doses to take into a Phase 2b trial. This decision was based on input from our scientific and clinical advisors combined with the positive safety results with no dose limiting toxicities in Cohorts 1 and 2. Prior to moving forward with a higher dose in Cohort 4, our Safety Monitoring Committee will review the preliminary one-month safety data from Cohort 3 to ensure that there are no dose limiting toxicities. We expect this data review and initiation of Cohort 4 to occur in the second quarter of 2022, and therefore Cohorts 3 and 4 will overlap. We expect to complete the OASIS trial and report data from Cohort 4 by the end of 2022. We have begun planning for our Phase 2 program and we are targeting to open recruitment for a Phase 2b trial by the end of this year.</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CLS-301</w:t>
      </w:r>
    </w:p>
    <w:p>
      <w:pPr>
        <w:spacing w:after="0" w:line="10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have initiated another small molecule program utilizing suprachoroidal administration of an integrin inhibitor suspension, which we refer to as CLS-301. Integrins are multi-functional cell-adhesion molecules that regulate critical cellular processes.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 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Our initial preclinical data has shown that the agent is well-tolerated with favorable ocular distribution targeting the chorio-retina, and we have seen encouraging initial signs of durability. We are optimizing the formulation and expect to initiate a second preclinical study in March 2022. We expect to have results from this study in the second half of 2022.</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 Therapy</w:t>
      </w:r>
    </w:p>
    <w:p>
      <w:pPr>
        <w:spacing w:after="0" w:line="104" w:lineRule="exact"/>
        <w:rPr>
          <w:sz w:val="20"/>
          <w:szCs w:val="20"/>
          <w:color w:val="auto"/>
        </w:rPr>
      </w:pPr>
    </w:p>
    <w:p>
      <w:pPr>
        <w:ind w:right="340" w:firstLine="509"/>
        <w:spacing w:after="0" w:line="262" w:lineRule="auto"/>
        <w:rPr>
          <w:sz w:val="20"/>
          <w:szCs w:val="20"/>
          <w:color w:val="auto"/>
        </w:rPr>
      </w:pPr>
      <w:r>
        <w:rPr>
          <w:rFonts w:ascii="Arial" w:cs="Arial" w:eastAsia="Arial" w:hAnsi="Arial"/>
          <w:sz w:val="17"/>
          <w:szCs w:val="17"/>
          <w:color w:val="auto"/>
        </w:rPr>
        <w:t>Based on our preclinical studies, we believe that gene therapy is a promising approach to treating retinal diseases, particularly those that are inherited, and that our suprachoroidal injection technology can enhance the benefits of this approach. Multiple, peer-reviewed publications have also validated a suprachoroidal gene therapy treatment approach. Our preclinical proof-of-concept studies utilizing suprachoroidal delivery of marker genes using DNA nanoparticles have shown the potential for suprachoroidal administration to deliver genes.</w:t>
      </w:r>
    </w:p>
    <w:p>
      <w:pPr>
        <w:spacing w:after="0" w:line="17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To date, we have presented and published promising preclinical data on our gene therapy programs and the potential of our suprachoroidal injection platform for both viral and non-viral vectors. The use of our proprietary SCS Microinjector offers the potential to deliver a variety of gene therapy constructs suprachoroidally through a non-invasive, in-office procedure for the potential treatment of several ocular diseases. We believe that companies with specific gene therapy expertise will be able to advance these programs more rapidly.</w:t>
      </w:r>
    </w:p>
    <w:p>
      <w:pPr>
        <w:spacing w:after="0" w:line="172"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Therefore, in keeping with our strategic approach to focus on small molecule suspensions, we have decided to consider additional development and commercialization partners for gene therapy. Outside of the specific indications licensed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REGENXBIO, we believe we are in a position to partner with other companies working on gene therapy using non-viral vectors for retinal disorders or viral vectors targeting inherited retinal disorders or diseases that are not primarily treated with current anti-VEGF standard of care therapies such as geographic atrophy.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XIPERE (triamcinolone acetonide injectable suspension) for suprachoroidal use</w:t>
      </w:r>
    </w:p>
    <w:p>
      <w:pPr>
        <w:spacing w:after="0" w:line="21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first product, XIPERE, formerly known as CLS-TA, is a proprietary, preservative-free suspension of the corticosteroid triamcinolone acetonide, or TA,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IOP, which can lead to glaucoma.</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XIPERE was approved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17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are evaluating options for potential submissions to regulatory agencies in additional territories outside of territories licensed by Arctic Vison and Bausch for XIPERE for the treatment of patients with macular edema associated with uveitis.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 for commercialization of XIPERE in United States and Canada</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October 22, 2019, we entered into a License Agreement with Bausch +Lomb, a division of Bausch Health Companies, Inc., or, as amended, the Bausch License Agreement. Pursuant to the Bausch License Agreement, we granted an exclusive license to Bausch to develop, manufacture, distribute, promote, market and commercialize XIPERE using our SCS Microinjector, as well as specified other steroids, corticosteroids and NSAIDs in combination with the SCS Microinjector, or together with XIPERE, the Products, subject to specified exceptions, in the United States and Canada, or the Territory for the treatment of ophthalmology indications, including non-infectious uveitis.</w:t>
      </w:r>
    </w:p>
    <w:p>
      <w:pPr>
        <w:spacing w:after="0" w:line="189"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Pursuant to the Bausch License Agreement, Bausch paid us an upfront payment of $5.0 million in October 2019. In October 2021, the FDA approved XIPERE, and we received $5.0 million from Bausch as a result of the approval. In January 2022, we received an additional payment of $10.0 million related to the completion of pre-launch activities for XIPERE.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as well as a lower royalty on annual net sales of other products, in each case subject to reductions in specified circumstances. However, we will not receive any royalties on the first $45.0 million of cumulative net sales of all products in the Territory. Bausch launched XIPERE in the United States in the first quarter of 2022.</w:t>
      </w:r>
    </w:p>
    <w:p>
      <w:pPr>
        <w:spacing w:after="0" w:line="18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Both parties may terminate the Bausch License Agreement (i) upon a material breach of the Bausch License Agreement, subject to a specified cure period and specified exceptions, or (ii) if the other party encounters bankruptcy or insolvency.</w:t>
      </w:r>
    </w:p>
    <w:p>
      <w:pPr>
        <w:spacing w:after="0" w:line="302"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b w:val="1"/>
          <w:bCs w:val="1"/>
          <w:i w:val="1"/>
          <w:iCs w:val="1"/>
          <w:color w:val="auto"/>
        </w:rPr>
        <w:t>License agreement for commercialization of XIPERE in China, Hong Kong, Macau, Taiwan and South Korea, India, ASEAN Countries, Australia and New Zealand</w:t>
      </w:r>
    </w:p>
    <w:p>
      <w:pPr>
        <w:spacing w:after="0" w:line="63"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On March 10,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Taiwan and South Korea, or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17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December 2020, Arctic Vision announced clearance of its IND for a Phase 3 clinical trial of ARVN001 (XIPERE) in China for the treatment of macular edema associated with uveitis.</w:t>
      </w:r>
    </w:p>
    <w:p>
      <w:pPr>
        <w:spacing w:after="0" w:line="171"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In November 2021, Arctic Vision announced dosing of the first patient in a Phase 3 clinical trial of ARVN001 for the treatment of macular edema associated with uveitis. Arctic Vision has also branded ARVN001 as Arcatus.</w:t>
      </w:r>
    </w:p>
    <w:p>
      <w:pPr>
        <w:spacing w:after="0" w:line="171"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In March 2022, Arctic Vision announced dosing of the first patient in a Phase 1 clinical trial of ARVN011 in China for the treatment of diabetic macular edema.</w:t>
      </w:r>
    </w:p>
    <w:p>
      <w:pPr>
        <w:spacing w:after="0" w:line="171"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Pursuant to the Arctic Vision License Agreement, Arctic Vision paid us an upfront payment of $4.0 million in March 2020. In December 2021, we received a milestone payment of $4.0 million following receipt of FDA approval of XIPERE in the United States. In addition, Arctic Vision has agreed to pay us up to a total of $22.5 million in development and sales milestone payments. Further, during the applicable royalty term, we are also entitled to receive tiered royalties of 10% to 12%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w:t>
      </w:r>
    </w:p>
    <w:p>
      <w:pPr>
        <w:spacing w:after="0" w:line="180"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The Arctic Vision License Agreement will expire upon the expiration of the last-to-expire royalty term. Arctic Vision may terminate the License Agreement for convenience upon 45 days’ notice if before regulatory approval in the Arctic Territory or 90 days’ notice if after regulatory approval in the Arctic Territory. In addition, we can terminate the License Agreement if Arctic Vision commences a legal action challenging the validity, enforceability or scope of the licensed patents. Both parties may terminate the License Agreement (i) upon a material breach of the License Agreement, subject to a specified cure period, or (ii) if the other party enters bankruptcy. Upon termination, all licenses and other rights granted to Arctic Vision pursuant to the License Agreement would revert to us. If Arctic Vision exercises its termination right for convenience or if the License Agreement terminates as a result of Arctic Vision’s material breach or bankruptcy, Arctic Vision will assign and transfer all regulatory approvals, related documents and trademarks (with respect to trademarks, only those specific to) pertaining to XIPERE in the Arctic Territory to us. If Arctic Vision terminates the Arctic Vision License Agreement as a result of material breach by us or our bankruptcy after regulatory approval of XIPERE in the Arctic Territory, we are obligated to pay Arctic Vision royalties equal to a low-single digit percentage of net sales of XIPERE in the Arctic Territory.</w:t>
      </w:r>
    </w:p>
    <w:p>
      <w:pPr>
        <w:spacing w:after="0" w:line="17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External Collaborations Pipeline</w:t>
      </w:r>
    </w:p>
    <w:p>
      <w:pPr>
        <w:spacing w:after="0" w:line="21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Health, Arctic Vision, REGENXBIO, Inc., and Aura Biosciences. Under these license agreements, we received an aggregate of $28.2 million of non-dilutive capital in the form of upfront and milestone payments during 2019, 2020 and 2021, and we are eligible to receive up to an aggregate of more than $240 million in potential development and sales milestones, as well as and royalties from net sales of covered products.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 Therapy</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believe our platform offers the potential for safer, targeted ocular gene therapy without some of the risks of surgery and subretinal administration. Suprachoroidal administration of gene therapy could ultimately enhance access to care because it does not require specialized gene therapy surgery treatment centers. The procedure for suprachoroidal injection is conducted in an office setting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and is similar in terms of patient preparation and duration to the procedure for intravitreal injection. Therefore, we believe our products could be incorporated into retina specialists’ standard medical practice.</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During the past several years, gene therapy has demonstrated in preclinical studies and clinical trials conducted by third parties that genetic material can be effectively and tolerably introduced to the retinal tissues, most often using an adeno-associated virus, or AAV. Safe and reproducible delivery of gene therapy vector into the subretinal space is essential for successful targeting of the retinal pigment epithelium, or RPE,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RPE to the gene therapy. The retina is in a diseased state and already compromised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 Unlike vitrectomy, suprachoroidal administration does not require detachment of the photoreceptors from the RPE,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Inherited retinal diseases, or IRDs, such as Stargardt disease and Usher syndrome, represent some of the most challenging diseases that ophthalmologists encounter. They cause progressive and relentless vision loss due to changes in genes critical to the survival of photoreceptors and RPE cells, yet delivery of therapeutics to these cells is challenging. In preclinical animal studies from which data was presented at the American Academy of Ophthalmology 2019 Annual Meeting in October 2019, the suprachoroidal injection of luciferase DNA nanoparticles, or DNPs, in rabbits produced activity comparable to that seen from subretinal injections of luciferase DNPs. In these studies, SCS injections of DNPs were generally well tolerated across both rabbits and non-human primates, and no significant abnormalities were observed on ophthalmic exams. DNPs can also transfer large genes at potentially higher doses without the risks of subretinal surgery, which may allow for gene therapy in some of the most common IRDs.</w:t>
      </w:r>
    </w:p>
    <w:p>
      <w:pPr>
        <w:spacing w:after="0" w:line="18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believe suprachoroidal administration may further enhance the value proposition of ocular gene therapy by potentially improving safety and expanding access. In preclinical studies we have observed that SCS injection can administer both viral and non-viral gene therapy. Using marker genes like green fluorescent protein and luciferase in both rabbits and non-human primates, gene therapy was delivered with our SCS injection to achieve expression in the retina and choroid.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REGENXBIO, Inc.</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expanded the reach of our SCS Microinjector technology in AAV-based gene therapy through a development and commercial partner.</w:t>
      </w:r>
    </w:p>
    <w:p>
      <w:pPr>
        <w:spacing w:after="0" w:line="235"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August 2019, we entered into an option and license agreement with REGENXBIO Inc., or REGENXBIO, pursuant to which we granted REGENXBIO an exclusive option, or the Option, to enter into a commercial license agreement granting REGENXBIO an exclusive, worldwide and sublicensable license to our SCS Microinjector for the in-office delivery of AAV-based gene therapies for the treatment of wet AMD, diabetic retinopathy and other conditions for which anti-VEGF treatment is currently the standard of care.</w:t>
      </w:r>
    </w:p>
    <w:p>
      <w:pPr>
        <w:spacing w:after="0" w:line="18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In October 2019, REGENXBIO exercised the Option and paid us an option fee equal to $2.0 million less $0.5 million received under a prior technology access agreement. Under the license agreement, REGENXBIO paid us $3.0 million in connection with a development milestone and has agreed to additional payments to us of up to an aggregate of $31.0 million upon the achievement of specified development milestones and up to $102.0 million in sales-based milestone payments, as well as mid-single digit royalties on net sales of products using the SCS Microinjector during the royalty term.</w:t>
      </w:r>
    </w:p>
    <w:p>
      <w:pPr>
        <w:spacing w:after="0" w:line="155"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REGENXBIO will be responsible for all development, regulatory and commercialization activities for their gene therapy product candidates. We will be responsible for supplying the SCS Microinjector in support of REGENXBIO’s preclinical studies, clinical studies and commercial use.</w:t>
      </w:r>
    </w:p>
    <w:p>
      <w:pPr>
        <w:spacing w:after="0" w:line="14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REGENXBIO is currently conducting two multi-center, open-label, randomized, controlled, dose-escalation Phase 2 clinical trials evaluating the efficacy, safety and tolerability of suprachoroidal delivery of RGX-314 using our SCS Microinjector technology: a Phase 2 trial entitled AAVIATE for the treatment of wet AMD and a second Phase 2 trial entitled ALTITUDE for the treatment of diabetic retinopathy. REGENXBIO has reported positive initial data from both clinical trials. Both ALTITUDE and AAVIATE continue to enroll in the next cohorts.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Ocular Oncology</w:t>
      </w:r>
    </w:p>
    <w:p>
      <w:pPr>
        <w:spacing w:after="0" w:line="10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color w:val="auto"/>
        </w:rPr>
        <w:t>Ocular cancers are a group of rare, life-threatening conditions that affect one or both eyes. The main indications include choroidal melanoma, choroidal metastases, cancers of the ocular surface and retinoblastoma, among others. Diagnosing and treating these cancers early is important because they have the potential to spread both within the eye and to other organs. The risk for ocular cancer increases with age and increases significantly after the age of</w:t>
      </w:r>
    </w:p>
    <w:p>
      <w:pPr>
        <w:ind w:right="200" w:firstLine="8"/>
        <w:spacing w:after="0" w:line="271" w:lineRule="auto"/>
        <w:tabs>
          <w:tab w:leader="none" w:pos="27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cancers that occur inside the eye (e.g., choroidal melanoma), the typical treatment is radiotherapy in the form of plaque brachytherapy and proton beam therapy, but these treatments are highly invasive and result in major vision loss and other comorbidities for many patients.</w:t>
      </w:r>
    </w:p>
    <w:p>
      <w:pPr>
        <w:spacing w:after="0" w:line="16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Choroidal melanoma is the most common intraocular cancer in adults, with an incidence of approximately 11,000 patients per year in the United States and Europe. This comprises approximately 90% of all cases of uveal melanoma, consisting of melanomas in the choroid, ciliary body and iris, which are collectively referred to as the uvea. It is estimated that 96% of patients are diagnosed early without clinical evidence of metastatic disease. There are approximately 2,000 new cases treated each year in the United States and 1,600 new cases treated each year in Europe. However, despite the current treatments with radiotherapy, the long-term prognosis is poor with death occurring in more than 50% of cases. There are no FDA-approved therapies for choroidal melanoma. There is a need for treatment of early-stage disease which includes small melanomas and indeterminate lesions representing approximately 9,000 patients in the United States and Europe.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Aura Biosciences</w:t>
      </w:r>
    </w:p>
    <w:p>
      <w:pPr>
        <w:spacing w:after="0" w:line="10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On July 9, 2019, we entered into a worldwide licensing agreement with Aura Biosciences, or Aura, for the use of our SCS Microinjector to deliver Aura’s proprietary drug candidates into the SCS for the potential treatment of certain ocular cancers, including choroidal melanoma. Our SCS Microinjector may offer a non-surgical alternative to intravitreal delivery of Aura’s oncology drug candidates, and we believe suprachoroidal administration may further enhance the value proposition of choroidal melanoma by potentially improving safety and expanding access. Pursuant to the licensing agreement, we are eligible to receive up to $21.1 million in payments related to pre-specified development and regulatory milestones, as well as low to mid-single digit royalties on net sales that utilize the SCS Microinjector.</w:t>
      </w:r>
    </w:p>
    <w:p>
      <w:pPr>
        <w:spacing w:after="0" w:line="175"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Aura is currently conducting a Phase 2 trial in choroidal melanoma comprised of an open-label, dose escalation phase and a randomized, masked dose expansion phase. Aura reported positive initial data on its Phase 2 clinical trial for the treatment of choroidal melanoma in October 2021. We expect Aura to disclose additional safety and efficacy data from this trial in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do not own any manufacturing facilities. We utilize CMOs to formulate and produce our drug candidates and to produce our SCS Microinjector. We procure active pharmaceutical ingredients for our drugs from third-party suppliers. We expect to continue to utilize third-party manufacturers to produce quantities of our drug candidates and the SCS Microinjector.</w:t>
      </w:r>
    </w:p>
    <w:p>
      <w:pPr>
        <w:spacing w:after="0" w:line="18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May 8, 2018, we entered into a supply agreement with Gerresheimer Regensburg GmbH to supply our SCS Microinjector. Unless terminated earlier pursuant to its terms, the Gerresheimer agreement has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regulations promulgated by the FDA, confidentiality and other customary matters for an agreement of this nature. We may enter into commercial supply agreements with our other suppliers.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1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have entered into exclusive license agreements for the commercialization and development of XIPERE with Bausch in the United States and Canada and with Arctic Vision in China, Hong Kong, Macau, Taiwan, South Korea, India, the ASEAN Countries, Australia and New Zealand. We may enter into distribution or licensing arrangements for commercialization rights for other regions. If any of our future product candidates, including CLS-AX, are approved by the applicable regulatory authorities, we may either commercialize those product candidates ourselves or through license or collaboration agreements with third parties.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drugs. While we believe that our technologies, knowledge, experience and scientific resources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us with competitive advantages, we face potential competition from many different sources, including major pharmaceutical companies, specialty pharmaceutical and biotechnology companies, government agencies and public, and private research and academic institutions. Any product candidate that we successfully develop and commercialize will compete with existing therapies and new therapies that may become available in the future.</w:t>
      </w:r>
    </w:p>
    <w:p>
      <w:pPr>
        <w:spacing w:after="0" w:line="147" w:lineRule="exact"/>
        <w:rPr>
          <w:sz w:val="20"/>
          <w:szCs w:val="20"/>
          <w:color w:val="auto"/>
        </w:rPr>
      </w:pPr>
    </w:p>
    <w:p>
      <w:pPr>
        <w:ind w:right="240" w:firstLine="509"/>
        <w:spacing w:after="0" w:line="252" w:lineRule="auto"/>
        <w:rPr>
          <w:sz w:val="20"/>
          <w:szCs w:val="20"/>
          <w:color w:val="auto"/>
        </w:rPr>
      </w:pPr>
      <w:r>
        <w:rPr>
          <w:rFonts w:ascii="Arial" w:cs="Arial" w:eastAsia="Arial" w:hAnsi="Arial"/>
          <w:sz w:val="17"/>
          <w:szCs w:val="17"/>
          <w:color w:val="auto"/>
        </w:rPr>
        <w:t>XIPERE faces competition from other commercially available forms of TA and other topical, injectable and implantable corticosteroids, although none are approved for the indication of macular edema associated with uveitis. Bristol-Myers Squibb markets TA, under the brand name Kenalog, for which a number of generic equivalents are currently available. Kenalog is indicated only for intramuscular or intraarticular injection; however, it is used off-label for intraocular inflammation using intravitreal and periocular administration. In addition, Alcon’s injectable TA, Triesence, is approved in the United States for the treatment of uveitis and other ocular inflammatory conditions unresponsive to topical corticosteroids, but it is not indicated for the treatment of macular edema associated with uveitis. Ozurdex, marketed by Allergan, is a bio-erodible, extended-release implant that delivers the corticosteroid and dexamethasone, and is approved for the treatment of non-infectious uveitis affecting the posterior segment of the eye and for macular edema due to retinal vein occlusion, or RVO in both the United States and in the European Union. Ozurdex is also approved in the United States for the treatment of diabetic macular edema, or DME. Retisert and Yutiq, both intravitreal implants of fluocinolone acetonide, are marketed by Bausch and Eyepoint Pharmaceuticals, respectively, and are approved in the United Sates for the treatment of chronic non-infectious uveitis affecting the posterior segment of the eye.</w:t>
      </w:r>
    </w:p>
    <w:p>
      <w:pPr>
        <w:spacing w:after="0" w:line="18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recently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w:t>
      </w:r>
    </w:p>
    <w:p>
      <w:pPr>
        <w:spacing w:after="0" w:line="18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to Genentech’s products, Regeneron’s anti-VEGF product, Eylea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 Novartis’ Beovu was approved in 2019 for the treatment of wet AMD in the United States and in 2020 in Europe.</w:t>
      </w:r>
    </w:p>
    <w:p>
      <w:pPr>
        <w:spacing w:after="0" w:line="18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Ocular drug candidates being investigated for treatment of wet AMD may also represent potential competition for CLS-AX. Ocular Therapeutics, Graybug and Eyepoint are companies currently investigating TKIs for ocular use. We expect other established companies will seek to develop new products in the ocular space with the goal of superior efficacy and duration over the current standard of care.</w:t>
      </w:r>
    </w:p>
    <w:p>
      <w:pPr>
        <w:spacing w:after="0" w:line="18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SCS Microinjector faces competition from other devices being developed to access ocular posterior tissues via the SCS. Oxular Limited recently announced plans to file for a 510(k) clearance of its Oxulumis device which is designed to administer therapy to the SCS via a microcatheter, and Gyroscope Therapeutics also announced 510(k) clearance for its Orbit Subretinal Delivery System which uses a catheter to access the subretinal space via the SCS.</w:t>
      </w:r>
    </w:p>
    <w:p>
      <w:pPr>
        <w:spacing w:after="0" w:line="188"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Both large and established companies, as well as smaller or early-stage companies could represent challenges in the competitive space. Larger established companies may have greater resources such as greater financial resources, deeper expertise and personnel in nonclinical development, clinical development, manufacturing and regulatory sectors. Smaller or early-stage companies could pose a challenge competitively through collaborative arrangements with large and established companies. Lastly, both small and large companies will compete in areas such as recruiting and retaining qualified scientific and management personnel and establishing clinical trial sites and patient recruitment for competing clinical trials.</w:t>
      </w:r>
    </w:p>
    <w:p>
      <w:pPr>
        <w:spacing w:after="0" w:line="15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Several key competitive factors affecting the potential success of our product candidates are likely to be the efficacy, safety, method of administration, convenience, price and the availability of coverage and reimbursement from government and other third-party payors. Additionally, our commercial opportunity could be reduced or eliminated if our competitors develop and commercialize drugs that are safer, more effective, more convenient or are less expensive than any drugs we develop. The timing of competitors’ regulatory approval and patent protection could also impact commercial opportunities. Competitors receiving approval prior to 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could result in stronger market positioning and/or obtaining FDA market exclusivity. Competitors’ patent protection could potentially delay FDA approval of our product candidates for up to 30 months, as well as subject us to potential patent litigation that might arise beyond the 30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04"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patent estate, on a worldwide basis, includes 24 granted U.S. patents broadly directed to devices and methods of administering drugs into the SCS by injection, including one design patent. In addition, our patent estate includes 18 patent applications pending in the United States, 67 issued foreign patents and six allowed foreign patents, three pending international PCT applications and 45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seven of the 24 issued U.S. patents, 4 pending U.S. applications, 20 of the issued foreign patents, one of the allowed foreign patents and six foreign patent applications in major international markets, each relating to methods of delivering drugs to the eye by microneedle administration, pursuant to a license agreement with Georgia Tech Research Corporation and Emory University that is described below. With respect to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uveitis and RVO, wet AMD as well as DME and improvement of specified clinical parameters, are expected to expire, if issued, between 2027 and 2041, without taking into account possible patent term adjustments or extensions.</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180"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Our product candidates are protected against genericization through numerous patents. In the case of XIPERE injected into the SCS, an applicant who files a paragraph 4 Abbreviated New Drug Application, or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patent filings</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88"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 w:name="page16"/>
    <w:bookmarkEnd w:id="1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and Georgia Tech</w:t>
      </w:r>
    </w:p>
    <w:p>
      <w:pPr>
        <w:spacing w:after="0" w:line="10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We have entered into a license agreement with Emory University, or Emory, and the Georgia Tech Research Corporation, or GTRC,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5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to upfront and milestone payments of $65,000 in the aggregate made to date, we will make a $75,000 payment related to a milestone that was achieved in December 2021 for the commercialization of a drug developed using the licensed patents. On July 1, 2018 and 2019, we paid Emory and GTRC $75,000 and $50,000, respectively, to extend the date by which we may achieve the commercialization milestone. Additionally, we will owe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7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6"/>
          <w:szCs w:val="16"/>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this license agreement will expire upon the expiration of the last to expire of the licensed patents. We have the right to terminate this license agreement at any time upon 60 days’ written notice to Emory and GTRC. Emory and GTRC may also terminate this license agreement in the event of a material breach by us. This license agreement will immediately terminate if we challenge the validity or enforceability of any of the licensed patents in a court or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governmental agency of competent jurisdiction.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trade secrets and know-how</w:t>
      </w:r>
    </w:p>
    <w:p>
      <w:pPr>
        <w:spacing w:after="0" w:line="104"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Our trademark portfolio currently consists of two registered trademarks in Australia and Korea, two registered trademarks in Russia, two registered trademarks in Singapore, six registered trademarks in Brazil, five registered trademarks in Canada, six registered trademarks in China, four registered trademarks in the European Union, two registered trademarks in each of India and New Zealand, two registered trademarks in Japan, three registered trademarks in Israel, six registered trademarks in Mexico, four registered and three pending applications in South Africa, five registered trademarks in the United States and two pending applications in the United States and six registered trademarks in the United Kingdom. We also have two international registrations: the first with registered protection in the European Union, India, Japan, Mexico, New Zealand, Korea and Singapore, and the second with extensions of protection pending in India and registered in Australia, China, European Union, Israel, Japan, Korea, Mexico, New Zealand, Russia, and Singapore.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6"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In the United States, the FDA regulates drug and device products under the Food, Drug and Cosmetic Act, or FDCA, and its implementing regulations. This includes combination products where a drug and a device are used together</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the case of our product candidates, the primary mode of action is attributable to the drug component of the product, which means that the FDA’s Center for Drug Evaluation and Research, or CDER, has primary jurisdiction over the premarket development, review and approval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Drugs</w:t>
      </w:r>
    </w:p>
    <w:p>
      <w:pPr>
        <w:spacing w:after="0" w:line="10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United States and other countries. The FDA, under the FDCA, regulates pharmaceutical products in the United States. The steps required before a drug may be approved for marketing in the United States generally include:</w:t>
      </w:r>
    </w:p>
    <w:p>
      <w:pPr>
        <w:spacing w:after="0" w:line="63"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GLP;</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submission to the FDA of an IND application for human clinical testing, which must become effective before human clinical trials commence;</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 or GCP;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acceptance, review and approval of the NDA, which might include an Advisory Committee review; and</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product is made to assess compliance with current Good Manufacturing Practices, or cGMPs.</w:t>
      </w:r>
    </w:p>
    <w:p>
      <w:pPr>
        <w:spacing w:after="0" w:line="17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8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independent institutional review board, or IRB, may nevertheless initiate a clinical hold after the 30 days if, for example, significant health risks arise.</w:t>
      </w:r>
    </w:p>
    <w:p>
      <w:pPr>
        <w:spacing w:after="0" w:line="175"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In the United States, each clinical trial must be reviewed and approved by an IRB at each of the sites at which the trial will be conducted. The IRB will consider, among other things, ethical factors, the safety of human subjects and the possible liability of the institution.</w:t>
      </w:r>
    </w:p>
    <w:p>
      <w:pPr>
        <w:spacing w:after="0" w:line="147"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Clinical trials are typically conducted in three sequential phases prior to approval, but the phases may overlap. These phases generally include the following:</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w:t>
      </w:r>
      <w:r>
        <w:rPr>
          <w:rFonts w:ascii="Arial" w:cs="Arial" w:eastAsia="Arial" w:hAnsi="Arial"/>
          <w:sz w:val="18"/>
          <w:szCs w:val="18"/>
          <w:i w:val="1"/>
          <w:iCs w:val="1"/>
          <w:color w:val="auto"/>
        </w:rPr>
        <w:t xml:space="preserve"> </w:t>
      </w:r>
      <w:r>
        <w:rPr>
          <w:rFonts w:ascii="Arial" w:cs="Arial" w:eastAsia="Arial" w:hAnsi="Arial"/>
          <w:sz w:val="18"/>
          <w:szCs w:val="18"/>
          <w:color w:val="auto"/>
        </w:rPr>
        <w:t>1, the product candidate is usually tested for safety, including adverse effects, dosage tolerance, absorption, distribution, metabolism, excretion and pharmacodynamics.</w:t>
      </w:r>
    </w:p>
    <w:p>
      <w:pPr>
        <w:spacing w:after="0" w:line="182"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Phase 2 clinical trials usually involve studies in a limited patient population to (1) evaluate the efficacy of the product candidate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indications, (2) determine dosage tolerance and optimal dosage and (3) identify possible adverse effects and safety risks.</w:t>
      </w:r>
    </w:p>
    <w:p>
      <w:pPr>
        <w:spacing w:after="0" w:line="12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clinical trials, the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will be expanded to Phase 3 clinical trials to further demonstrate clinical efficacy, optimal dosage and safety within an expanded patient population at geographically dispersed clinical trial sites.</w:t>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8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FDA has substantial discretion in the approval process and may refuse to accept any application or decide that the data is insufficient for approval and require additional preclinical, clinical or other studies.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application</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 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The FDA will issue either an approval of the NDA or a CRL, detailing the deficiencies and information required for reconsideration of the application.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approved products, as well as new application fees for certain supplemental applications.</w:t>
      </w:r>
    </w:p>
    <w:p>
      <w:pPr>
        <w:spacing w:after="0" w:line="17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04" w:lineRule="exact"/>
        <w:rPr>
          <w:sz w:val="20"/>
          <w:szCs w:val="20"/>
          <w:color w:val="auto"/>
        </w:rPr>
      </w:pPr>
    </w:p>
    <w:p>
      <w:pPr>
        <w:jc w:val="both"/>
        <w:ind w:right="60" w:firstLine="509"/>
        <w:spacing w:after="0" w:line="268" w:lineRule="auto"/>
        <w:rPr>
          <w:sz w:val="20"/>
          <w:szCs w:val="20"/>
          <w:color w:val="auto"/>
        </w:rPr>
      </w:pPr>
      <w:r>
        <w:rPr>
          <w:rFonts w:ascii="Arial" w:cs="Arial" w:eastAsia="Arial" w:hAnsi="Arial"/>
          <w:sz w:val="16"/>
          <w:szCs w:val="16"/>
          <w:color w:val="auto"/>
        </w:rPr>
        <w:t>One of our regulatory strategies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As a condition for approval, the FDA may also require us to perform additional studies or measurements, including clinical trials, to support the change from the approved branded reference drug.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6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that is favorable to the applicant. Even if the 45 days expire, a patent infringement lawsuit can be brought and could delay market entry, but it would not extend the FDA-related 30-month stay of approval.</w:t>
      </w:r>
    </w:p>
    <w:p>
      <w:pPr>
        <w:spacing w:after="0" w:line="15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ANDA or 505(b)(2) application also will not be approved until any applicable non-patent exclusivity listed in the Orange Book for the branded reference drug has expired as described in further detail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Non-patent exclusivity</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80"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We may seek orphan drug designation for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data privacy and security and transparency laws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82"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spacing w:after="0" w:line="17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Pharmaceutical, device and other healthcare companies have been prosecuted under these laws for, among other things, allegedly providing free product to customers with the expectation that the customers would bill federal programs for the product. Companies have been prosecuted for causing false claims to be submitted because of the companies’ marketing of products for unapproved, and thus non-covered, uses.</w:t>
      </w:r>
    </w:p>
    <w:p>
      <w:pPr>
        <w:spacing w:after="0" w:line="18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182"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80"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71" w:lineRule="exact"/>
        <w:rPr>
          <w:sz w:val="20"/>
          <w:szCs w:val="20"/>
          <w:color w:val="auto"/>
        </w:rPr>
      </w:pPr>
    </w:p>
    <w:p>
      <w:pPr>
        <w:ind w:right="160" w:firstLine="509"/>
        <w:spacing w:after="0" w:line="272" w:lineRule="auto"/>
        <w:rPr>
          <w:sz w:val="20"/>
          <w:szCs w:val="20"/>
          <w:color w:val="auto"/>
        </w:rPr>
      </w:pPr>
      <w:r>
        <w:rPr>
          <w:rFonts w:ascii="Arial" w:cs="Arial" w:eastAsia="Arial" w:hAnsi="Arial"/>
          <w:sz w:val="16"/>
          <w:szCs w:val="16"/>
          <w:color w:val="auto"/>
        </w:rPr>
        <w:t>Under HIPAA, the U.S. Department of Health and Human Services, or HHS, has issued regulations to protect the privacy and security of protected health information used or disclosed by covered entities including certain health care providers, health plans, and 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and their subcontractors that use, disclose, access, or otherwise process protected health information. In addition to federal privacy regulations, there are a number of state laws governing confidentiality and security of health information that are applicable to our business. In addition to possible federal civil and criminal penalties for HIPAA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w:t>
      </w:r>
    </w:p>
    <w:p>
      <w:pPr>
        <w:spacing w:after="0" w:line="18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the EU/EEA, the General Data Protection Regulation (2016/679), or GDPR, went into effect on May 25, 2018 and replaced Directive 95/46/EC (the EU Privacy Directive). The GDPR applies to identified or identifiable personal data processed by automated means (for example, a computer database of customers) and data contained in, or intended to be part of, non-automated filing systems (traditional paper files) as well as transfer of such data to a country outside of the EU/EEA. The GDPR extends the geographical scope of EU data protection law to entities and operations outside of the EU/EEA under certain conditions and imposes substantial obligations upon companies and new rights for individuals, and by certain EU Member State-level legislation.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 In addition, the GDPR may increase our responsibility and liability in relation to personal data that we may process, and we may be required to put in place additional measures in an effort to comply with the GDPR and with other laws and regulations in the EU, including those of EU Member States, relating to privacy and data protection. This may be onerous and if our efforts to comply with GDPR or other applicable EU laws and regulations are not successful, or are perceived to be unsuccessful, it could adversely affect our business in the EU.</w:t>
      </w:r>
    </w:p>
    <w:p>
      <w:pPr>
        <w:spacing w:after="0" w:line="16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Further, the European Court of Justice (ECJ) invalidated the EU-U.S. Privacy Shield, which enabled the transfer of personal data from the EU to the U.S. for companies that had self-certified to the Privacy Shield in July 2020. The ECJ decision also raised questions about the continued validity of one of the primary 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 has presented a new draft set of contractual clauses, at present, there are few, if any, viable alternatives to the EU-U.S. Privacy Shield and the Standard Contractual Clauses.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 and Switzerland to the U.S., each of which could restrict our activities in those jurisdictions, limit our ability to provide our products and services in those jurisdictions, or increase our costs and obligations and impose limitations upon our ability to efficiently transfer personal data from the EU and Switzerland to the U.S.</w:t>
      </w:r>
    </w:p>
    <w:p>
      <w:pPr>
        <w:spacing w:after="0" w:line="180"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Additionally, in June 2016, United Kingdom voters approved an exit from the EU, commonly referred to as “Brexit,” which could also lead to further legislative and regulatory changes. In March 2017, the United Kingdom began the process to leave the EU by April 2019.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72" w:lineRule="exact"/>
        <w:rPr>
          <w:sz w:val="20"/>
          <w:szCs w:val="20"/>
          <w:color w:val="auto"/>
        </w:rPr>
      </w:pPr>
    </w:p>
    <w:p>
      <w:pPr>
        <w:ind w:right="40" w:firstLine="596"/>
        <w:spacing w:after="0" w:line="239" w:lineRule="auto"/>
        <w:rPr>
          <w:sz w:val="20"/>
          <w:szCs w:val="20"/>
          <w:color w:val="auto"/>
        </w:rPr>
      </w:pPr>
      <w:r>
        <w:rPr>
          <w:rFonts w:ascii="Arial" w:cs="Arial" w:eastAsia="Arial" w:hAnsi="Arial"/>
          <w:sz w:val="18"/>
          <w:szCs w:val="18"/>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Effective January 1, 2020, the CCPA requires covered companies to provide new disclosures to California consumers, provides such consumers new ways to opt-out of certain sales of personal information, and allows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83" w:lineRule="exact"/>
        <w:rPr>
          <w:sz w:val="20"/>
          <w:szCs w:val="20"/>
          <w:color w:val="auto"/>
        </w:rPr>
      </w:pPr>
    </w:p>
    <w:p>
      <w:pPr>
        <w:ind w:right="160" w:firstLine="596"/>
        <w:spacing w:after="0" w:line="248" w:lineRule="auto"/>
        <w:rPr>
          <w:sz w:val="20"/>
          <w:szCs w:val="20"/>
          <w:color w:val="auto"/>
        </w:rPr>
      </w:pPr>
      <w:r>
        <w:rPr>
          <w:rFonts w:ascii="Arial" w:cs="Arial" w:eastAsia="Arial" w:hAnsi="Arial"/>
          <w:sz w:val="18"/>
          <w:szCs w:val="18"/>
          <w:color w:val="auto"/>
        </w:rPr>
        <w:t>In addition, it is anticipated that the CCPA will be expanded on January 1, 2023, when the California Privacy Rights Act of 2020 (“CPRA”) becomes operative. The CPRA will, among other things, give California residents the ability to limit use of certain sensitive personal information, further restrict the use of cross-contextual advertising, establish restrictions on the retention of personal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Although there are limited exemptions for clinical trial data under the CCPA, the CCPA and other similar laws could impact our business activities depending on how it is interpreted.</w:t>
      </w:r>
    </w:p>
    <w:p>
      <w:pPr>
        <w:spacing w:after="0" w:line="80" w:lineRule="exact"/>
        <w:rPr>
          <w:sz w:val="20"/>
          <w:szCs w:val="20"/>
          <w:color w:val="auto"/>
        </w:rPr>
      </w:pPr>
    </w:p>
    <w:p>
      <w:pPr>
        <w:ind w:right="40" w:firstLine="596"/>
        <w:spacing w:after="0" w:line="279" w:lineRule="auto"/>
        <w:rPr>
          <w:sz w:val="20"/>
          <w:szCs w:val="20"/>
          <w:color w:val="auto"/>
        </w:rPr>
      </w:pPr>
      <w:r>
        <w:rPr>
          <w:rFonts w:ascii="Arial" w:cs="Arial" w:eastAsia="Arial" w:hAnsi="Arial"/>
          <w:sz w:val="16"/>
          <w:szCs w:val="16"/>
          <w:color w:val="auto"/>
        </w:rPr>
        <w:t>With the GDPR, CCPA, CPRA, and other state and Federal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w:t>
      </w:r>
    </w:p>
    <w:p>
      <w:pPr>
        <w:spacing w:after="0" w:line="15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Additionally, a trend has continued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(defined to include doctors, dentists, optometrists, podiatrists, and chiropractors), other healthcare professionals (such as physicians assistants and nurse practitioners), and teaching hospitals, as well as ownership and investment interests held by physicians and their family members. Certain states also mandate implementation of commercial compliance programs, impose restrictions on 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w:t>
      </w:r>
    </w:p>
    <w:p>
      <w:pPr>
        <w:spacing w:after="0" w:line="184"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The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CPT code 0465T became effective on January 1, 2017. We or our partners may seek a separate Healthcare Common Procedure Coding System, or HCPCS, code as maintained by CMS for the drug itself. We believe obtaining billing codes for the use of our products is critical to maximizing our commercial success. There is no guarantee that these billing codes, once granted, or the payment amounts, if any, associated with such codes will not change in the future.</w:t>
      </w:r>
    </w:p>
    <w:p>
      <w:pPr>
        <w:spacing w:after="0" w:line="16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strategy will include efforts to engage third-party payors to establish coverage, coding and reimbursement that will facilitate access to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our product candidates are administered and for the drugs themselves. Failure by physicians, hospitals, ambulatory surgery centers and other users of our products to obtain sufficient coverage and adequate reimbursement from third-party payors for the procedures to administer our product candidates or for the product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themselves, or adverse changes in third-party payors’ policies would have a material adverse effect on our business, financial condition, results of operations and future growth prospects.</w:t>
      </w:r>
    </w:p>
    <w:p>
      <w:pPr>
        <w:spacing w:after="0" w:line="171" w:lineRule="exact"/>
        <w:rPr>
          <w:sz w:val="20"/>
          <w:szCs w:val="20"/>
          <w:color w:val="auto"/>
        </w:rPr>
      </w:pPr>
    </w:p>
    <w:p>
      <w:pPr>
        <w:ind w:right="620" w:firstLine="509"/>
        <w:spacing w:after="0" w:line="324" w:lineRule="auto"/>
        <w:rPr>
          <w:sz w:val="20"/>
          <w:szCs w:val="20"/>
          <w:color w:val="auto"/>
        </w:rPr>
      </w:pPr>
      <w:r>
        <w:rPr>
          <w:rFonts w:ascii="Arial" w:cs="Arial" w:eastAsia="Arial" w:hAnsi="Arial"/>
          <w:sz w:val="16"/>
          <w:szCs w:val="16"/>
          <w:color w:val="auto"/>
        </w:rPr>
        <w:t>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w:t>
      </w:r>
    </w:p>
    <w:p>
      <w:pPr>
        <w:spacing w:after="0" w:line="12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established a quality payment program, also referred to as the Quality Payment Program. The quality payment program has two tracks, one known as the merit-based incentive payment system for providers in the fee-for service Medicare program, and the advanced alternative payment model for providers in specific care models, such as accountable care organizations. In November 2019, CMS issued a final rule finalizing the changes to the Quality Payment Program. At this time it is unclear how the introduction of the Quality Payment Program will impact overall physician reimbursement under the Medicare program. Any changes in coverage and reimbursement that further restricts coverage of our products or lowers reimbursement for procedures using our products could materially affect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w:t>
      </w:r>
    </w:p>
    <w:p>
      <w:pPr>
        <w:spacing w:after="0" w:line="18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71"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There remain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or Tax Act,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medical device tax and “Cadillac” tax on high-cost employer-sponsored health coverage and, effective January 1, 2021, also eliminated the health insurer tax. The Bipartisan Budget Act of 2018, or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how the Supreme Court ruling, other such litigation, and the healthcare reform measures of the Biden administration will impact the Affordable Care Act and our business.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the BBA, will remain in effect through 2030 with the exception of a temporary suspension from May 1, 2020 through March 31, 2021 unless additional Congressional action is taken.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4" w:lineRule="exact"/>
        <w:rPr>
          <w:sz w:val="20"/>
          <w:szCs w:val="20"/>
          <w:color w:val="auto"/>
        </w:rPr>
      </w:pPr>
    </w:p>
    <w:p>
      <w:pPr>
        <w:ind w:right="100" w:firstLine="509"/>
        <w:spacing w:after="0" w:line="267"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 used several means to propose or implement drug pricing reform, including through federal budget proposals, executive orders and policy initiatives. HHS has solicited feedback on some of these measures and implemented others under its existing authority.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will be taken in response to the COVID-19 pandemic.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16"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strive to recruit people who share our vision to develop technology that provides a ground-breaking impact to medicine and superior care to patients. We are proud of what we do and believe we create an excellent working environment that is inclusive and diverse with meaningful compensation, benefits and wellness programs that continue to facilitate the attraction, retention and motivation of talented employees.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440" w:firstLine="509"/>
        <w:spacing w:after="0" w:line="324" w:lineRule="auto"/>
        <w:rPr>
          <w:sz w:val="20"/>
          <w:szCs w:val="20"/>
          <w:color w:val="auto"/>
        </w:rPr>
      </w:pPr>
      <w:r>
        <w:rPr>
          <w:rFonts w:ascii="Arial" w:cs="Arial" w:eastAsia="Arial" w:hAnsi="Arial"/>
          <w:sz w:val="16"/>
          <w:szCs w:val="16"/>
          <w:color w:val="auto"/>
        </w:rPr>
        <w:t>As of December 31, 2021, we had 34 employees, all of whom were full-time and were located in the United States. None of our employees are represented by a labor union or covered by a collective bargaining agreement. We consider our relationship with our employees to be good.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We were incorporated under the laws of the State of Delaware in May 2011. Our principal executive offices are located at 900 North Point Parkway, Suite 200, Alpharetta, Georgia. Our telephone number is (678) 270-3631.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2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40" w:firstLine="469"/>
        <w:spacing w:after="0" w:line="262"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3"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We incurred net income of $0.4 million in 2021 and net losses of $18.2 million and $30.8 million for the years ended December 31, 2020 and 2019, respectively. We expect to incur significant expenses and operating losses over the next several years. Our financial results may fluctuate significantly from quarter to quarter and year to year.</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devoted substantially all of our financial resources and efforts to research and development, including preclinical studies and clinical trials.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as we:</w:t>
      </w:r>
    </w:p>
    <w:p>
      <w:pPr>
        <w:spacing w:after="0" w:line="88"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and complete our ongoing and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additional partnerships for the development and commercialization of our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w:t>
      </w:r>
    </w:p>
    <w:p>
      <w:pPr>
        <w:spacing w:after="0" w:line="21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To become and remain profitable, we must succeed in developing drugs that can generate significant revenue once commercialized. This will require us to be successful in a range of challenging activities, including completing preclinical testing and clinical trials of our product candidates, manufacturing, obtaining regulatory approval and potentially entering into agreements for the commercialization of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272"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16"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second quarter of 2023. However, we will need to obtain substantial additional funding in connection with our continuing operations beyond the second quarter 2023, including additional funding to complete clinical development of CLS-AX. Our future capital requirements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and results of our ongoing, planned and future clinical trial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 intend to commercialize ourselves;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XIPERE and any other of our product candidates for which we receive marketing approval;</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12" w:lineRule="exact"/>
        <w:rPr>
          <w:sz w:val="20"/>
          <w:szCs w:val="20"/>
          <w:color w:val="auto"/>
        </w:rPr>
      </w:pPr>
    </w:p>
    <w:p>
      <w:pPr>
        <w:ind w:right="40" w:firstLine="469"/>
        <w:spacing w:after="0" w:line="274"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of our product candidates and achieve product sales. In addition, XIPERE and our other product candidates, if approved, may not achieve commercial success.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27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efforts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16"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Our efforts are focused on the development of product candidates for treatment of eye disease through suprachoroidal injection and partnering with companies who can leverage our SCS Microinjector to deliver their ophthalmic product candidates to the SCS. Suprachoroidal injection is a novel approach and may fail to achieve and sustain market acceptance.</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Injecting drugs into the SCS is a novel approach for ophthalmic therapies, and there is no guarantee this approach will provide adequate patient benefit or be accepted by physicians, patients or third-party payors. We have also licensed our SCS Microinjector technology to third parties to deliver their proprietary drug candidates into the SCS for the potential treatment of certain ocular indications.</w:t>
      </w:r>
    </w:p>
    <w:p>
      <w:pPr>
        <w:spacing w:after="0" w:line="18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Although the FDA approved XIPERE for suprachoroidal use for the treatment of macular edema associated with uveitis, we cannot guarantee that suprachoroidal injection of other drugs will prove in ongoing and future clinical trials to be a safe or effective approach for treating eye diseases in humans, nor can we ensure that such other drugs will achieve regulatory approval, even if the clinical trials are successful.</w:t>
      </w:r>
    </w:p>
    <w:p>
      <w:pPr>
        <w:spacing w:after="0" w:line="16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In addition, the novelty of suprachoroidal injection may make it difficult to demonstrate to physicians and third-party payors that suprachoroidal injection of drugs is an appropriate approach for treating eye diseases and provides advantages compared to the current standards of care. Further, if we or our commercialization and collaboration partners are not successful in conveying to physicians, patients and third-party payors that the suprachoroidal administration of drugs with our proprietary SCS Microinjector provides useful patient outcomes, we or our commercialization and collaboration partners may experience reluctance, or refusal, on the part of physicians to order and use, and third-party payors to cover and provide adequate reimbursement for, such drugs. Additionally, in some cases, drugs delivered using our SCS Microinjector will complement the current standard of care, rather than serve as a replacement for the current standard of care. Therefore, we or our commercialization and collaboration partners may encounter significant difficulty in gaining broad market acceptance by physicians, third-party payors and potential patients.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licensing partners may require that we modify our SCS Microinjector to deliver their product candidates, and we may be unable to do so.</w:t>
      </w:r>
    </w:p>
    <w:p>
      <w:pPr>
        <w:spacing w:after="0" w:line="12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are currently partnering with companies who can leverage our SCS Microinjector to deliver their ophthalmic product candidates to the SCS. Our current and future licensing partners may request modifications to the design of our SCS Microinjector to accommodate the delivery of their respective product candidates. If we are unable to make such modifications, we may not receive regulatory and development milestone payments that we otherwise would be eligible to receive, which could significantly harm our financial position.</w:t>
      </w:r>
    </w:p>
    <w:p>
      <w:pPr>
        <w:spacing w:after="0" w:line="18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are unable to obtain regulatory approval for, and commercialize either on our own or with a third party, CLS-AX or our other product candidates, or if we experience significant delays in doing so, our business may be harmed.</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Given our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82"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either by us or third parties. The success of those product candidates will depend on several factors, including the following:</w:t>
      </w:r>
    </w:p>
    <w:p>
      <w:pPr>
        <w:spacing w:after="0" w:line="80"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performing preclinical studies and clinical trials in compliance with FDA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import sufficient quantity of product for trials or potential commercialization;</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products, if and when approved, whether alone or in collaboration with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training of physicians in the proper use of our SCS Microinjector;</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market our products for use with our SCS Microinjector without a requirement from the FDA that we obtain a separate medical device authorization;</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the therapies and of the concept of suprachoroidal injection of drugs, if and when approved, by physicians, patients and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drugs and our SCS Microinjector following approval.</w:t>
      </w:r>
    </w:p>
    <w:p>
      <w:pPr>
        <w:spacing w:after="0" w:line="21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From time to time, we may publish data from our clinical trials.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receive marketing approval or achieve market acceptance. If we do not successfully develop product candidates based upon our approach, we will not be able to obtain product revenue in future periods, which could significantly harm our financial position and adversely affect our stock price.</w:t>
      </w:r>
    </w:p>
    <w:p>
      <w:pPr>
        <w:spacing w:after="0" w:line="26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63"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The risk of failure for our product candidates is high. It is impossible to predict when or if CLS-AX or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For example, we were previously developing XIPERE in combination with an anti-VEGF therapy for the treatment of macular edema associated with RVO. In November 2018, we announced that the primary endpoint of our Phase 3 clinical trial evaluating XIPERE together with intravitreal Eylea in patients with RVO was not achieved. In light of the 8-week topline data,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discontinued our Phase 3 trials of suprachoroidal XIPERE together with an intravitreal anti-VEGF agent in patients with RVO, as well as the clinical development of XIPERE in combination with anti-VEGF agents for the treatment of RVO.</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our product candidates, including:</w:t>
      </w:r>
    </w:p>
    <w:p>
      <w:pPr>
        <w:spacing w:after="0" w:line="63" w:lineRule="exact"/>
        <w:rPr>
          <w:sz w:val="20"/>
          <w:szCs w:val="20"/>
          <w:color w:val="auto"/>
        </w:rPr>
      </w:pPr>
    </w:p>
    <w:p>
      <w:pPr>
        <w:ind w:left="1020" w:right="1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16" w:lineRule="exact"/>
        <w:rPr>
          <w:rFonts w:ascii="Arial" w:cs="Arial" w:eastAsia="Arial" w:hAnsi="Arial"/>
          <w:sz w:val="16"/>
          <w:szCs w:val="16"/>
          <w:color w:val="auto"/>
        </w:rPr>
      </w:pPr>
    </w:p>
    <w:p>
      <w:pPr>
        <w:ind w:left="1020" w:hanging="503"/>
        <w:spacing w:after="0" w:line="291"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20" w:right="1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and</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63"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such as black box warnings or a REMS program;</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or our potential collaborators’ ability to successfully commercialize our product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83"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 or those of our licensing partners.</w:t>
      </w:r>
    </w:p>
    <w:p>
      <w:pPr>
        <w:spacing w:after="0" w:line="104" w:lineRule="exact"/>
        <w:rPr>
          <w:sz w:val="20"/>
          <w:szCs w:val="20"/>
          <w:color w:val="auto"/>
        </w:rPr>
      </w:pPr>
    </w:p>
    <w:p>
      <w:pPr>
        <w:ind w:right="220" w:firstLine="554"/>
        <w:spacing w:after="0" w:line="279" w:lineRule="auto"/>
        <w:rPr>
          <w:sz w:val="20"/>
          <w:szCs w:val="20"/>
          <w:color w:val="auto"/>
        </w:rPr>
      </w:pPr>
      <w:r>
        <w:rPr>
          <w:rFonts w:ascii="Arial" w:cs="Arial" w:eastAsia="Arial" w:hAnsi="Arial"/>
          <w:sz w:val="16"/>
          <w:szCs w:val="16"/>
          <w:color w:val="auto"/>
        </w:rPr>
        <w:t>Our financial results for the year ended December 31, 2021 were not impacted by COVID-19. However, the spread of COVID-19, which has caused a broad impact globally, may materially affect us economically. While the potential economic impact brought by, and the duration of, COVID-19 may be difficult to assess or predict, it has and could continue to result in significant disruption of global financial markets, reducing our ability to access capital, which could in the future negatively affect our liquidity. In addition, a recession or market correction resulting from the spread of COVID-19 as well as related supply chain issues, labor shortages and rising inflation could materially affect our business and the value of our common stock.</w:t>
      </w:r>
    </w:p>
    <w:p>
      <w:pPr>
        <w:spacing w:after="0" w:line="159" w:lineRule="exact"/>
        <w:rPr>
          <w:sz w:val="20"/>
          <w:szCs w:val="20"/>
          <w:color w:val="auto"/>
        </w:rPr>
      </w:pPr>
    </w:p>
    <w:p>
      <w:pPr>
        <w:ind w:firstLine="644"/>
        <w:spacing w:after="0" w:line="257" w:lineRule="auto"/>
        <w:rPr>
          <w:sz w:val="20"/>
          <w:szCs w:val="20"/>
          <w:color w:val="auto"/>
        </w:rPr>
      </w:pPr>
      <w:r>
        <w:rPr>
          <w:rFonts w:ascii="Arial" w:cs="Arial" w:eastAsia="Arial" w:hAnsi="Arial"/>
          <w:sz w:val="17"/>
          <w:szCs w:val="17"/>
          <w:color w:val="auto"/>
        </w:rPr>
        <w:t>The COVID-19 pandemic has resulted in continuing travel and other restrictions in order to reduce the spread of the disease, including state and local orders across the country that, among other things, direct businesses and governmental agencies to cease non-essential operations at physical locations, prohibit certain non-essential gatherings, and order cessation of non-essential travel. As these restrictions have eased, we have begun to resume some activities, including limited business travel, and implemented hybrid work environments. We expect many employees to continue to work remotely or a hybrid of in-person and remote work, which presents risks, uncertainties and costs that could affect our performance, including operational and workplace culture challenges and heightened vulnerability to cyberattacks.</w:t>
      </w:r>
    </w:p>
    <w:p>
      <w:pPr>
        <w:spacing w:after="0" w:line="175" w:lineRule="exact"/>
        <w:rPr>
          <w:sz w:val="20"/>
          <w:szCs w:val="20"/>
          <w:color w:val="auto"/>
        </w:rPr>
      </w:pPr>
    </w:p>
    <w:p>
      <w:pPr>
        <w:ind w:right="60" w:firstLine="644"/>
        <w:spacing w:after="0" w:line="274" w:lineRule="auto"/>
        <w:rPr>
          <w:sz w:val="20"/>
          <w:szCs w:val="20"/>
          <w:color w:val="auto"/>
        </w:rPr>
      </w:pPr>
      <w:r>
        <w:rPr>
          <w:rFonts w:ascii="Arial" w:cs="Arial" w:eastAsia="Arial" w:hAnsi="Arial"/>
          <w:sz w:val="16"/>
          <w:szCs w:val="16"/>
          <w:color w:val="auto"/>
        </w:rPr>
        <w:t>Quarantines and similar government orders and employer restrictions related to COVID-19 may adversely impact our business operations and the business operations of third parties on which we rely. In addition, our clinical trials and those of our licensing partners may be affected by the COVID-19 pandemic. For example,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our ability, or that of our licensing partners, to recruit and retain patients and principal investigators and site staff who, as healthcare providers, may have heightened exposure to COVID-19 may be impaired, which could adversely impact our clinical trial operations or those of our licensing partners and, as a result, negatively affect our ability to receive regulatory and development milestones under our license agreements.</w:t>
      </w:r>
    </w:p>
    <w:p>
      <w:pPr>
        <w:spacing w:after="0" w:line="163" w:lineRule="exact"/>
        <w:rPr>
          <w:sz w:val="20"/>
          <w:szCs w:val="20"/>
          <w:color w:val="auto"/>
        </w:rPr>
      </w:pPr>
    </w:p>
    <w:p>
      <w:pPr>
        <w:ind w:right="100" w:firstLine="578"/>
        <w:spacing w:after="0" w:line="241" w:lineRule="auto"/>
        <w:rPr>
          <w:sz w:val="20"/>
          <w:szCs w:val="20"/>
          <w:color w:val="auto"/>
        </w:rPr>
      </w:pPr>
      <w:r>
        <w:rPr>
          <w:rFonts w:ascii="Arial" w:cs="Arial" w:eastAsia="Arial" w:hAnsi="Arial"/>
          <w:sz w:val="18"/>
          <w:szCs w:val="18"/>
          <w:color w:val="auto"/>
        </w:rPr>
        <w:t>The extent to which the COVID-19 pandemic impacts our business, our clinical development and regulatory efforts and those of our licensing partners will depend on future developments that are highly uncertain and cannot be predicted with confidence, such as the duration of the outbreak, travel restrictions, quarantines, social distancing requirements and business closures in the United States and other countries, business disruptions, the effectiveness of actions taken in the United States and other countries to contain the disease, the impact of new variants or mutations of the coronavirus, such as the Delta and Omicron variants and the availability,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500"/>
        <w:spacing w:after="0" w:line="324" w:lineRule="auto"/>
        <w:rPr>
          <w:sz w:val="20"/>
          <w:szCs w:val="20"/>
          <w:color w:val="auto"/>
        </w:rPr>
      </w:pPr>
      <w:r>
        <w:rPr>
          <w:rFonts w:ascii="Arial" w:cs="Arial" w:eastAsia="Arial" w:hAnsi="Arial"/>
          <w:sz w:val="16"/>
          <w:szCs w:val="16"/>
          <w:color w:val="auto"/>
        </w:rPr>
        <w:t>effectiveness and widespread availability and adoption of vaccines, both domestically and abroad. Accordingly, we do not yet know the full extent of potential delays or impacts on our business, our clinical and regulatory activities, healthcare systems or the global economy as a whole.</w:t>
      </w:r>
    </w:p>
    <w:p>
      <w:pPr>
        <w:spacing w:after="0" w:line="124" w:lineRule="exact"/>
        <w:rPr>
          <w:sz w:val="20"/>
          <w:szCs w:val="20"/>
          <w:color w:val="auto"/>
        </w:rPr>
      </w:pPr>
    </w:p>
    <w:p>
      <w:pPr>
        <w:ind w:right="220" w:firstLine="578"/>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7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 stage testing have later been found to cause side effects that prevented further development of the product candidate. In addition, in some cases, the FDA could issue a clinical hold to stop the study.</w:t>
      </w:r>
    </w:p>
    <w:p>
      <w:pPr>
        <w:spacing w:after="0" w:line="2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granted an exclusive license to Bausch for the commercialization and development of XIPERE in the United States and Canada. If we are unable to maintain our partnership with Bausch, or if Bausch fails to successfully commercialize XIPERE, our business and prospects will be materially harmed.</w:t>
      </w:r>
    </w:p>
    <w:p>
      <w:pPr>
        <w:spacing w:after="0" w:line="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The successful or timely achievement of many of these milestones is outside of our control because the relevant activities will be conducted by Bausch or third parties engaged by Bausch, including manufacturers and suppliers. We expect to depend to a large degree on the payments from Bausch and future potential commercialization partners in order to fund our operations, and a failure to receive such payments may cause us to:</w:t>
      </w:r>
    </w:p>
    <w:p>
      <w:pPr>
        <w:spacing w:after="0" w:line="81"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headcount;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the raising of additional funds through equity or convertible debt financings that could be dilutive to our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seek funds by entering into agreements that require us to assign rights to technologies or products that we would have otherwise retained;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new arrangements that may be less favorable than those we would have obtained under different circumstances;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have entered into, and intend to continue to enter into, collaborations with third parties for the development and commercialization of XIPERE. In addition, we may seek commercialization partners for our product candidates. If those collaborations are not successful, we may not be able to capitalize on the market potential of XIPERE and our product candidates.</w:t>
      </w:r>
    </w:p>
    <w:p>
      <w:pPr>
        <w:spacing w:after="0" w:line="74"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have entered into, and intend to continue to enter into, agreements with third-party collaborators for the development and commercialization of XIPERE and our product candidates. Our likely collaborators for any collaboration arrangements include large and mid-size pharmaceutical companies, regional and national pharmaceutical companies and smaller biotechnology companies. Our ability to generate revenues from these arrangements will depend on our collaborators’ abilities to successfully perform the functions assigned to them in these arrangements.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XIPERE and our product candidates would pose the following risks to us:</w:t>
      </w:r>
    </w:p>
    <w:p>
      <w:pPr>
        <w:spacing w:after="0" w:line="10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refuse to perform clinical trials or other obligations required for approval in a particular jurisdiction outside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collaborators’ regulatory submissions may be denied by the applicable regulatory authorities;</w:t>
      </w:r>
    </w:p>
    <w:p>
      <w:pPr>
        <w:spacing w:after="0" w:line="103" w:lineRule="exact"/>
        <w:rPr>
          <w:rFonts w:ascii="Arial" w:cs="Arial" w:eastAsia="Arial" w:hAnsi="Arial"/>
          <w:sz w:val="18"/>
          <w:szCs w:val="18"/>
          <w:color w:val="auto"/>
        </w:rPr>
      </w:pPr>
    </w:p>
    <w:p>
      <w:pPr>
        <w:jc w:val="both"/>
        <w:ind w:left="1020" w:right="260" w:hanging="503"/>
        <w:spacing w:after="0" w:line="29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39" w:lineRule="exact"/>
        <w:rPr>
          <w:rFonts w:ascii="Arial" w:cs="Arial" w:eastAsia="Arial" w:hAnsi="Arial"/>
          <w:sz w:val="16"/>
          <w:szCs w:val="16"/>
          <w:color w:val="auto"/>
        </w:rPr>
      </w:pPr>
    </w:p>
    <w:p>
      <w:pPr>
        <w:ind w:left="1020" w:right="460" w:hanging="503"/>
        <w:spacing w:after="0" w:line="29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20" w:right="24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73"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 w:lineRule="exact"/>
        <w:rPr>
          <w:rFonts w:ascii="Arial" w:cs="Arial" w:eastAsia="Arial" w:hAnsi="Arial"/>
          <w:sz w:val="16"/>
          <w:szCs w:val="16"/>
          <w:color w:val="auto"/>
        </w:rPr>
      </w:pPr>
    </w:p>
    <w:p>
      <w:pPr>
        <w:ind w:left="1020" w:right="4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2" w:lineRule="exact"/>
        <w:rPr>
          <w:rFonts w:ascii="Arial" w:cs="Arial" w:eastAsia="Arial" w:hAnsi="Arial"/>
          <w:sz w:val="18"/>
          <w:szCs w:val="18"/>
          <w:color w:val="auto"/>
        </w:rPr>
      </w:pPr>
    </w:p>
    <w:p>
      <w:pPr>
        <w:ind w:left="1020" w:right="220" w:hanging="503"/>
        <w:spacing w:after="0" w:line="24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9"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1" w:lineRule="exact"/>
        <w:rPr>
          <w:sz w:val="20"/>
          <w:szCs w:val="20"/>
          <w:color w:val="auto"/>
        </w:rPr>
      </w:pPr>
    </w:p>
    <w:p>
      <w:pPr>
        <w:jc w:val="both"/>
        <w:ind w:right="520" w:firstLine="509"/>
        <w:spacing w:after="0" w:line="248"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b w:val="1"/>
          <w:bCs w:val="1"/>
          <w:i w:val="1"/>
          <w:iCs w:val="1"/>
          <w:color w:val="auto"/>
        </w:rPr>
        <w:t>We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1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8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9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or our potential collaborators’ efforts to, successfully commercialize our product candidates.</w:t>
      </w:r>
    </w:p>
    <w:p>
      <w:pPr>
        <w:spacing w:after="0" w:line="172"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the commercialization of our current or future product candidates.</w:t>
      </w:r>
    </w:p>
    <w:p>
      <w:pPr>
        <w:spacing w:after="0" w:line="15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29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We do not have our own manufacturing capabilities and rely on third parties to produce clinical and commercial supplies of our current product candidates and our SCS Microinjector. This reliance on third parties increases the risk that we will not have sufficient quantities of our drug products and our SCS Microinjector, or such quantities at an acceptable cost, which could delay, prevent or impair our development or commercialization efforts.</w:t>
      </w:r>
    </w:p>
    <w:p>
      <w:pPr>
        <w:spacing w:after="0" w:line="80" w:lineRule="exact"/>
        <w:rPr>
          <w:sz w:val="20"/>
          <w:szCs w:val="20"/>
          <w:color w:val="auto"/>
        </w:rPr>
      </w:pPr>
    </w:p>
    <w:p>
      <w:pPr>
        <w:ind w:firstLine="578"/>
        <w:spacing w:after="0" w:line="271" w:lineRule="auto"/>
        <w:rPr>
          <w:sz w:val="20"/>
          <w:szCs w:val="20"/>
          <w:color w:val="auto"/>
        </w:rPr>
      </w:pPr>
      <w:r>
        <w:rPr>
          <w:rFonts w:ascii="Arial" w:cs="Arial" w:eastAsia="Arial" w:hAnsi="Arial"/>
          <w:sz w:val="16"/>
          <w:szCs w:val="16"/>
          <w:color w:val="auto"/>
        </w:rPr>
        <w:t>We do not have any manufacturing facilities or personnel. We currently procure the active pharmaceutical ingredient of our product candidates on a purchase order basis from a third-party manufacturer, but we do not have a commercial supply agreement in place with that manufacturer. In addition, we have entered into a supply agreement with Gerresheimer, our SCS Microinjector supplier. Some of our current suppliers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our SCS Microinjector, as well as for commercial manufacture, for any of our product candidates that receive marketing approval. This reliance on third parties increases the risk that we will not have sufficient quantities of our drug products including our SCS Microinjector or such quantities at an acceptable cost or quality, which could delay, prevent or impair our ability to timely conduct our clinical trials or our other development or commercialization efforts. In addition, we may be unable to establish any agreements with third-party manufacturers or collaborators or to do so on acceptable terms.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Reliance on third-party manufacturers or collaborators entails additional risks, including:</w:t>
      </w:r>
    </w:p>
    <w:p>
      <w:pPr>
        <w:spacing w:after="0" w:line="212" w:lineRule="exact"/>
        <w:rPr>
          <w:sz w:val="20"/>
          <w:szCs w:val="20"/>
          <w:color w:val="auto"/>
        </w:rPr>
      </w:pPr>
    </w:p>
    <w:p>
      <w:pPr>
        <w:ind w:left="1340" w:hanging="380"/>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03" w:lineRule="exact"/>
        <w:rPr>
          <w:rFonts w:ascii="Arial" w:cs="Arial" w:eastAsia="Arial" w:hAnsi="Arial"/>
          <w:sz w:val="18"/>
          <w:szCs w:val="18"/>
          <w:color w:val="auto"/>
        </w:rPr>
      </w:pPr>
    </w:p>
    <w:p>
      <w:pPr>
        <w:ind w:left="1340" w:hanging="380"/>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1340" w:hanging="380"/>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340" w:hanging="380"/>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2" w:lineRule="exact"/>
        <w:rPr>
          <w:sz w:val="20"/>
          <w:szCs w:val="20"/>
          <w:color w:val="auto"/>
        </w:rPr>
      </w:pPr>
    </w:p>
    <w:p>
      <w:pPr>
        <w:ind w:right="120" w:firstLine="578"/>
        <w:spacing w:after="0" w:line="238" w:lineRule="auto"/>
        <w:rPr>
          <w:sz w:val="20"/>
          <w:szCs w:val="20"/>
          <w:color w:val="auto"/>
        </w:rPr>
      </w:pPr>
      <w:r>
        <w:rPr>
          <w:rFonts w:ascii="Arial" w:cs="Arial" w:eastAsia="Arial" w:hAnsi="Arial"/>
          <w:sz w:val="18"/>
          <w:szCs w:val="18"/>
          <w:color w:val="auto"/>
        </w:rPr>
        <w:t>Our product candidates, including our proprietary drug formulations packaged together with our SCS Microinjector, are subject to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Our failure, or the failure of our third-party manufacturers, to comply with applicable regulations could result in sanctions being imposed on us, including clinical holds, a refusal to file determination by the FDA, receipt of a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w:t>
      </w:r>
    </w:p>
    <w:p>
      <w:pPr>
        <w:spacing w:after="0" w:line="194" w:lineRule="exact"/>
        <w:rPr>
          <w:sz w:val="20"/>
          <w:szCs w:val="20"/>
          <w:color w:val="auto"/>
        </w:rPr>
      </w:pPr>
    </w:p>
    <w:p>
      <w:pPr>
        <w:ind w:firstLine="578"/>
        <w:spacing w:after="0" w:line="271" w:lineRule="auto"/>
        <w:rPr>
          <w:sz w:val="20"/>
          <w:szCs w:val="20"/>
          <w:color w:val="auto"/>
        </w:rPr>
      </w:pPr>
      <w:r>
        <w:rPr>
          <w:rFonts w:ascii="Arial" w:cs="Arial" w:eastAsia="Arial" w:hAnsi="Arial"/>
          <w:sz w:val="16"/>
          <w:szCs w:val="16"/>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69" w:lineRule="exact"/>
        <w:rPr>
          <w:sz w:val="20"/>
          <w:szCs w:val="20"/>
          <w:color w:val="auto"/>
        </w:rPr>
      </w:pPr>
    </w:p>
    <w:p>
      <w:pPr>
        <w:ind w:right="580" w:firstLine="578"/>
        <w:spacing w:after="0" w:line="24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compromise our future profit margins and/or our commercialization partner's ability to commercialize any product candidates that receive marketing approval on a timely and competitive basis.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establish additional collaborations, we may have to alter some of our future development and commercialization plans.</w:t>
      </w:r>
    </w:p>
    <w:p>
      <w:pPr>
        <w:spacing w:after="0" w:line="12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8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we are unable to establish sales and distribution capabilities for our product candidates for which we do not out-license commercialization rights, we may not be successful in commercializing those product candidates, if and when they are approved.</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do not have a sales infrastructure. To achieve commercial success for any product candidate for which we may obtain marketing approval in the United States and have not licensed the commercialization rights to a third party, we will need to establish a sales organization. There are risks involved with establishing our own sales and distribution capabilities. For example, recruiting and training a sales force is expensive and time-consuming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04"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 candidates;</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compared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right="260" w:firstLine="509"/>
        <w:spacing w:after="0" w:line="276" w:lineRule="auto"/>
        <w:rPr>
          <w:sz w:val="20"/>
          <w:szCs w:val="20"/>
          <w:color w:val="auto"/>
        </w:rPr>
      </w:pPr>
      <w:r>
        <w:rPr>
          <w:rFonts w:ascii="Arial" w:cs="Arial" w:eastAsia="Arial" w:hAnsi="Arial"/>
          <w:sz w:val="16"/>
          <w:szCs w:val="16"/>
          <w:color w:val="auto"/>
        </w:rPr>
        <w:t>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w:t>
      </w:r>
    </w:p>
    <w:p>
      <w:pPr>
        <w:spacing w:after="0" w:line="270"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b w:val="1"/>
          <w:bCs w:val="1"/>
          <w:i w:val="1"/>
          <w:iCs w:val="1"/>
          <w:color w:val="auto"/>
        </w:rPr>
        <w:t>XIPERE and any of our product candidates that receive marketing approval, may fail to achieve the degree of market acceptance by physicians, patients, third-party payors and others in the medical community necessary for commercial success.</w:t>
      </w:r>
    </w:p>
    <w:p>
      <w:pPr>
        <w:spacing w:after="0" w:line="3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XIPERE and any of our product candidates that receive marketing approval may nonetheless fail to gain sufficient market acceptance by physicians, patients, third-party payors and others in the medical community. Suprachoroidal injection of drugs is a novel approach and physicians, patients or third-party payors may be hesitant to deviate from or change the current standard of care. If XIPERE or our product candidates do not achieve an adequate level of market acceptance, we may not generate significant product revenue and we may not become profitable. The degree of market acceptance of XIPERE and our product candidates, if approved for commercial sale, will depend on a number of factors, including:</w:t>
      </w:r>
    </w:p>
    <w:p>
      <w:pPr>
        <w:spacing w:after="0" w:line="66"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the healthcare community and patients to adopt new technologies and our novel approach of SCS injection of drugs;</w:t>
      </w:r>
    </w:p>
    <w:p>
      <w:pPr>
        <w:spacing w:after="0" w:line="115"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uveitis and retina specialists to expend the time necessary to receive proper training on injecting drugs into the SCS using our SCS Microinjector;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manufacture our products in sufficient quantities and yields;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provided by us or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also are aware of companies that are developing suprachoroidal injectors which may compete with our SCS Microinjector.</w:t>
      </w:r>
    </w:p>
    <w:p>
      <w:pPr>
        <w:spacing w:after="0" w:line="18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With respect to XIPERE, we face competition from other commercially available forms of TA and other injectable and implantable corticosteroids. Bristol-Myers Squibb markets TA under the brand name Kenalog, for which a number of generic equivalents are currently available. Kenalog is indicated only for intramuscular or intraarticular injection; however, it is commonly used off-label for intraocular inflammation using intravitreal and periocular administration. In addition, Alcon’s injectable TA, Triesence, is approved in the United States for the treatment of uveitis and other ocular inflammatory conditions unresponsive to topical corticosteroids, although it is not indicated for the treatment of macular edema associated with uveitis.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Ozurdex is also approved in the United States for the treatment of DME. Retisert and Yutiq, both intravitreal implants of fluocinolone acetonide, are marketed by Bausch and Eyepoint Pharmaceuticals, respectively, and are approved in the United Sates for the treatment of chronic non-infectious uveitis affecting the posterior segment of the eye.</w:t>
      </w:r>
    </w:p>
    <w:p>
      <w:pPr>
        <w:spacing w:after="0" w:line="180"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 In addition to Genentech’s products, Regeneron’s anti-VEGF product, Eylea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 Novartis’ Beovu was approved in 2019 for the treatment of wet AMD in the United States and in 2020 in Europe.</w:t>
      </w:r>
    </w:p>
    <w:p>
      <w:pPr>
        <w:spacing w:after="0" w:line="16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Ocular drug candidates being investigated for treatment of wet AMD may also represent potential competition for CLS-AX. Ocular Therapeutics, Graybug and Eyepoint are companies currently investigating TKIs for ocular use. We expect other established companies will seek to develop new products in the ocular space with the goal of superior efficacy and duration over the current standard of care.</w:t>
      </w:r>
    </w:p>
    <w:p>
      <w:pPr>
        <w:spacing w:after="0" w:line="18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SCS Microinjector faces competition from other devices being developed to access ocular posterior tissues via the SCS. Oxular Limited recently announced plans to file for a 510(k) clearance of its Oxulumis device which is designed to administer therapy to the SCS via a microcatheter, and Gyroscope Therapeutics also announced 510(k) clearance for its Orbit Subretinal Delivery System which uses a catheter to access the subretinal space via the SCS.</w:t>
      </w:r>
    </w:p>
    <w:p>
      <w:pPr>
        <w:spacing w:after="0" w:line="188"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or our collaborators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XIPERE and our product candidates may be subject to unfavorable pricing regulations, third-party coverage and reimbursement policies or healthcare reform initiatives.</w:t>
      </w:r>
    </w:p>
    <w:p>
      <w:pPr>
        <w:spacing w:after="0" w:line="63"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Our and our collaborators’ ability to commercialize XIPERE and any of our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or our collaborators may be required to conduct expensive pharmacoeconomic studies to justify coverage and reimbursement or the level of reimbursement compared to other therapies. If coverage and adequate reimbursement are not available or reimbursement is available only to limited levels, we or our collaborators may not be able to successfully commercialize any product candidates for which marketing approval is obtained.</w:t>
      </w:r>
    </w:p>
    <w:p>
      <w:pPr>
        <w:spacing w:after="0" w:line="16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our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8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Further, from time to time, typically on an annual basis, payment amounts are updated and revised by third-party payors. Because we expect that customers who use our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believe that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or that the Category III codes will remain in effect.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spacing w:after="0" w:line="186"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or our collaborators’ inability to promptly obtain coverage and adequate reimbursement rates from both government-funded and private payors for any approved drugs that we develop could significantly harm our operating results, our ability to raise capital and our overall financial condition.</w:t>
      </w:r>
    </w:p>
    <w:p>
      <w:pPr>
        <w:spacing w:after="0" w:line="17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8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face an inherent risk of product liability exposure related to the sale of XIPERE as well as the testing of our product candidates in human clinical trials. If we cannot successfully defend ourselves against claims that our product candidates or products caused injuries, we will incur substantial liabilities. Regardless of merit or eventual outcome, liability claims may result in:</w:t>
      </w:r>
    </w:p>
    <w:p>
      <w:pPr>
        <w:spacing w:after="0" w:line="7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1040" w:hanging="512"/>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or our collaborators’ inability to commercialize any drugs that we may develop.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or our collaborators commence commercialization of our product candidates. Insurance coverage is increasingly expensive. We may not be able to maintain insurance coverage at a reasonable cost or in an amount adequate to satisfy any liability that may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are highly dependent on the management, research and development, clinical, financial and business development expertise of our executive officers and senior management, as well as the other members of our scientific and clinical development teams. Our executive officers may terminate their employment with us at any time. We do not maintain “key person” insurance for any of our executives or employees.</w:t>
      </w:r>
    </w:p>
    <w:p>
      <w:pPr>
        <w:spacing w:after="0" w:line="16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Recruiting and retaining qualified scientific and clinical personnel will also be critical to our success. The loss of the services of our executive officers or other key employees could impede the achievement of our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gain regulatory approval of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4"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82"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that we have published an invention 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63"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16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28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w:t>
      </w:r>
    </w:p>
    <w:p>
      <w:pPr>
        <w:spacing w:after="0" w:line="2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63"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75"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15"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8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intellectual property licenses with third parties, we could lose license rights that are important to our business.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288"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A third party may hold intellectual property rights, including patent rights, that are important or necessary to the development of our product candidates. It may be necessary for us or our collaborators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cease development of one or more or our product candidates or accept unfavorable contractual terms. If we are unable to obtain such licenses on commercially reasonable terms, our business could be harmed.</w:t>
      </w:r>
    </w:p>
    <w:p>
      <w:pPr>
        <w:spacing w:after="0" w:line="2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claims that we have caused an employee to breach the terms of his or her non-competition or non-solicitation agreement. Litigation may be necessary to defend against these potential claims.</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or our collaborators’ ability to commercialize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Some intellectual property that we have in-licensed may have been discovered through a government funded program and may be subject to certain federal regulations.</w:t>
      </w:r>
    </w:p>
    <w:p>
      <w:pPr>
        <w:spacing w:after="0" w:line="63"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16" w:lineRule="exact"/>
        <w:rPr>
          <w:sz w:val="20"/>
          <w:szCs w:val="20"/>
          <w:color w:val="auto"/>
        </w:rPr>
      </w:pPr>
    </w:p>
    <w:p>
      <w:pPr>
        <w:ind w:right="1060"/>
        <w:spacing w:after="0" w:line="291"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we and our collaborators will not be able to commercialize our product candidates, and our ability to generate revenue will be materially impaired.</w:t>
      </w:r>
    </w:p>
    <w:p>
      <w:pPr>
        <w:spacing w:after="0" w:line="39"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or any collaborator to whom we grant rights, from commercializing the product candidate. We expect to rely on third-party CROs to assist us in preparing some or all aspects of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8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b w:val="1"/>
          <w:bCs w:val="1"/>
          <w:i w:val="1"/>
          <w:iCs w:val="1"/>
          <w:color w:val="auto"/>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spacing w:after="0" w:line="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that certain of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8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7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29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of the complexity involved with co-packaging a drug-device combination product.</w:t>
      </w:r>
    </w:p>
    <w:p>
      <w:pPr>
        <w:spacing w:after="0" w:line="63"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Our product candidates require coordination within the FDA and similar foreign regulatory agencies for review of the drug along with the SCS Microinjector.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 Additionally, other jurisdictions may have additional requirements for any drug and device combination, which may cause delays in product approval.</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1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or requirements.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in order for us or our collaborators to commercialize our products in any market.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affect our business.</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6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1040" w:hanging="512"/>
        <w:spacing w:after="0"/>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320"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8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federal civil False Claims Act, as well as state consumer protection laws.</w:t>
      </w:r>
    </w:p>
    <w:p>
      <w:pPr>
        <w:spacing w:after="0" w:line="18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6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103" w:lineRule="exact"/>
        <w:rPr>
          <w:rFonts w:ascii="Arial" w:cs="Arial" w:eastAsia="Arial" w:hAnsi="Arial"/>
          <w:sz w:val="18"/>
          <w:szCs w:val="18"/>
          <w:color w:val="auto"/>
        </w:rPr>
      </w:pPr>
    </w:p>
    <w:p>
      <w:pPr>
        <w:ind w:left="1040" w:hanging="512"/>
        <w:spacing w:after="0"/>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or withdrawal of the drugs from the market;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alerts;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our drugs;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7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Even though we have received orphan drug designation in the European Union for the treatment of non-infectious uveitis, we may not be able to obtain orphan drug marketing exclusivity for this product candidate.</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w:t>
      </w:r>
    </w:p>
    <w:p>
      <w:pPr>
        <w:spacing w:after="0" w:line="188"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even if we receive marketing authorization in Europe.</w:t>
      </w:r>
    </w:p>
    <w:p>
      <w:pPr>
        <w:spacing w:after="0" w:line="29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29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3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(including privacy and cybersecurity laws and regulations) that may affect our ability to operate include the following:</w:t>
      </w:r>
    </w:p>
    <w:p>
      <w:pPr>
        <w:spacing w:after="0" w:line="73" w:lineRule="exact"/>
        <w:rPr>
          <w:sz w:val="20"/>
          <w:szCs w:val="20"/>
          <w:color w:val="auto"/>
        </w:rPr>
      </w:pPr>
    </w:p>
    <w:p>
      <w:pPr>
        <w:ind w:left="1020" w:right="120" w:hanging="503"/>
        <w:spacing w:after="0" w:line="24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79" w:lineRule="exact"/>
        <w:rPr>
          <w:rFonts w:ascii="Arial" w:cs="Arial" w:eastAsia="Arial" w:hAnsi="Arial"/>
          <w:sz w:val="18"/>
          <w:szCs w:val="18"/>
          <w:color w:val="auto"/>
        </w:rPr>
      </w:pPr>
    </w:p>
    <w:p>
      <w:pPr>
        <w:ind w:left="1020" w:hanging="503"/>
        <w:spacing w:after="0" w:line="24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federal civil False Claims Act which permits private individuals, on behalf of the government, to bring civil whistleblower or qui tam actions to enforce the law,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81" w:lineRule="exact"/>
        <w:rPr>
          <w:rFonts w:ascii="Arial" w:cs="Arial" w:eastAsia="Arial" w:hAnsi="Arial"/>
          <w:sz w:val="18"/>
          <w:szCs w:val="18"/>
          <w:color w:val="auto"/>
        </w:rPr>
      </w:pPr>
    </w:p>
    <w:p>
      <w:pPr>
        <w:ind w:left="1020" w:right="24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3" w:lineRule="exact"/>
        <w:rPr>
          <w:rFonts w:ascii="Arial" w:cs="Arial" w:eastAsia="Arial" w:hAnsi="Arial"/>
          <w:sz w:val="18"/>
          <w:szCs w:val="18"/>
          <w:color w:val="auto"/>
        </w:rPr>
      </w:pPr>
    </w:p>
    <w:p>
      <w:pPr>
        <w:ind w:left="1020" w:hanging="503"/>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2" w:lineRule="exact"/>
        <w:rPr>
          <w:rFonts w:ascii="Arial" w:cs="Arial" w:eastAsia="Arial" w:hAnsi="Arial"/>
          <w:sz w:val="18"/>
          <w:szCs w:val="18"/>
          <w:color w:val="auto"/>
        </w:rPr>
      </w:pPr>
    </w:p>
    <w:p>
      <w:pPr>
        <w:ind w:left="1020" w:right="40" w:hanging="503"/>
        <w:spacing w:after="0" w:line="24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w:t>
      </w:r>
    </w:p>
    <w:p>
      <w:pPr>
        <w:spacing w:after="0" w:line="81" w:lineRule="exact"/>
        <w:rPr>
          <w:rFonts w:ascii="Arial" w:cs="Arial" w:eastAsia="Arial" w:hAnsi="Arial"/>
          <w:sz w:val="18"/>
          <w:szCs w:val="18"/>
          <w:color w:val="auto"/>
        </w:rPr>
      </w:pPr>
    </w:p>
    <w:p>
      <w:pPr>
        <w:ind w:left="1020" w:right="10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Section 6002 of the Affordable Care Act, imposed annual reporting requirements for certain manufacturers of drugs, devices, biologics and medical supplies for certain payments and “transfers of value” provided to physicians (defined to include doctors, dentists, optometrists, podiatrists,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1020" w:right="580"/>
        <w:spacing w:after="0" w:line="261" w:lineRule="auto"/>
        <w:rPr>
          <w:sz w:val="20"/>
          <w:szCs w:val="20"/>
          <w:color w:val="auto"/>
        </w:rPr>
      </w:pPr>
      <w:r>
        <w:rPr>
          <w:rFonts w:ascii="Arial" w:cs="Arial" w:eastAsia="Arial" w:hAnsi="Arial"/>
          <w:sz w:val="18"/>
          <w:szCs w:val="18"/>
          <w:color w:val="auto"/>
        </w:rPr>
        <w:t>chiropractors), other healthcare professionals (such as physicians assistants and nurse practitioners), and teaching hospitals, as well as ownership and investment interests held by physicians and their immediate family members;</w:t>
      </w:r>
    </w:p>
    <w:p>
      <w:pPr>
        <w:spacing w:after="0" w:line="63" w:lineRule="exact"/>
        <w:rPr>
          <w:sz w:val="20"/>
          <w:szCs w:val="20"/>
          <w:color w:val="auto"/>
        </w:rPr>
      </w:pPr>
    </w:p>
    <w:p>
      <w:pPr>
        <w:ind w:left="1020" w:right="80" w:hanging="503"/>
        <w:spacing w:after="0" w:line="253"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5" w:lineRule="exact"/>
        <w:rPr>
          <w:rFonts w:ascii="Arial" w:cs="Arial" w:eastAsia="Arial" w:hAnsi="Arial"/>
          <w:sz w:val="17"/>
          <w:szCs w:val="17"/>
          <w:color w:val="auto"/>
        </w:rPr>
      </w:pPr>
    </w:p>
    <w:p>
      <w:pPr>
        <w:ind w:left="1020" w:right="20" w:hanging="503"/>
        <w:spacing w:after="0" w:line="24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data privacy regulations, such as the CCPA, which creates new individual privacy rights for consumers and places increased privacy and security obligations on entities handling personal data of consumers or households. The CCPA requires covered companies to provide new disclosures to California consumers, provides such consumers new ways to opt-out of certain sales of personal information, and allows for a new cause of action for data breaches;</w:t>
      </w:r>
    </w:p>
    <w:p>
      <w:pPr>
        <w:spacing w:after="0" w:line="79" w:lineRule="exact"/>
        <w:rPr>
          <w:rFonts w:ascii="Arial" w:cs="Arial" w:eastAsia="Arial" w:hAnsi="Arial"/>
          <w:sz w:val="18"/>
          <w:szCs w:val="18"/>
          <w:color w:val="auto"/>
        </w:rPr>
      </w:pPr>
    </w:p>
    <w:p>
      <w:pPr>
        <w:ind w:left="960" w:right="20" w:hanging="383"/>
        <w:spacing w:after="0" w:line="257" w:lineRule="auto"/>
        <w:tabs>
          <w:tab w:leader="none" w:pos="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new U.S. data privacy regulations, such as the California Privacy Rights Act of 2020 ("CPRA"), effective January 1, 2023, which will expand the CCPA. For example, the CPRA establishes a new California Privacy Protection Agency to implement and enforce the CPRA. In addition, Virginia passed the Consumer Data Protection Act, and Colorado passed the Colorado Privacy Act, both of which differ from the CPRA and become effective in 2023.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67" w:lineRule="exact"/>
        <w:rPr>
          <w:rFonts w:ascii="Arial" w:cs="Arial" w:eastAsia="Arial" w:hAnsi="Arial"/>
          <w:sz w:val="17"/>
          <w:szCs w:val="17"/>
          <w:color w:val="auto"/>
        </w:rPr>
      </w:pPr>
    </w:p>
    <w:p>
      <w:pPr>
        <w:ind w:left="1020" w:hanging="503"/>
        <w:spacing w:after="0" w:line="257"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foreign data privacy regulations, such as the General Data Protection Regulation (2016/679), or GDPR, which went into effect on May 25, 2018 and applies to identified or identifiable personal data in electronic or paper form.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 including a private right of action. Other such foreign data privacy obligations include the EU GDPR as it forms part of United Kingdom ("UK") law by virtue of section 3 of the European Union (Withdrawal) Act 2018 ("UK GDPR"); and</w:t>
      </w:r>
    </w:p>
    <w:p>
      <w:pPr>
        <w:spacing w:after="0" w:line="67" w:lineRule="exact"/>
        <w:rPr>
          <w:rFonts w:ascii="Arial" w:cs="Arial" w:eastAsia="Arial" w:hAnsi="Arial"/>
          <w:sz w:val="17"/>
          <w:szCs w:val="17"/>
          <w:color w:val="auto"/>
        </w:rPr>
      </w:pPr>
    </w:p>
    <w:p>
      <w:pPr>
        <w:ind w:left="960" w:right="40" w:hanging="383"/>
        <w:spacing w:after="0" w:line="274" w:lineRule="auto"/>
        <w:tabs>
          <w:tab w:leader="none" w:pos="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data localization and cross-border laws and regulations, such as the GDPR, which generally restricts the transfer of personal data to countries outside of the EEA, such as the United States, which the European Commission does not consider to provide an adequate level of data privacy and security. The European Commission released a set of "Standard Contractual Clauses" that are designed to be a valid mechanism by which entities can transfer personal data out of the EEA to such jurisdictions.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w:t>
      </w:r>
    </w:p>
    <w:p>
      <w:pPr>
        <w:spacing w:after="0" w:line="163"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72"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sanctions, including exclusions from participation in government healthcare programs, which could also affect our business.</w:t>
      </w:r>
    </w:p>
    <w:p>
      <w:pPr>
        <w:spacing w:after="0" w:line="3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2"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Affordable Care Act of importance to our potential product candidates are the following:</w:t>
      </w:r>
    </w:p>
    <w:p>
      <w:pPr>
        <w:spacing w:after="0" w:line="104" w:lineRule="exact"/>
        <w:rPr>
          <w:sz w:val="20"/>
          <w:szCs w:val="20"/>
          <w:color w:val="auto"/>
        </w:rPr>
      </w:pPr>
    </w:p>
    <w:p>
      <w:pPr>
        <w:ind w:left="1020" w:right="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most branded and generic drugs, respectively;</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65"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There remain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 mandated “Cadillac” tax on high-cost employer-sponsored health coverage and medical device tax and, effective January 1, 2021, also eliminated the health insurer tax. The Bipartisan Budget Act of 2018, or BBA,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0" w:name="page51"/>
    <w:bookmarkEnd w:id="5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ind w:right="40"/>
        <w:spacing w:after="0" w:line="269" w:lineRule="auto"/>
        <w:rPr>
          <w:sz w:val="20"/>
          <w:szCs w:val="20"/>
          <w:color w:val="auto"/>
        </w:rPr>
      </w:pPr>
      <w:r>
        <w:rPr>
          <w:rFonts w:ascii="Arial" w:cs="Arial" w:eastAsia="Arial" w:hAnsi="Arial"/>
          <w:sz w:val="16"/>
          <w:szCs w:val="16"/>
          <w:color w:val="auto"/>
        </w:rPr>
        <w:t>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Further, prior to the U.S. Supreme Court ruling, on January 28, 2021, President Biden issued an executive order to initiate a special enrollment period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The Affordable Care Act may be subject to additional judicial or Congressional challenges in the future. It is unclear how any such challenges and the healthcare reform measures of the Biden administration will impact the Affordable Care Act and our business.</w:t>
      </w:r>
    </w:p>
    <w:p>
      <w:pPr>
        <w:spacing w:after="0" w:line="17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the BBA, will stay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80"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and guidance on September 24, 2020, providing guidance and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January 1, 2023. On November 20, 2020, CMS issued an interim final rule implementing the Trump administration’s Most Favored Nation executive order, which would tie Medicare Part B payments for certain physician-administered drugs to the lowest price paid in other economically advanced countries.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to advance these principles. No legislation or administrative actions have been finalized to implement these principles. In addition, Congress is considering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will be taken in response to the COVID-19 pandemic.</w:t>
      </w:r>
    </w:p>
    <w:p>
      <w:pPr>
        <w:spacing w:after="0" w:line="386"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10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common stock may be volatile, and purchasers of our common stock could incur substantial losses.</w:t>
      </w:r>
    </w:p>
    <w:p>
      <w:pPr>
        <w:spacing w:after="0" w:line="115"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stock price has been and may continue to be volatile. Since January 1, 2020, our common stock has traded at prices between $1.10 and $7.73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1040" w:hanging="512"/>
        <w:spacing w:after="0"/>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1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63"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2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If a significant number of our shares are sold into the market, it could cause the market price of our common stock to drop significantly, even if our business is doing well.</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addition, we have filed registration statements on Form S-8 registering the issuance of shares of common stock subject to options or other equity awards issued or reserved for future issuance under our equity incentive plans. These registered shares will be available for sale in the public market subject to vesting arrangements and exercise of options and, in the case of our affiliates, the restrictions of Rule 144.</w:t>
      </w:r>
    </w:p>
    <w:p>
      <w:pPr>
        <w:spacing w:after="0" w:line="290" w:lineRule="exact"/>
        <w:rPr>
          <w:sz w:val="20"/>
          <w:szCs w:val="20"/>
          <w:color w:val="auto"/>
        </w:rPr>
      </w:pPr>
    </w:p>
    <w:p>
      <w:pPr>
        <w:ind w:right="820"/>
        <w:spacing w:after="0" w:line="356"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0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one of our three classes of directors are elected each year;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24"/>
          <w:szCs w:val="24"/>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vote and only for cause;</w:t>
      </w:r>
    </w:p>
    <w:p>
      <w:pPr>
        <w:spacing w:after="0" w:line="4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are not permitted to take actions by written consent;</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12"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8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 In addition, as a smaller reporting company and non-accelerated filer, we are not required to comply with the auditor attestation requirements of Section 404 of the Sarbanes-Oxley Act.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our cash and cash equivalents and may invest or spend our cash in ways with which investors do not agree.</w:t>
      </w:r>
    </w:p>
    <w:p>
      <w:pPr>
        <w:spacing w:after="0" w:line="127"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have broad discretion over the use of our cash and cash equivalents. Investors may not agree with our decisions, and our use of our cash may not yield any return on investment. Our failure to apply our resources effectively could compromise our ability to pursue our growth strategy. Investors will not have the opportunity to influence our decisions on how to use our cash and cash equivalents.</w:t>
      </w:r>
    </w:p>
    <w:p>
      <w:pPr>
        <w:spacing w:after="0" w:line="29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the sole source of gains and investors may never receive a return on their investment.</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Investors should not rely on an investment in our common stock to provide dividend income. We have not declared or paid cash dividends on our common stock to date. We currently intend to retain our future earnings, if any, to fund the development and growth of our business. In addition, our prior loan agreement prohibited us from paying dividends without the consent of the lenders under the agreement, and we expect that the terms of any future debt agreements would likewise preclude us from paying dividends. As a result, capital appreciation, if any, of our common stock will be investors’ sole source of gain for the foreseeable future. Investors seeking cash dividends should not purchase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business and operations would suffer in the event of material computer system failures or security breaches, including but not limited to regulatory investigations or actions, litigation, fines and penalties, disruptions of our business operations, reputational harm, loss of revenue or profits and other adverse consequences.</w:t>
      </w:r>
    </w:p>
    <w:p>
      <w:pPr>
        <w:spacing w:after="0" w:line="7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and nation-state-supported actors now engage in attacks.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Any of the foregoing could result in a material disruption of our clinical and product development activities and business operations, in addition to possibly requiring substantial expenditures of resources to remedy. For example, the loss or compromise of clinical trial data from completed or ongoing clinical trials could result in delays in our regulatory approval efforts and significantly increase our costs to recover or reproduce the data. To the extent that any disruption or security incident was to result in a loss or damage to our data or applications, or inappropriate disclosure of confidential or proprietary information, we could incur significant unexpected losses, expenses and liabilities, we could face litigation or suffer reputational harm and the further development of our product candidates could be delayed.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9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5"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7"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7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The 2017 comprehensive tax reform bill, as modified by the CARES Act, and possible future changes in tax laws or regulations could adversely affect our business and financial condition.</w:t>
      </w:r>
    </w:p>
    <w:p>
      <w:pPr>
        <w:spacing w:after="0" w:line="75"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On December 22, 2017, President Trump signed into law the Tax Act, which significantly revised the Internal Revenue Code of 1986, as amended. In March 2020, the Tax Act was modified in certain respects by the Coronavirus Aid, Relief, and Economic Security (CARES) Act. Future guidance from the U.S. Internal Revenue Service and other tax authorities with respect to the Tax Act, as modified by the CARES Act, may affect us, and certain aspects of the Tax and CARES Act could be repealed or modified in future legislation. For example, proposals have been made in Congress (which have not yet been enacted) which would make a number of additional changes to federal income tax laws applicable to corporations. Changes in corporate tax rates, the realization of net deferred tax assets relating to our U.S. operations, the taxation of foreign earnings</w:t>
      </w:r>
      <w:r>
        <w:rPr>
          <w:rFonts w:ascii="Arial" w:cs="Arial" w:eastAsia="Arial" w:hAnsi="Arial"/>
          <w:sz w:val="16"/>
          <w:szCs w:val="16"/>
          <w:color w:val="0000FF"/>
        </w:rPr>
        <w:t>,</w:t>
      </w:r>
      <w:r>
        <w:rPr>
          <w:rFonts w:ascii="Arial" w:cs="Arial" w:eastAsia="Arial" w:hAnsi="Arial"/>
          <w:sz w:val="16"/>
          <w:szCs w:val="16"/>
          <w:color w:val="auto"/>
        </w:rPr>
        <w:t xml:space="preserve"> and the deductibility of expenses under the Tax Act, the CARES Act, or future tax reform legislation could have a material impact on the value of our deferred tax assets, could result in significant one-time charges in the current or future taxable years</w:t>
      </w:r>
      <w:r>
        <w:rPr>
          <w:rFonts w:ascii="Arial" w:cs="Arial" w:eastAsia="Arial" w:hAnsi="Arial"/>
          <w:sz w:val="16"/>
          <w:szCs w:val="16"/>
          <w:color w:val="0000FF"/>
        </w:rPr>
        <w:t>,</w:t>
      </w:r>
      <w:r>
        <w:rPr>
          <w:rFonts w:ascii="Arial" w:cs="Arial" w:eastAsia="Arial" w:hAnsi="Arial"/>
          <w:sz w:val="16"/>
          <w:szCs w:val="16"/>
          <w:color w:val="auto"/>
        </w:rPr>
        <w:t xml:space="preserve"> and could increase our future U.S. tax expense. The foregoing items, as well as any other future changes in tax laws, could have a material adverse effect on our business, cash flow, financial condition</w:t>
      </w:r>
      <w:r>
        <w:rPr>
          <w:rFonts w:ascii="Arial" w:cs="Arial" w:eastAsia="Arial" w:hAnsi="Arial"/>
          <w:sz w:val="16"/>
          <w:szCs w:val="16"/>
          <w:color w:val="0000FF"/>
        </w:rPr>
        <w:t>,</w:t>
      </w:r>
      <w:r>
        <w:rPr>
          <w:rFonts w:ascii="Arial" w:cs="Arial" w:eastAsia="Arial" w:hAnsi="Arial"/>
          <w:sz w:val="16"/>
          <w:szCs w:val="16"/>
          <w:color w:val="auto"/>
        </w:rPr>
        <w:t xml:space="preserve"> or results of operations. In addition, it is uncertain if and to what extent various states will conform to the Tax Act and CARES Act or any newly enacted federal tax legislation.</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in which we operate. In preparing our financial statements, we estimate the amount of tax that will become payable in each of such places. Nevertheless, our effective tax rate may be different than experienced in the past due to numerous factors, including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6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6"/>
          <w:szCs w:val="16"/>
          <w:color w:val="auto"/>
        </w:rPr>
        <w:t>As of December 31, 2021, we had approximately $234.4 million of federal and $75.6 million of state net operating loss, or NOL, carryforwards. If not utilized, the portion of these federal NOL carryforwards arising in tax years beginning before 2018 will begin to expire at various dates beginning in 2031, and these state NOL carryforwards will begin to expire at various dates beginning in 2027. Under the Tax Act, as modified by the CARES Act, federal net operating losses incurred in taxable years beginning in 2018 and in later years may be carried forward indefinitely, but the deductibility of such federal net operating losses is limited for taxable years beginning after 2020. It is uncertain how various states will respond to the changes to the federal NOL rules included in the Tax Act and CARES Act. However, under Section 382 of the U.S. Internal Revenue Code of 1986, as amended, as interpreted by the U.S. Internal Revenue Service, the amount of benefits from our NOL carryforwards may be impaired or limited if we incur a cumulative stock ownership change of more than 50% over a three-year period. The completion of our IPO, follow-on public offerings, private placements and other transactions that have occurred, and future offerings of our securities may trigger, or may have already triggered, such an ownership change. In addition, since we will need to raise substantial additional funding to finance our operations, we may undergo ownership changes in the future. We have not conducted an analysis as to whether such a change of ownership has occurred, but if such a change has occurred or occurs in the future, we will be limited regarding the amount of NOL carryforwards that can be utilized annually in the future to offset taxable income. Any such annual limitation may significantly reduce the value of our NOL carryforwards before they expire, which could result in greater tax liabilities than we would incur in the absence of such a limitation.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 2023.</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27"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Because we are a smaller reporting company and a non-accelerated filer, we are not required to comply with the auditor attestation requirements of Section 404 of the Sarbanes-Oxley Act. However, 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w:t>
      </w:r>
    </w:p>
    <w:p>
      <w:pPr>
        <w:spacing w:after="0" w:line="18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9"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and demands upon management as a result of being a public company.</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As a public company listed in the United States, we incur significant legal, accounting and other costs, which we expect to increase if we cease to be a smaller reporting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extreme weather events, earthquakes and other natural disasters could adversely affect our business.</w:t>
      </w:r>
    </w:p>
    <w:p>
      <w:pPr>
        <w:spacing w:after="0" w:line="104"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In recent years, extreme weather events and changing weather patterns such as storms, flooding, droughts, fires and temperature changes have become more common. As a result, we are potentially exposed to varying natural disaster or extreme weather risks such as hurricanes, tornadoes, fires, droughts or floods, or other events that may result from the impact of climate change on the environment, such as sea level rise. The potential impacts of climate change may also include increased operating costs associated with additional regulatory requirements and investments in reducing energy, water use and greenhouse gas emissions.</w:t>
      </w:r>
    </w:p>
    <w:p>
      <w:pPr>
        <w:spacing w:after="0" w:line="29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Adverse global economic conditions and geopolitical tensions could have a negative effect on our business, results of operations and financial condition and liquidity.</w:t>
      </w:r>
    </w:p>
    <w:p>
      <w:pPr>
        <w:spacing w:after="0" w:line="63" w:lineRule="exact"/>
        <w:rPr>
          <w:sz w:val="20"/>
          <w:szCs w:val="20"/>
          <w:color w:val="auto"/>
        </w:rPr>
      </w:pPr>
    </w:p>
    <w:p>
      <w:pPr>
        <w:ind w:right="120" w:firstLine="554"/>
        <w:spacing w:after="0" w:line="254" w:lineRule="auto"/>
        <w:rPr>
          <w:sz w:val="20"/>
          <w:szCs w:val="20"/>
          <w:color w:val="auto"/>
        </w:rPr>
      </w:pPr>
      <w:r>
        <w:rPr>
          <w:rFonts w:ascii="Arial" w:cs="Arial" w:eastAsia="Arial" w:hAnsi="Arial"/>
          <w:sz w:val="17"/>
          <w:szCs w:val="17"/>
          <w:color w:val="auto"/>
        </w:rPr>
        <w:t>In recent years, concerns about the global economic outlook have adversely affected market and business conditions in general. Macroeconomic weakness and uncertainty could make it more difficult for us or the licensing partners on whom we depend to commercialize XIPERE to manage our respective operations. Geopolitical tensions, such as Russia’s recent incursion into Ukraine, ongoing conflicts between the United States and China, tariff and trade policy changes, economic sanctions and increasing potential of conflict involving countries in Asia, including countries that are part of the Artic Territory under our license agreement with Arctic Vision, create uncertainty for us and for global commerce generally. Sustained or worsening of global economic conditions and increasing geopolitical tensions may increase our cost of doing business, limit our ability to access capital, disrupt our supply chain operations or the supply chain operations of our licensing partners and intensify pricing pressures. Any or all of these factors could negatively affect our business, financial condition and result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Our principal offices occupy approximately 20,000 square feet of office space in Alpharetta, Georgia under a lease with an initial term until September 2023, with a renewal option for one additional five-year term.</w:t>
      </w:r>
    </w:p>
    <w:p>
      <w:pPr>
        <w:spacing w:after="0" w:line="171"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“CLSD.”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08" w:lineRule="exact"/>
        <w:rPr>
          <w:sz w:val="20"/>
          <w:szCs w:val="20"/>
          <w:color w:val="auto"/>
        </w:rPr>
      </w:pPr>
    </w:p>
    <w:p>
      <w:pPr>
        <w:jc w:val="both"/>
        <w:ind w:right="280" w:firstLine="509"/>
        <w:spacing w:after="0" w:line="294" w:lineRule="auto"/>
        <w:rPr>
          <w:sz w:val="20"/>
          <w:szCs w:val="20"/>
          <w:color w:val="auto"/>
        </w:rPr>
      </w:pPr>
      <w:r>
        <w:rPr>
          <w:rFonts w:ascii="Arial" w:cs="Arial" w:eastAsia="Arial" w:hAnsi="Arial"/>
          <w:sz w:val="16"/>
          <w:szCs w:val="16"/>
          <w:color w:val="auto"/>
        </w:rPr>
        <w:t>As of March 7, 2022, we had 60,147,618 shares of common stock outstanding held by 9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8" w:lineRule="exact"/>
        <w:rPr>
          <w:sz w:val="20"/>
          <w:szCs w:val="20"/>
          <w:color w:val="auto"/>
        </w:rPr>
      </w:pPr>
    </w:p>
    <w:p>
      <w:pPr>
        <w:ind w:right="20" w:firstLine="509"/>
        <w:spacing w:after="0" w:line="207"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We are a biopharmaceutical company focused on revolutionizing the delivery of therapies to the back of the eye through the suprachoroidal space (SCS). Our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suprachoroidal injection technology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175" w:lineRule="exact"/>
        <w:rPr>
          <w:sz w:val="20"/>
          <w:szCs w:val="20"/>
          <w:color w:val="auto"/>
        </w:rPr>
      </w:pPr>
    </w:p>
    <w:p>
      <w:pPr>
        <w:ind w:firstLine="509"/>
        <w:spacing w:after="0" w:line="259" w:lineRule="auto"/>
        <w:rPr>
          <w:sz w:val="20"/>
          <w:szCs w:val="20"/>
          <w:color w:val="auto"/>
        </w:rPr>
      </w:pPr>
      <w:r>
        <w:rPr>
          <w:rFonts w:ascii="Arial" w:cs="Arial" w:eastAsia="Arial" w:hAnsi="Arial"/>
          <w:sz w:val="16"/>
          <w:szCs w:val="16"/>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17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operations to date have been limited to organizing and staffing our company, raising capital, conducting preclinical studies and clinical trials and undertaking other research and development initiatives. To date, we have only generated revenue through upfront payments and milestone payments related to license agreements and other revenue generated from collaboration agreements. We have primarily financed our operations through public offerings and private placements of our equity securities, issuances of convertible promissory notes and loan agreements. As of December 31, 2021, we had an accumulated deficit of $255.5 million. We recorded net income of $0.4 million for the year ended December 31, 2021 and net losses of $18.2 million and $30.8 million for the years ended December 31, 2020 and 2019,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therapeutics to utilize with our SCS Microinjector.</w:t>
      </w:r>
    </w:p>
    <w:p>
      <w:pPr>
        <w:spacing w:after="0" w:line="16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We do not expect to generate significant product or license and other revenue unless and until XIPERE is successfully commercialized by its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2022 as a result of our ongoing Phase 1/2a clinical trial of CLS-AX and the implementation of a Phase 2 clinical trial of CLS-AX as well as continuing our pipeline development.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we expect to have sufficient resources to fund our planned operations into the second quarter of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We have not generated any revenue from the sale of XIPERE, and we do not expect to generate any other product revenue unless or until we obtain regulatory approval of and commercialize our other product candidates, either on our own or with a third party.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3" w:lineRule="exact"/>
        <w:rPr>
          <w:sz w:val="20"/>
          <w:szCs w:val="20"/>
          <w:color w:val="auto"/>
        </w:rPr>
      </w:pPr>
    </w:p>
    <w:p>
      <w:pPr>
        <w:ind w:left="1020" w:right="7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preclinical activities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research and development expenses by type of activity for the years ended December 31, 2021, 2020 and 2019.</w:t>
      </w:r>
    </w:p>
    <w:p>
      <w:pPr>
        <w:spacing w:after="0" w:line="218" w:lineRule="exact"/>
        <w:rPr>
          <w:sz w:val="20"/>
          <w:szCs w:val="20"/>
          <w:color w:val="auto"/>
        </w:rPr>
      </w:pPr>
    </w:p>
    <w:p>
      <w:pPr>
        <w:jc w:val="center"/>
        <w:ind w:left="5700"/>
        <w:spacing w:after="0"/>
        <w:rPr>
          <w:sz w:val="20"/>
          <w:szCs w:val="20"/>
          <w:color w:val="auto"/>
        </w:rPr>
      </w:pPr>
      <w:r>
        <w:rPr>
          <w:rFonts w:ascii="Arial" w:cs="Arial" w:eastAsia="Arial" w:hAnsi="Arial"/>
          <w:sz w:val="16"/>
          <w:szCs w:val="16"/>
          <w:b w:val="1"/>
          <w:bCs w:val="1"/>
          <w:color w:val="auto"/>
        </w:rPr>
        <w:t>Year Ended</w:t>
      </w:r>
    </w:p>
    <w:p>
      <w:pPr>
        <w:jc w:val="center"/>
        <w:ind w:left="570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5"/>
                <w:szCs w:val="15"/>
                <w:color w:val="auto"/>
              </w:rPr>
            </w:pPr>
          </w:p>
        </w:tc>
      </w:tr>
      <w:tr>
        <w:trPr>
          <w:trHeight w:val="183"/>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32"/>
              <w:spacing w:after="0" w:line="183" w:lineRule="exact"/>
              <w:rPr>
                <w:sz w:val="20"/>
                <w:szCs w:val="20"/>
                <w:color w:val="auto"/>
              </w:rPr>
            </w:pPr>
            <w:r>
              <w:rPr>
                <w:rFonts w:ascii="Arial" w:cs="Arial" w:eastAsia="Arial" w:hAnsi="Arial"/>
                <w:sz w:val="16"/>
                <w:szCs w:val="16"/>
                <w:color w:val="auto"/>
                <w:w w:val="92"/>
              </w:rPr>
              <w:t>(in thousands)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XIPERE (uveitis program)</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3,841</w:t>
            </w:r>
          </w:p>
        </w:tc>
        <w:tc>
          <w:tcPr>
            <w:tcW w:w="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2,947</w:t>
            </w: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XIPERE (RVO program)</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2,323</w:t>
            </w:r>
          </w:p>
        </w:tc>
        <w:tc>
          <w:tcPr>
            <w:tcW w:w="6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CLS-AX (wet AMD program)</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2,169</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CLS-301 (DME program)</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57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program expense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8,105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6,334</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5,337</w:t>
            </w: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Unallocated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10,432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8,739</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10,321</w:t>
            </w:r>
          </w:p>
        </w:tc>
        <w:tc>
          <w:tcPr>
            <w:tcW w:w="6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research and development expense</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18,537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15,073</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15,658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34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17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the following:</w:t>
      </w:r>
    </w:p>
    <w:p>
      <w:pPr>
        <w:spacing w:after="0" w:line="63" w:lineRule="exact"/>
        <w:rPr>
          <w:sz w:val="20"/>
          <w:szCs w:val="20"/>
          <w:color w:val="auto"/>
        </w:rPr>
      </w:pPr>
    </w:p>
    <w:p>
      <w:pPr>
        <w:ind w:left="1020" w:right="1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enrollment in, and timing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1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Other income consists of the gain on the extinguishment of the PPP Loan and accrued interest and interest income earned on our cash, cash equivalents and short-term investments. Interest income is not currently significant to our financial statements.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6"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define our critical accounting policies, in accordance with U.S. GAAP, as those that require us to make subjective estimates and judgments about matters that are uncertain and are likely to have a material impact on our financial condition and results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operations, as well as the specific manner in which we apply those principles. While our significant accounting policies are more fully described in Note 2 to our financial statements appearing elsewhere in this Annual Report, we believe the following are the critical accounting policies used in the preparation of our financial statements that require significant estimates and judgments.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 xml:space="preserve">On January 1, 2018, we adopted Accounting Standards Update, or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or ASC 606, as amended by ASU 2016-08, 2016-10, 2016-12 and 2016-20 using the modified retrospective method. Under ASC 606, we recognize revenue in an amount that reflects the consideration to which we expect to be entitled in exchange for the transfer of promised goods or services to customers. To determine revenue recognition for contracts with customers that are within the scope of ASC 606, we perform the following steps: (1) identify the contract with the customer, (2) identify the performance obligations in the contract, (3) determine the transaction price, (4) allocate the transaction price to the performance obligations in the contract, and (5) recognize revenue when (or as) the entity satisfies a performance obligation. We only apply the five-step model to contracts when it is probable that we will collect the consideration we are entitled to in exchange for the goods or services transferred to the customer.</w:t>
      </w:r>
    </w:p>
    <w:p>
      <w:pPr>
        <w:spacing w:after="0" w:line="19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As part of the accounting for our revenue arrangements, we develop assumptions that require judgment such as the estimate of the stand-alone selling price for each performance obligation identified in the contract.</w:t>
      </w:r>
    </w:p>
    <w:p>
      <w:pPr>
        <w:spacing w:after="0" w:line="1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our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we recognize revenue allocated to the license when the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75"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commercialization, and regulatory milestone payments,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whether the achievement of the milestones is considered probable and estimate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Achievement of milestones that are not within our or our licensee’s control, such as regulatory approvals, are not considered probable until the approvals are achieved. The transaction price is then allocated to each performance obligation on a relative stand-alone selling price basis and we recognize revenue as or when the performance obligations under the contract are satisfied. At the end of each subsequent reporting period, we re-evaluate the probability of achieving such milestones and any related constraint, and if necessary, adjust our estimate of the overall transaction price. Any such adjustments are recorded on a cumulative catch-up basis, which would affect revenues and earnings in the period of adjustment.</w:t>
      </w:r>
    </w:p>
    <w:p>
      <w:pPr>
        <w:spacing w:after="0" w:line="18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i w:val="1"/>
          <w:iCs w:val="1"/>
          <w:color w:val="auto"/>
        </w:rPr>
        <w:t xml:space="preserve">Manufacturing Supply Services: </w:t>
      </w:r>
      <w:r>
        <w:rPr>
          <w:rFonts w:ascii="Arial" w:cs="Arial" w:eastAsia="Arial" w:hAnsi="Arial"/>
          <w:sz w:val="17"/>
          <w:szCs w:val="17"/>
          <w:color w:val="auto"/>
        </w:rPr>
        <w:t>Arrangements that include a promise for future supply of drug substance or drug product for either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or commercial supply at the customer’s discretion are generally considered options. We assess if these options provide a material right to the licensee and if so, they are accounted for as separate performance obligations at the outset of the arrangement.</w:t>
      </w:r>
    </w:p>
    <w:p>
      <w:pPr>
        <w:spacing w:after="0" w:line="16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received any royalty revenue resulting from any of our licensing arrangements.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2" w:name="page63"/>
    <w:bookmarkEnd w:id="6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Compensation cost related to share-based awards granted to employees, directors and consultants is measured based on the estimated fair value of the award at the grant date. We estimate the fair value of stock options using a Black-Scholes option pricing model. Share-based compensation costs are expensed on a straight-line basis over the relevant vesting period. The fair value of restricted stock units, or RSUs, granted is measured based on the market value of our common stock on the date of grant and is recognized ratably over the requisite service period, which is generally the vesting period of the awards. All share-based compensation costs are recorded in general and administrative or research and development costs in the statements of operations based upon the underlying employees’ roles.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determining fair value</w:t>
      </w:r>
    </w:p>
    <w:p>
      <w:pPr>
        <w:spacing w:after="0" w:line="10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estimate the fair value of stock options at the grant date using Black-Scholes option pricing model with the following assumptions:</w:t>
      </w:r>
    </w:p>
    <w:p>
      <w:pPr>
        <w:spacing w:after="0" w:line="104" w:lineRule="exact"/>
        <w:rPr>
          <w:sz w:val="20"/>
          <w:szCs w:val="20"/>
          <w:color w:val="auto"/>
        </w:rPr>
      </w:pPr>
    </w:p>
    <w:p>
      <w:pPr>
        <w:ind w:left="1020" w:right="20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We estimate the fair value of our common stock by reference to the closing price of our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Nasdaq Global Market on the date of grant.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We calculate expected volatility based on the historical volatility of our common stock.</w:t>
      </w:r>
    </w:p>
    <w:p>
      <w:pPr>
        <w:spacing w:after="0" w:line="103"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 the simplified method as prescribed by the SEC Staff Accounting Bulletin No. 107,</w:t>
      </w:r>
      <w:r>
        <w:rPr>
          <w:rFonts w:ascii="Arial" w:cs="Arial" w:eastAsia="Arial" w:hAnsi="Arial"/>
          <w:sz w:val="18"/>
          <w:szCs w:val="18"/>
          <w:i w:val="1"/>
          <w:iCs w:val="1"/>
          <w:color w:val="auto"/>
        </w:rPr>
        <w:t xml:space="preserve"> Share-Based Payment</w:t>
      </w:r>
      <w:r>
        <w:rPr>
          <w:rFonts w:ascii="Arial" w:cs="Arial" w:eastAsia="Arial" w:hAnsi="Arial"/>
          <w:sz w:val="18"/>
          <w:szCs w:val="18"/>
          <w:color w:val="auto"/>
        </w:rPr>
        <w:t>, as we do</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historical exercise and post-vesting termination data to provide a reasonable basis upon which to estimate the expected term of stock options granted to employees.</w:t>
      </w:r>
    </w:p>
    <w:p>
      <w:pPr>
        <w:spacing w:after="0" w:line="7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accounted for as they occur.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We have never declared or paid any cash dividends and do not presently plan to pay cash dividends in the foreseeable future.</w:t>
      </w:r>
    </w:p>
    <w:p>
      <w:pPr>
        <w:spacing w:after="0" w:line="235"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spacing w:after="0" w:line="18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Share-based compensation expense related to stock options, the employee stock purchase plan and RSUs aggregated $5.1 million, $3.6 million and $4.6 million for the years ended December 31, 2021, 2020 and 2019,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We recorded aggregate deferred tax assets of $66.6 million, primarily related to our net operating losses, as of December 31, 2021, which have been fully offset by a valuation allowance due to uncertainties surrounding our ability to realize these tax benefits. We record a valuation allowance if it is more likely than not that a deferred tax asset will not be realized. We provided a full valuation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allowance on our deferred tax assets that primarily consist of cumulative net operating losses, or NOLs for the period from our inception through December 31, 2021. We incurred a net loss for tax purposes of $1.5 million for the year ended December 31, 2021. Due to our three-year cumulative loss position, history of operating losses and losses expected to be incurred in the foreseeable future, we considered it necessary to provide for a full valuation allowance against our net deferred tax assets.</w:t>
      </w:r>
    </w:p>
    <w:p>
      <w:pPr>
        <w:spacing w:after="0" w:line="18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deferred tax assets are primarily composed of federal and state tax NOL carryforwards. As of December 31, 2021, we had federal NOL carryforwards of $234.4 million and state NOL carryforwards of $75.6 million available to reduce future taxable income, if any. These federal NOL carryforwards will begin to expire at various dates starting in 2031. The state NOL carryforwards will 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If we experience a Section 382 ownership change as a result of future offerings or changes in our stock ownership, some of which changes are outside our control, the tax benefits related to the NOL carryforwards may be further limited or lost.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gridSpan w:val="3"/>
          </w:tcPr>
          <w:p>
            <w:pPr>
              <w:jc w:val="right"/>
              <w:ind w:right="93"/>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Period-to-</w:t>
            </w:r>
          </w:p>
        </w:tc>
        <w:tc>
          <w:tcPr>
            <w:tcW w:w="60" w:type="dxa"/>
            <w:vAlign w:val="bottom"/>
          </w:tcPr>
          <w:p>
            <w:pPr>
              <w:spacing w:after="0"/>
              <w:rPr>
                <w:sz w:val="16"/>
                <w:szCs w:val="16"/>
                <w:color w:val="auto"/>
              </w:rPr>
            </w:pPr>
          </w:p>
        </w:tc>
      </w:tr>
      <w:tr>
        <w:trPr>
          <w:trHeight w:val="203"/>
        </w:trPr>
        <w:tc>
          <w:tcPr>
            <w:tcW w:w="63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Period</w:t>
            </w:r>
          </w:p>
        </w:tc>
        <w:tc>
          <w:tcPr>
            <w:tcW w:w="60" w:type="dxa"/>
            <w:vAlign w:val="bottom"/>
          </w:tcPr>
          <w:p>
            <w:pPr>
              <w:spacing w:after="0"/>
              <w:rPr>
                <w:sz w:val="17"/>
                <w:szCs w:val="17"/>
                <w:color w:val="auto"/>
              </w:rPr>
            </w:pPr>
          </w:p>
        </w:tc>
      </w:tr>
      <w:tr>
        <w:trPr>
          <w:trHeight w:val="183"/>
        </w:trPr>
        <w:tc>
          <w:tcPr>
            <w:tcW w:w="638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5"/>
                <w:szCs w:val="15"/>
                <w:color w:val="auto"/>
              </w:rPr>
            </w:pPr>
          </w:p>
        </w:tc>
      </w:tr>
      <w:tr>
        <w:trPr>
          <w:trHeight w:val="183"/>
        </w:trPr>
        <w:tc>
          <w:tcPr>
            <w:tcW w:w="6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2"/>
          </w:tcPr>
          <w:p>
            <w:pPr>
              <w:jc w:val="right"/>
              <w:ind w:right="71"/>
              <w:spacing w:after="0" w:line="183" w:lineRule="exact"/>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6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and other revenue</w:t>
            </w:r>
          </w:p>
        </w:tc>
        <w:tc>
          <w:tcPr>
            <w:tcW w:w="820" w:type="dxa"/>
            <w:vAlign w:val="bottom"/>
            <w:shd w:val="clear" w:color="auto" w:fill="CFF0FC"/>
          </w:tcPr>
          <w:p>
            <w:pPr>
              <w:jc w:val="right"/>
              <w:ind w:right="633"/>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29,575</w:t>
            </w: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7,894</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21,681</w:t>
            </w:r>
          </w:p>
        </w:tc>
        <w:tc>
          <w:tcPr>
            <w:tcW w:w="60" w:type="dxa"/>
            <w:vAlign w:val="bottom"/>
            <w:shd w:val="clear" w:color="auto" w:fill="CFF0FC"/>
          </w:tcPr>
          <w:p>
            <w:pPr>
              <w:spacing w:after="0"/>
              <w:rPr>
                <w:sz w:val="17"/>
                <w:szCs w:val="17"/>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18,537</w:t>
            </w: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15,073</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3,464</w:t>
            </w:r>
          </w:p>
        </w:tc>
        <w:tc>
          <w:tcPr>
            <w:tcW w:w="60" w:type="dxa"/>
            <w:vAlign w:val="bottom"/>
            <w:shd w:val="clear" w:color="auto" w:fill="CFF0FC"/>
          </w:tcPr>
          <w:p>
            <w:pPr>
              <w:spacing w:after="0"/>
              <w:rPr>
                <w:sz w:val="17"/>
                <w:szCs w:val="17"/>
                <w:color w:val="auto"/>
              </w:rPr>
            </w:pPr>
          </w:p>
        </w:tc>
      </w:tr>
      <w:tr>
        <w:trPr>
          <w:trHeight w:val="203"/>
        </w:trPr>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7"/>
              </w:rPr>
              <w:t>11,665</w:t>
            </w:r>
          </w:p>
        </w:tc>
        <w:tc>
          <w:tcPr>
            <w:tcW w:w="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10,756</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909</w:t>
            </w:r>
          </w:p>
        </w:tc>
        <w:tc>
          <w:tcPr>
            <w:tcW w:w="60" w:type="dxa"/>
            <w:vAlign w:val="bottom"/>
          </w:tcPr>
          <w:p>
            <w:pPr>
              <w:spacing w:after="0"/>
              <w:rPr>
                <w:sz w:val="17"/>
                <w:szCs w:val="17"/>
                <w:color w:val="auto"/>
              </w:rPr>
            </w:pPr>
          </w:p>
        </w:tc>
      </w:tr>
      <w:tr>
        <w:trPr>
          <w:trHeight w:val="196"/>
        </w:trPr>
        <w:tc>
          <w:tcPr>
            <w:tcW w:w="63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30,202</w:t>
            </w:r>
          </w:p>
        </w:tc>
        <w:tc>
          <w:tcPr>
            <w:tcW w:w="4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25,829</w:t>
            </w: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3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7"/>
                <w:szCs w:val="17"/>
                <w:color w:val="auto"/>
              </w:rPr>
            </w:pPr>
          </w:p>
        </w:tc>
        <w:tc>
          <w:tcPr>
            <w:tcW w:w="9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(627 )</w:t>
            </w:r>
          </w:p>
        </w:tc>
        <w:tc>
          <w:tcPr>
            <w:tcW w:w="360" w:type="dxa"/>
            <w:vAlign w:val="bottom"/>
          </w:tcPr>
          <w:p>
            <w:pPr>
              <w:spacing w:after="0"/>
              <w:rPr>
                <w:sz w:val="17"/>
                <w:szCs w:val="17"/>
                <w:color w:val="auto"/>
              </w:rPr>
            </w:pPr>
          </w:p>
        </w:tc>
        <w:tc>
          <w:tcPr>
            <w:tcW w:w="134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(17,935 )</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17,308</w:t>
            </w:r>
          </w:p>
        </w:tc>
        <w:tc>
          <w:tcPr>
            <w:tcW w:w="60" w:type="dxa"/>
            <w:vAlign w:val="bottom"/>
          </w:tcPr>
          <w:p>
            <w:pPr>
              <w:spacing w:after="0"/>
              <w:rPr>
                <w:sz w:val="17"/>
                <w:szCs w:val="17"/>
                <w:color w:val="auto"/>
              </w:rPr>
            </w:pPr>
          </w:p>
        </w:tc>
      </w:tr>
      <w:tr>
        <w:trPr>
          <w:trHeight w:val="203"/>
        </w:trPr>
        <w:tc>
          <w:tcPr>
            <w:tcW w:w="6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60" w:type="dxa"/>
            <w:vAlign w:val="bottom"/>
            <w:shd w:val="clear" w:color="auto" w:fill="CFF0FC"/>
          </w:tcPr>
          <w:p>
            <w:pPr>
              <w:spacing w:after="0"/>
              <w:rPr>
                <w:sz w:val="17"/>
                <w:szCs w:val="17"/>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Other expense</w:t>
            </w:r>
          </w:p>
        </w:tc>
        <w:tc>
          <w:tcPr>
            <w:tcW w:w="820" w:type="dxa"/>
            <w:vAlign w:val="bottom"/>
          </w:tcPr>
          <w:p>
            <w:pPr>
              <w:spacing w:after="0"/>
              <w:rPr>
                <w:sz w:val="17"/>
                <w:szCs w:val="17"/>
                <w:color w:val="auto"/>
              </w:rPr>
            </w:pPr>
          </w:p>
        </w:tc>
        <w:tc>
          <w:tcPr>
            <w:tcW w:w="9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3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(275 )</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60" w:type="dxa"/>
            <w:vAlign w:val="bottom"/>
          </w:tcPr>
          <w:p>
            <w:pPr>
              <w:spacing w:after="0"/>
              <w:rPr>
                <w:sz w:val="17"/>
                <w:szCs w:val="17"/>
                <w:color w:val="auto"/>
              </w:rPr>
            </w:pPr>
          </w:p>
        </w:tc>
      </w:tr>
      <w:tr>
        <w:trPr>
          <w:trHeight w:val="236"/>
        </w:trPr>
        <w:tc>
          <w:tcPr>
            <w:tcW w:w="63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auto"/>
              <w:bottom w:val="single" w:sz="8" w:color="auto"/>
            </w:tcBorders>
            <w:shd w:val="clear" w:color="auto" w:fill="CFF0FC"/>
          </w:tcPr>
          <w:p>
            <w:pPr>
              <w:jc w:val="right"/>
              <w:ind w:right="63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w:t>
            </w:r>
          </w:p>
        </w:tc>
        <w:tc>
          <w:tcPr>
            <w:tcW w:w="4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3"/>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(18,210</w:t>
            </w:r>
          </w:p>
        </w:tc>
        <w:tc>
          <w:tcPr>
            <w:tcW w:w="400" w:type="dxa"/>
            <w:vAlign w:val="bottom"/>
            <w:tcBorders>
              <w:bottom w:val="single" w:sz="8" w:color="CFF0FC"/>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18,586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-553720</wp:posOffset>
            </wp:positionV>
            <wp:extent cx="6032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-553720</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-553720</wp:posOffset>
            </wp:positionV>
            <wp:extent cx="342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40" w:firstLine="554"/>
        <w:spacing w:after="0" w:line="254"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year ended December 31, 2021, we recognized $29.6 million of revenue associated with our license agreements.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we recognized $7.7 million of revenue associated with our license agreements and $0.2 million of revenue associated with other agreements to evaluate the potential use of our proprietary SCS Microinjector with third-party product candidates for the treatment of various diseases. License revenue for the year ended December 31, 2021 was primarily a result of (i) the milestone payments from Bausch that consisted of $5.0 million received upon FDA approval, the recognition of $5.0 million of deferred revenue for the upfront milestone payment and the recognition of a $10.0 million milestone for pre-launch activities and (ii) an aggregate of $8.0 million received from Arctic Vision for FDA approval, territory expansion and certain development milestones. License revenue for the year end December 31, 2020 was primarily a result of milestone payments of $4.3 million received from Arctic Vision and $3.0 million milestone payment received from REGENXBIO.</w:t>
      </w:r>
    </w:p>
    <w:p>
      <w:pPr>
        <w:spacing w:after="0" w:line="18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$3.5 million, from $15.1 million for the year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to $18.5 million for the year ended December 31, 2021. This increase was primarily due to a $2.3 million increase in costs for the CLS-AX program, including costs for OASIS, a Phase 1/2a clinical trial of CLS-AX and a $0.7 million increase in costs for the CLS-301 program. Additionally, there was an $0.8 million increase in costs related to share-based compensation and a $0.9 million increase in costs related to an increase in headcount, salary increases and bonuses. This is partially offset by a $1.1 million decrease in costs related to XIPERE.</w:t>
      </w:r>
    </w:p>
    <w:p>
      <w:pPr>
        <w:spacing w:after="0" w:line="174"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$0.9 million for the years ended December 31, 2021 and 2020.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a result of a $0.7 million increase in costs related to share-based compensation and a $0.5 million increase in costs related to salary increases and bonuses, partially offset by a $0.2 million decrease in professional fees.</w:t>
      </w:r>
    </w:p>
    <w:p>
      <w:pPr>
        <w:spacing w:after="0" w:line="18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for the year ended December 31, 2021 was primarily comprised of the gain on the extinguishment of debt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forgiveness of the PPP Loan and accrued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the year ended December 31, 2020 primarily consisted of interest on long-term debt, the amortization of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 accretion of warrants and the final payment related to our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2020 and 2019.</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center"/>
              <w:ind w:left="413"/>
              <w:spacing w:after="0"/>
              <w:rPr>
                <w:sz w:val="20"/>
                <w:szCs w:val="20"/>
                <w:color w:val="auto"/>
              </w:rPr>
            </w:pPr>
            <w:r>
              <w:rPr>
                <w:rFonts w:ascii="Arial" w:cs="Arial" w:eastAsia="Arial" w:hAnsi="Arial"/>
                <w:sz w:val="16"/>
                <w:szCs w:val="16"/>
                <w:b w:val="1"/>
                <w:bCs w:val="1"/>
                <w:color w:val="auto"/>
                <w:w w:val="93"/>
              </w:rPr>
              <w:t>Year Ended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6"/>
                <w:szCs w:val="16"/>
                <w:b w:val="1"/>
                <w:bCs w:val="1"/>
                <w:color w:val="auto"/>
                <w:w w:val="92"/>
              </w:rPr>
              <w:t>Period-to-</w:t>
            </w:r>
          </w:p>
        </w:tc>
      </w:tr>
      <w:tr>
        <w:trPr>
          <w:trHeight w:val="203"/>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6"/>
                <w:szCs w:val="16"/>
                <w:b w:val="1"/>
                <w:bCs w:val="1"/>
                <w:color w:val="auto"/>
                <w:w w:val="90"/>
              </w:rPr>
              <w:t>December 31,</w:t>
            </w:r>
          </w:p>
        </w:tc>
        <w:tc>
          <w:tcPr>
            <w:tcW w:w="7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6"/>
                <w:szCs w:val="16"/>
                <w:b w:val="1"/>
                <w:bCs w:val="1"/>
                <w:color w:val="auto"/>
                <w:w w:val="92"/>
              </w:rPr>
              <w:t>Period</w:t>
            </w:r>
          </w:p>
        </w:tc>
      </w:tr>
      <w:tr>
        <w:trPr>
          <w:trHeight w:val="183"/>
        </w:trPr>
        <w:tc>
          <w:tcPr>
            <w:tcW w:w="6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3"/>
              <w:spacing w:after="0" w:line="183"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91"/>
              <w:spacing w:after="0" w:line="183" w:lineRule="exact"/>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1"/>
              <w:spacing w:after="0" w:line="183" w:lineRule="exact"/>
              <w:rPr>
                <w:sz w:val="20"/>
                <w:szCs w:val="20"/>
                <w:color w:val="auto"/>
              </w:rPr>
            </w:pPr>
            <w:r>
              <w:rPr>
                <w:rFonts w:ascii="Arial" w:cs="Arial" w:eastAsia="Arial" w:hAnsi="Arial"/>
                <w:sz w:val="16"/>
                <w:szCs w:val="16"/>
                <w:b w:val="1"/>
                <w:bCs w:val="1"/>
                <w:color w:val="auto"/>
                <w:w w:val="91"/>
              </w:rPr>
              <w:t>Change</w:t>
            </w:r>
          </w:p>
        </w:tc>
      </w:tr>
      <w:tr>
        <w:trPr>
          <w:trHeight w:val="183"/>
        </w:trPr>
        <w:tc>
          <w:tcPr>
            <w:tcW w:w="6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4"/>
              </w:rPr>
              <w:t>(in thousands)</w:t>
            </w: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and other revenue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7,894</w:t>
            </w:r>
          </w:p>
        </w:tc>
        <w:tc>
          <w:tcPr>
            <w:tcW w:w="2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2,173</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5,721</w:t>
            </w:r>
          </w:p>
        </w:tc>
        <w:tc>
          <w:tcPr>
            <w:tcW w:w="200" w:type="dxa"/>
            <w:vAlign w:val="bottom"/>
            <w:shd w:val="clear" w:color="auto" w:fill="CFF0FC"/>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15,658</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(585 )</w:t>
            </w: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10,756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16,819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(6,063 )</w:t>
            </w:r>
          </w:p>
        </w:tc>
      </w:tr>
      <w:tr>
        <w:trPr>
          <w:trHeight w:val="196"/>
        </w:trPr>
        <w:tc>
          <w:tcPr>
            <w:tcW w:w="61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25,829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32,477</w:t>
            </w:r>
          </w:p>
        </w:tc>
        <w:tc>
          <w:tcPr>
            <w:tcW w:w="3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(17,935 )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(30,304 )</w:t>
            </w: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12,369</w:t>
            </w:r>
          </w:p>
        </w:tc>
        <w:tc>
          <w:tcPr>
            <w:tcW w:w="20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(275 )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(466 )</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00" w:type="dxa"/>
            <w:vAlign w:val="bottom"/>
            <w:shd w:val="clear" w:color="auto" w:fill="CFF0FC"/>
          </w:tcPr>
          <w:p>
            <w:pPr>
              <w:spacing w:after="0"/>
              <w:rPr>
                <w:sz w:val="17"/>
                <w:szCs w:val="17"/>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(18,210 )</w:t>
            </w:r>
          </w:p>
        </w:tc>
        <w:tc>
          <w:tcPr>
            <w:tcW w:w="4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(30,770 )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12,560</w:t>
            </w:r>
          </w:p>
        </w:tc>
        <w:tc>
          <w:tcPr>
            <w:tcW w:w="2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-424815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-424815</wp:posOffset>
            </wp:positionV>
            <wp:extent cx="857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-424815</wp:posOffset>
            </wp:positionV>
            <wp:extent cx="12890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-159385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-159385</wp:posOffset>
            </wp:positionV>
            <wp:extent cx="857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-159385</wp:posOffset>
            </wp:positionV>
            <wp:extent cx="12890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182" w:lineRule="exact"/>
        <w:rPr>
          <w:sz w:val="20"/>
          <w:szCs w:val="20"/>
          <w:color w:val="auto"/>
        </w:rPr>
      </w:pPr>
    </w:p>
    <w:p>
      <w:pPr>
        <w:ind w:right="20" w:firstLine="554"/>
        <w:spacing w:after="0" w:line="24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years ended December 31, 2020 and 2019 we recognized $7.7 million and $2.1 million, respectively, of revenue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agreements. In the years ended December 31, 2020 and 2019, we recognized $0.2 million and $0.1 million, respectively, of revenue associated with other agreements to evaluate the potential use of our proprietary SCS Microinjector with third-party product candidates for the treatment of various diseases.</w:t>
      </w:r>
    </w:p>
    <w:p>
      <w:pPr>
        <w:spacing w:after="0" w:line="18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decreased by $0.6 million, from $15.7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to $15.1 million for the year ended December 31, 2020. This decrease was primarily attributable to the $2.2 million in costs incurred during the year ended December 31, 2019 to close down the SAPPHIRE and TOPAZ trials. Additionally, there was a $0.9 million decrease in employee-related costs and a $0.2 million decrease in travel costs between the periods. These decreases were partially offset by a $3.0 million increase in costs related to device and drug manufacturing for XIPERE and CLS-AX, as well as the initial startup costs for the Phase 1/2a clinical trial of CLS-AX referred to as OASIS.</w:t>
      </w:r>
    </w:p>
    <w:p>
      <w:pPr>
        <w:spacing w:after="0" w:line="15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$6.1 million, from $16.8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$10.8 million for the year ended December 31, 2020. This decrease was primarily attributable to a $4.1 million reduction in marketing-related expenses related to the change of our business strategy to seek partners for XIPERE rather than commercializing XIPERE on our own, a decrease of $1.4 million of employee-related costs due to expenses incurred in the prior year primarily related to the departure of our former chief executive officer and a $0.9 million decrease in professional fees.</w:t>
      </w:r>
    </w:p>
    <w:p>
      <w:pPr>
        <w:spacing w:after="0" w:line="18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each of the years ended December 31, 2020 and 2019 primarily consisted of interest on long-term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financing costs, the accretion of warrants and the final payment related to our loan agreements. The decrease in other expense for the year ended December 31, 2020 as compared to the year ended December 31, 2019 is primarily due to lower costs on our loan agreement that we prepaid in full in May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have funded our operations primarily through the proceeds from public offerings of our common stock, sales of convertible preferred stock and the issuance of long-term debt. As of December 31, 2021, we had cash and cash equivalents of $30.4 million. We invest any cash in excess of our immediate requirements primarily with a view to liquidity and capital preservation. As of December 31, 2021, our funds were held in cash and money market funds.</w:t>
      </w:r>
    </w:p>
    <w:p>
      <w:pPr>
        <w:spacing w:after="0" w:line="18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January 6, 2021, we entered into a securities purchase agreement with certain institutional purchasers pursuant to which we issued and sold 4.2 million shares of our common stock in a registered direct offering at a price of $2.851 per share. We raised net cash proceeds of $11.1 million after deducting offering expenses.</w:t>
      </w:r>
    </w:p>
    <w:p>
      <w:pPr>
        <w:spacing w:after="0" w:line="18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During the year ended December 31, 2021, we sold 2.9 million shares of our common stock for net proceeds of $12.2 million under the at-the-market, or ATM, agreement, Cowen and Company LLC, or Cowen. Under the ATM agreement, we may offer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sell, from time to time at our sole discretion, shares of our common stock through Cowen acting as our sales agent. As of December 31, 2021, there was $14.4 million available for future sales under the ATM agreement.</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ind w:right="140" w:firstLine="8"/>
        <w:spacing w:after="0" w:line="303" w:lineRule="auto"/>
        <w:tabs>
          <w:tab w:leader="none" w:pos="3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140"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Pursuant to the Arctic Vision License Agreement, Arctic Vision paid us an upfront payment of $4.0 million in March 2020. In December 2021, we received a milestone payment of $4.0 million following receipt of FDA approval of XIPERE in the United States. In addition, Arctic Vision has agreed to pay us up to a total of $22.5 million in development and sales milestone payments. Further, during the applicable royalty term, we will also be entitled to receive tiered royalties of 10-12% of net sales in the Arctic Territory, subject to customary reductions. 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18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October 2019, we announced that Bausch acquired an exclusive license for the commercialization and development of XIPERE in the United States and Canada. On October 25, 2021, we announced that the FDA approved XIPERE for the treatment of macular edema associated with uveitis. We received a $5.0 million milestone payment from Bausch within 30 days of FDA approval. In December 2021, $10.0 million was recorded as revenue upon completion of pre-launch activities for XIPERE and the payment was received in January 2022. Bausch launched XIPERE in the United States in the first quarter of 2022.</w:t>
      </w:r>
    </w:p>
    <w:p>
      <w:pPr>
        <w:spacing w:after="0" w:line="189" w:lineRule="exact"/>
        <w:rPr>
          <w:sz w:val="20"/>
          <w:szCs w:val="20"/>
          <w:color w:val="auto"/>
        </w:rPr>
      </w:pPr>
    </w:p>
    <w:p>
      <w:pPr>
        <w:ind w:right="320" w:firstLine="509"/>
        <w:spacing w:after="0" w:line="276" w:lineRule="auto"/>
        <w:rPr>
          <w:sz w:val="20"/>
          <w:szCs w:val="20"/>
          <w:color w:val="auto"/>
        </w:rPr>
      </w:pPr>
      <w:r>
        <w:rPr>
          <w:rFonts w:ascii="Arial" w:cs="Arial" w:eastAsia="Arial" w:hAnsi="Arial"/>
          <w:sz w:val="16"/>
          <w:szCs w:val="16"/>
          <w:color w:val="auto"/>
        </w:rPr>
        <w:t>We previously entered into a loan and security agreement with Silicon Valley Bank and MidCap Financial Services, or collectively the Lenders, under which we borrowed $10.0 million in May 2018. In October 2019, we repaid $5.0 million of the outstanding principal balance. Under the loan agreement, we were required to pay accrued interest only on the $5.0 million remaining outstanding balance through October 31, 2020, followed by consecutive equal monthly payments of principal and interest in arrears continuing through the maturity date of October 1, 2022. We had the option to prepay the outstanding balance in full, subject to a prepayment fee. In May 2020, we prepaid in full the outstanding $5.0 million principal balance, plus $0.3 million reflecting a final payment fee and accrued interest. The prepayment fees were waived by the Lenders.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2"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Footnote 11 to our financial statements included this Annual Report on Form 10-K.</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80"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1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75" w:lineRule="exact"/>
        <w:rPr>
          <w:sz w:val="20"/>
          <w:szCs w:val="20"/>
          <w:color w:val="auto"/>
        </w:rPr>
      </w:pPr>
    </w:p>
    <w:p>
      <w:pPr>
        <w:jc w:val="both"/>
        <w:ind w:right="620" w:firstLine="509"/>
        <w:spacing w:after="0" w:line="248"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1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392"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Based on our current plans and forecasted expenses, we expect that our cash and cash equivalents as of the filing date, March 11, 2022, will enable us to fund our planned operating expenses and capital expenditure requirements into the second quarter of 2023. We have based this estimate on assumptions that may prove to be wrong, and we could exhaust our capital resources sooner than we expect. We will require additional capital in order to complete clinical development of CLS-AX.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Net cash (used in) provided by:</w:t>
            </w: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Arial" w:cs="Arial" w:eastAsia="Arial" w:hAnsi="Arial"/>
                <w:sz w:val="16"/>
                <w:szCs w:val="16"/>
                <w:color w:val="auto"/>
                <w:w w:val="90"/>
              </w:rPr>
              <w:t>(in thousands)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22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2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(10,733 )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(13,120 )</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(27,068 )</w:t>
            </w:r>
          </w:p>
        </w:tc>
        <w:tc>
          <w:tcPr>
            <w:tcW w:w="0" w:type="dxa"/>
            <w:vAlign w:val="bottom"/>
          </w:tcPr>
          <w:p>
            <w:pPr>
              <w:spacing w:after="0"/>
              <w:rPr>
                <w:sz w:val="1"/>
                <w:szCs w:val="1"/>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32,925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23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23,782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7,867</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8,695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line="196" w:lineRule="exact"/>
              <w:rPr>
                <w:sz w:val="20"/>
                <w:szCs w:val="20"/>
                <w:color w:val="auto"/>
              </w:rPr>
            </w:pPr>
            <w:r>
              <w:rPr>
                <w:rFonts w:ascii="Arial" w:cs="Arial" w:eastAsia="Arial" w:hAnsi="Arial"/>
                <w:sz w:val="18"/>
                <w:szCs w:val="18"/>
                <w:color w:val="auto"/>
              </w:rPr>
              <w:t>Net change in cash and cash equivalents</w:t>
            </w:r>
          </w:p>
        </w:tc>
        <w:tc>
          <w:tcPr>
            <w:tcW w:w="27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13,049</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(5,308 )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380" w:type="dxa"/>
            <w:vAlign w:val="bottom"/>
            <w:vMerge w:val="restart"/>
          </w:tcPr>
          <w:p>
            <w:pPr>
              <w:jc w:val="right"/>
              <w:ind w:right="790"/>
              <w:spacing w:after="0"/>
              <w:rPr>
                <w:sz w:val="20"/>
                <w:szCs w:val="20"/>
                <w:color w:val="auto"/>
              </w:rPr>
            </w:pPr>
            <w:r>
              <w:rPr>
                <w:rFonts w:ascii="Arial" w:cs="Arial" w:eastAsia="Arial" w:hAnsi="Arial"/>
                <w:sz w:val="18"/>
                <w:szCs w:val="18"/>
                <w:color w:val="auto"/>
              </w:rPr>
              <w:t>66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2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-639445</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-639445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-639445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During the years ended December 31, 2021, 2020 and 2019, our operating activities used net cash of $10.7 million, $13.1 million and $27.1 million, respectively.</w:t>
      </w:r>
    </w:p>
    <w:p>
      <w:pPr>
        <w:spacing w:after="0" w:line="17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decrease in operating activities for the year ended December 31, 2021 as compared to the year ended December 31, 2020 was primarily due to an increase in accounts receivable related to the achievement of pre-launch activities milestone pursuant to our agreement with Bausch. This was partially offset by the decrease in deferred revenue related to the upfront milestone payment from Bausch and an increase of $1.5 million in share-based compensation for the year ended December 31, 2021 compared to prior year.</w:t>
      </w:r>
    </w:p>
    <w:p>
      <w:pPr>
        <w:spacing w:after="0" w:line="18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decrease in the operating activities for the year ended December 31, 2020 as compared to the year ended December 31, 2019 was primarily attributable to lower research and development expenses as a result of the discontinuation of the SAPPHIRE and TOPAZ trials and ceasing of commercialization activities in 2019. The losses were partially offset by non-cash items, made up primarily of share-based compensation, of $3.6 million and $4.6 million for the years ended December 31, 2020 and 2019, respectively.</w:t>
      </w:r>
    </w:p>
    <w:p>
      <w:pPr>
        <w:spacing w:after="0" w:line="188" w:lineRule="exact"/>
        <w:rPr>
          <w:sz w:val="20"/>
          <w:szCs w:val="20"/>
          <w:color w:val="auto"/>
        </w:rPr>
      </w:pPr>
    </w:p>
    <w:p>
      <w:pPr>
        <w:jc w:val="both"/>
        <w:ind w:right="220" w:firstLine="509"/>
        <w:spacing w:after="0" w:line="324" w:lineRule="auto"/>
        <w:rPr>
          <w:sz w:val="20"/>
          <w:szCs w:val="20"/>
          <w:color w:val="auto"/>
        </w:rPr>
      </w:pPr>
      <w:r>
        <w:rPr>
          <w:rFonts w:ascii="Arial" w:cs="Arial" w:eastAsia="Arial" w:hAnsi="Arial"/>
          <w:sz w:val="16"/>
          <w:szCs w:val="16"/>
          <w:color w:val="auto"/>
        </w:rPr>
        <w:t>In the year ended December 31, 2020, our investing activities used net cash of $55,000 for the purchase of machinery and equipment. In the year ended December 31, 2019, net cash provided by investing activities of $32.9 million consisted of maturities of short-term available-for-sale investments.</w:t>
      </w:r>
    </w:p>
    <w:p>
      <w:pPr>
        <w:spacing w:after="0" w:line="124" w:lineRule="exact"/>
        <w:rPr>
          <w:sz w:val="20"/>
          <w:szCs w:val="20"/>
          <w:color w:val="auto"/>
        </w:rPr>
      </w:pPr>
    </w:p>
    <w:p>
      <w:pPr>
        <w:jc w:val="both"/>
        <w:ind w:right="120" w:firstLine="509"/>
        <w:spacing w:after="0"/>
        <w:rPr>
          <w:sz w:val="20"/>
          <w:szCs w:val="20"/>
          <w:color w:val="auto"/>
        </w:rPr>
      </w:pPr>
      <w:r>
        <w:rPr>
          <w:rFonts w:ascii="Arial" w:cs="Arial" w:eastAsia="Arial" w:hAnsi="Arial"/>
          <w:sz w:val="18"/>
          <w:szCs w:val="18"/>
          <w:color w:val="auto"/>
        </w:rPr>
        <w:t>During the years ended December 31, 2021, 2020 and 2019, our net cash provided by financing activities was $23.8 million, $7.9 million and $8.7 million, respectively. The net cash provided by financing activities for the year ended December 31, 2021 was primarily comprised of $11.1 million of net proceeds from the sale of shares of our common stock in a registered direct offering and</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$12.2 million of net proceeds from the sale of shares of our common stock under the ATM agreement. The net cash provided by financing activities for the year ended December 31, 2020 was primarily comprised of $12.0 million of net proceeds from the sale of shares of common stock under the ATM agreement and $1.0 million of proceeds from the PPP Loan, partially offset by the full prepayment of the remaining $5.3 million owed under our loan agreement. The net cash provided by financing activities for the year ended December 31, 2019 was primarily comprised of $10.3 million of net proceeds from sales of common stock pursuant to our ATM agreement and $3.3 million of net proceeds from a private placement of common stock, partially offset by a $5.0 million principal payment made under our Loan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See Item 8. “Financial Statements and Supplementary Data – Note 2, Significant Accounting Policies” for a discussion of recent accounting pronouncements and their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Status</w:t>
      </w:r>
    </w:p>
    <w:p>
      <w:pPr>
        <w:spacing w:after="0" w:line="21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252525"/>
        </w:rPr>
        <w:t>We are a smaller reporting company as defined by Rule 12b-2 of the Exchange Act and are not required to provide the information required under this item.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4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89"/>
              </w:rPr>
              <w:t>Index to financial statements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jc w:val="right"/>
              <w:ind w:right="6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8260" w:type="dxa"/>
            <w:vAlign w:val="bottom"/>
            <w:gridSpan w:val="7"/>
          </w:tcPr>
          <w:p>
            <w:pPr>
              <w:spacing w:after="0" w:line="190" w:lineRule="exact"/>
              <w:rPr>
                <w:rFonts w:ascii="Arial" w:cs="Arial" w:eastAsia="Arial" w:hAnsi="Arial"/>
                <w:sz w:val="18"/>
                <w:szCs w:val="18"/>
                <w:color w:val="0000FF"/>
              </w:rPr>
            </w:pPr>
            <w:hyperlink w:anchor="page70">
              <w:r>
                <w:rPr>
                  <w:rFonts w:ascii="Arial" w:cs="Arial" w:eastAsia="Arial" w:hAnsi="Arial"/>
                  <w:sz w:val="18"/>
                  <w:szCs w:val="18"/>
                  <w:color w:val="0000FF"/>
                </w:rPr>
                <w:t>Report of independent registered public accounting firm (PCAOB ID: 42)</w:t>
              </w:r>
            </w:hyperlink>
          </w:p>
        </w:tc>
        <w:tc>
          <w:tcPr>
            <w:tcW w:w="2280" w:type="dxa"/>
            <w:vAlign w:val="bottom"/>
          </w:tcPr>
          <w:p>
            <w:pPr>
              <w:jc w:val="right"/>
              <w:ind w:right="590"/>
              <w:spacing w:after="0" w:line="19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240" w:type="dxa"/>
            <w:vAlign w:val="bottom"/>
            <w:tcBorders>
              <w:top w:val="single" w:sz="8" w:color="0000EE"/>
            </w:tcBorders>
            <w:gridSpan w:val="3"/>
          </w:tcPr>
          <w:p>
            <w:pPr>
              <w:spacing w:after="0" w:line="163" w:lineRule="exact"/>
              <w:rPr>
                <w:rFonts w:ascii="Arial" w:cs="Arial" w:eastAsia="Arial" w:hAnsi="Arial"/>
                <w:sz w:val="18"/>
                <w:szCs w:val="18"/>
                <w:color w:val="0000FF"/>
              </w:rPr>
            </w:pPr>
            <w:hyperlink w:anchor="page72">
              <w:r>
                <w:rPr>
                  <w:rFonts w:ascii="Arial" w:cs="Arial" w:eastAsia="Arial" w:hAnsi="Arial"/>
                  <w:sz w:val="18"/>
                  <w:szCs w:val="18"/>
                  <w:color w:val="0000FF"/>
                </w:rPr>
                <w:t>Balance sheets as of December 31, 2021 and 2020</w:t>
              </w:r>
            </w:hyperlink>
          </w:p>
        </w:tc>
        <w:tc>
          <w:tcPr>
            <w:tcW w:w="60" w:type="dxa"/>
            <w:vAlign w:val="bottom"/>
            <w:tcBorders>
              <w:top w:val="single" w:sz="8" w:color="0000FF"/>
            </w:tcBorders>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right"/>
              <w:ind w:right="590"/>
              <w:spacing w:after="0" w:line="16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80" w:type="dxa"/>
            <w:vAlign w:val="bottom"/>
            <w:vMerge w:val="restart"/>
          </w:tcPr>
          <w:p>
            <w:pPr>
              <w:jc w:val="right"/>
              <w:ind w:right="59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8260" w:type="dxa"/>
            <w:vAlign w:val="bottom"/>
            <w:gridSpan w:val="7"/>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Statements of operations for the years ended December 31, 2021, 2020 and 2019</w:t>
              </w:r>
            </w:hyperlink>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gridSpan w:val="4"/>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80" w:type="dxa"/>
            <w:vAlign w:val="bottom"/>
            <w:vMerge w:val="restart"/>
          </w:tcPr>
          <w:p>
            <w:pPr>
              <w:jc w:val="right"/>
              <w:ind w:right="59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8260" w:type="dxa"/>
            <w:vAlign w:val="bottom"/>
            <w:gridSpan w:val="7"/>
          </w:tcPr>
          <w:p>
            <w:pPr>
              <w:spacing w:after="0" w:line="182" w:lineRule="exact"/>
              <w:rPr>
                <w:rFonts w:ascii="Arial" w:cs="Arial" w:eastAsia="Arial" w:hAnsi="Arial"/>
                <w:sz w:val="18"/>
                <w:szCs w:val="18"/>
                <w:color w:val="0000FF"/>
              </w:rPr>
            </w:pPr>
            <w:hyperlink w:anchor="page74">
              <w:r>
                <w:rPr>
                  <w:rFonts w:ascii="Arial" w:cs="Arial" w:eastAsia="Arial" w:hAnsi="Arial"/>
                  <w:sz w:val="18"/>
                  <w:szCs w:val="18"/>
                  <w:color w:val="0000FF"/>
                </w:rPr>
                <w:t>Statements of stockholders’ equity (deficit) for the years ended December 31, 2021, 2020 and 2019</w:t>
              </w:r>
            </w:hyperlink>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2280" w:type="dxa"/>
            <w:vAlign w:val="bottom"/>
            <w:vMerge w:val="restart"/>
          </w:tcPr>
          <w:p>
            <w:pPr>
              <w:jc w:val="right"/>
              <w:ind w:right="59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7140" w:type="dxa"/>
            <w:vAlign w:val="bottom"/>
            <w:gridSpan w:val="6"/>
          </w:tcPr>
          <w:p>
            <w:pPr>
              <w:spacing w:after="0" w:line="182" w:lineRule="exact"/>
              <w:rPr>
                <w:rFonts w:ascii="Arial" w:cs="Arial" w:eastAsia="Arial" w:hAnsi="Arial"/>
                <w:sz w:val="18"/>
                <w:szCs w:val="18"/>
                <w:color w:val="0000FF"/>
              </w:rPr>
            </w:pPr>
            <w:hyperlink w:anchor="page75">
              <w:r>
                <w:rPr>
                  <w:rFonts w:ascii="Arial" w:cs="Arial" w:eastAsia="Arial" w:hAnsi="Arial"/>
                  <w:sz w:val="18"/>
                  <w:szCs w:val="18"/>
                  <w:color w:val="0000FF"/>
                </w:rPr>
                <w:t>Statements of cash flows for the years ended December 31, 2021, 2020 and 2019</w:t>
              </w:r>
            </w:hyperlink>
          </w:p>
        </w:tc>
        <w:tc>
          <w:tcPr>
            <w:tcW w:w="112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4"/>
            <w:shd w:val="clear" w:color="auto" w:fill="0000FF"/>
          </w:tcPr>
          <w:p>
            <w:pPr>
              <w:spacing w:after="0" w:line="20" w:lineRule="exact"/>
              <w:rPr>
                <w:sz w:val="1"/>
                <w:szCs w:val="1"/>
                <w:color w:val="auto"/>
              </w:rPr>
            </w:pPr>
          </w:p>
        </w:tc>
        <w:tc>
          <w:tcPr>
            <w:tcW w:w="2440" w:type="dxa"/>
            <w:vAlign w:val="bottom"/>
            <w:gridSpan w:val="2"/>
            <w:vMerge w:val="restart"/>
          </w:tcPr>
          <w:p>
            <w:pPr>
              <w:spacing w:after="0" w:line="20" w:lineRule="exact"/>
              <w:rPr>
                <w:sz w:val="1"/>
                <w:szCs w:val="1"/>
                <w:color w:val="auto"/>
              </w:rPr>
            </w:pPr>
          </w:p>
        </w:tc>
        <w:tc>
          <w:tcPr>
            <w:tcW w:w="2280" w:type="dxa"/>
            <w:vAlign w:val="bottom"/>
            <w:vMerge w:val="restart"/>
          </w:tcPr>
          <w:p>
            <w:pPr>
              <w:jc w:val="right"/>
              <w:ind w:right="59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5820" w:type="dxa"/>
            <w:vAlign w:val="bottom"/>
            <w:gridSpan w:val="5"/>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Notes to financial statements</w:t>
              </w:r>
            </w:hyperlink>
          </w:p>
        </w:tc>
        <w:tc>
          <w:tcPr>
            <w:tcW w:w="2440" w:type="dxa"/>
            <w:vAlign w:val="bottom"/>
            <w:gridSpan w:val="2"/>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4"/>
        </w:trPr>
        <w:tc>
          <w:tcPr>
            <w:tcW w:w="700" w:type="dxa"/>
            <w:vAlign w:val="bottom"/>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3180" w:type="dxa"/>
            <w:vAlign w:val="bottom"/>
            <w:gridSpan w:val="2"/>
          </w:tcPr>
          <w:p>
            <w:pPr>
              <w:jc w:val="right"/>
              <w:ind w:right="13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Clearside Biomedical, Inc.</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balance sheets of Clearside Biomedical, Inc. (the Company) as of December 31, 2021 and 2020, the related statements of operations,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333333"/>
        </w:rPr>
        <w:t>Accrued Clinical Trial Expenses</w:t>
      </w:r>
    </w:p>
    <w:p>
      <w:pPr>
        <w:sectPr>
          <w:pgSz w:w="11900" w:h="16838" w:orient="portrait"/>
          <w:cols w:equalWidth="0" w:num="1">
            <w:col w:w="11240"/>
          </w:cols>
          <w:pgMar w:left="320" w:top="125" w:right="339" w:bottom="1440" w:gutter="0" w:footer="0" w:header="0"/>
        </w:sect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Description of</w:t>
      </w:r>
    </w:p>
    <w:p>
      <w:pPr>
        <w:ind w:left="40"/>
        <w:spacing w:after="0"/>
        <w:rPr>
          <w:sz w:val="20"/>
          <w:szCs w:val="20"/>
          <w:color w:val="auto"/>
        </w:rPr>
      </w:pPr>
      <w:r>
        <w:rPr>
          <w:rFonts w:ascii="Arial" w:cs="Arial" w:eastAsia="Arial" w:hAnsi="Arial"/>
          <w:sz w:val="18"/>
          <w:szCs w:val="18"/>
          <w:i w:val="1"/>
          <w:iCs w:val="1"/>
          <w:color w:val="auto"/>
        </w:rPr>
        <w:t>the Matter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40"/>
        <w:spacing w:after="0" w:line="237" w:lineRule="auto"/>
        <w:rPr>
          <w:sz w:val="20"/>
          <w:szCs w:val="20"/>
          <w:color w:val="auto"/>
        </w:rPr>
      </w:pPr>
      <w:r>
        <w:rPr>
          <w:rFonts w:ascii="Arial" w:cs="Arial" w:eastAsia="Arial" w:hAnsi="Arial"/>
          <w:sz w:val="16"/>
          <w:szCs w:val="16"/>
          <w:color w:val="auto"/>
        </w:rPr>
        <w:t>As discussed in Note 4, as of December 31, 2021 the Company has recorded $1.0 million of accrued research and development expenses, which included the estimated accrued clinical trial expenses incurred but not paid as of year-end. As discussed in Note 2 to the financial statements, the Company’s clinical trial expenses are based on the estimates of the services received and efforts expended pursuant to contracts with the third-party Contract Research Organization (“CRO”) that conducts the research and development activities related to clinical trials on the Company’s behalf, which results in an accrual at period end. When estimating accrued clinical trial expenses, the Company considers several factors including the clinical trial budget, contract amendments, the high volume of data received from the investigative sites and CROs to determine progress toward completion, and payments made as of December 31, 2021.</w:t>
      </w:r>
    </w:p>
    <w:p>
      <w:pPr>
        <w:spacing w:after="0" w:line="126" w:lineRule="exact"/>
        <w:rPr>
          <w:sz w:val="20"/>
          <w:szCs w:val="20"/>
          <w:color w:val="auto"/>
        </w:rPr>
      </w:pPr>
    </w:p>
    <w:p>
      <w:pPr>
        <w:sectPr>
          <w:pgSz w:w="11900" w:h="16838" w:orient="portrait"/>
          <w:cols w:equalWidth="0" w:num="2">
            <w:col w:w="1720" w:space="720"/>
            <w:col w:w="8800"/>
          </w:cols>
          <w:pgMar w:left="320" w:top="125" w:right="339" w:bottom="1440" w:gutter="0" w:footer="0" w:header="0"/>
          <w:type w:val="continuous"/>
        </w:sectPr>
      </w:pPr>
    </w:p>
    <w:p>
      <w:pPr>
        <w:jc w:val="both"/>
        <w:ind w:left="2440" w:right="40"/>
        <w:spacing w:after="0" w:line="241" w:lineRule="auto"/>
        <w:rPr>
          <w:sz w:val="20"/>
          <w:szCs w:val="20"/>
          <w:color w:val="auto"/>
        </w:rPr>
      </w:pPr>
      <w:r>
        <w:rPr>
          <w:rFonts w:ascii="Arial" w:cs="Arial" w:eastAsia="Arial" w:hAnsi="Arial"/>
          <w:sz w:val="16"/>
          <w:szCs w:val="16"/>
          <w:color w:val="auto"/>
        </w:rPr>
        <w:t>Auditing the Company’s accrued clinical trial expenses was challenging due to the application of significant management judgment over the estimate of services provided but not yet invoiced by the CRO. The amount of accrued clinical trial expenses recognized is sensitive to the availability of information to make the estimate, including the estimate of the period over which services were expended or passthrough costs were incurred, as of the balance sheet date. Additionally, due to the long duration of clinical trials and the timing of invoicing received from CROs and investigator sites, the actual amounts incurred are not typically known at the time the financial statements are issued.</w:t>
      </w:r>
    </w:p>
    <w:p>
      <w:pPr>
        <w:sectPr>
          <w:pgSz w:w="11900" w:h="16838" w:orient="portrait"/>
          <w:cols w:equalWidth="0" w:num="1">
            <w:col w:w="11240"/>
          </w:cols>
          <w:pgMar w:left="320" w:top="125" w:right="339" w:bottom="1440" w:gutter="0" w:footer="0" w:header="0"/>
          <w:type w:val="continuous"/>
        </w:sectPr>
      </w:pPr>
    </w:p>
    <w:p>
      <w:pPr>
        <w:spacing w:after="0" w:line="174" w:lineRule="exact"/>
        <w:rPr>
          <w:sz w:val="20"/>
          <w:szCs w:val="20"/>
          <w:color w:val="auto"/>
        </w:rPr>
      </w:pPr>
    </w:p>
    <w:p>
      <w:pPr>
        <w:ind w:left="40" w:right="280"/>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40"/>
        <w:spacing w:after="0" w:line="222" w:lineRule="auto"/>
        <w:rPr>
          <w:sz w:val="20"/>
          <w:szCs w:val="20"/>
          <w:color w:val="auto"/>
        </w:rPr>
      </w:pPr>
      <w:r>
        <w:rPr>
          <w:rFonts w:ascii="Arial" w:cs="Arial" w:eastAsia="Arial" w:hAnsi="Arial"/>
          <w:sz w:val="17"/>
          <w:szCs w:val="17"/>
          <w:color w:val="auto"/>
        </w:rPr>
        <w:t>To evaluate the Company’s estimated accrued clinical trial expense as of December 31, 2021, our audit procedures included, among others, testing the accuracy and completeness of the underlying data used in the estimates and evaluating the significant assumptions stated above that are used by management to estimate the recorded amounts. To assess the reasonableness of the significant assumptions, we obtained information regarding the nature and extent of progress of the clinical trial from the Company’s research and development personnel that oversee the clinical trials and confirmed directly with the CRO, a third party, which provided their estimate of clinical trial expense incurred and amounts invoiced as of December 31, 2021. To evaluate the completeness and valuation of the accrued clinical trial expenses, we compared invoices received by the Company subsequent to December 31, 2021 to the amounts recognized by the Company as of that date. We inspected the Company’s contract with the CRO and any change orders to assess the impact to the amounts recorded.</w:t>
      </w:r>
    </w:p>
    <w:p>
      <w:pPr>
        <w:spacing w:after="0" w:line="2" w:lineRule="exact"/>
        <w:rPr>
          <w:sz w:val="20"/>
          <w:szCs w:val="20"/>
          <w:color w:val="auto"/>
        </w:rPr>
      </w:pPr>
    </w:p>
    <w:p>
      <w:pPr>
        <w:sectPr>
          <w:pgSz w:w="11900" w:h="16838" w:orient="portrait"/>
          <w:cols w:equalWidth="0" w:num="2">
            <w:col w:w="1720" w:space="720"/>
            <w:col w:w="8800"/>
          </w:cols>
          <w:pgMar w:left="320" w:top="125" w:right="339" w:bottom="1440" w:gutter="0" w:footer="0" w:header="0"/>
          <w:type w:val="continuous"/>
        </w:sectPr>
      </w:pPr>
    </w:p>
    <w:p>
      <w:pPr>
        <w:ind w:left="9580"/>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FF0FC"/>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30,436</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42,136</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18,118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shd w:val="clear" w:color="auto" w:fill="CFF0FC"/>
          </w:tcPr>
          <w:p>
            <w:pPr>
              <w:jc w:val="right"/>
              <w:ind w:right="78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42,903</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19,322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941</w:t>
            </w:r>
          </w:p>
        </w:tc>
        <w:tc>
          <w:tcPr>
            <w:tcW w:w="26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3,312</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9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operating lease liabilities</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96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4,640</w:t>
            </w:r>
          </w:p>
        </w:tc>
        <w:tc>
          <w:tcPr>
            <w:tcW w:w="26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9,943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ind w:left="480"/>
              <w:spacing w:after="0" w:line="183" w:lineRule="exact"/>
              <w:rPr>
                <w:sz w:val="20"/>
                <w:szCs w:val="20"/>
                <w:color w:val="auto"/>
              </w:rPr>
            </w:pPr>
            <w:r>
              <w:rPr>
                <w:rFonts w:ascii="Arial" w:cs="Arial" w:eastAsia="Arial" w:hAnsi="Arial"/>
                <w:sz w:val="16"/>
                <w:szCs w:val="16"/>
                <w:color w:val="auto"/>
              </w:rPr>
              <w:t>Total liabilities</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4,928</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10,559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4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$0.001 par value; 10,000,000 shares authorized and no shares issued at</w:t>
            </w:r>
          </w:p>
        </w:tc>
        <w:tc>
          <w:tcPr>
            <w:tcW w:w="960" w:type="dxa"/>
            <w:vAlign w:val="bottom"/>
          </w:tcPr>
          <w:p>
            <w:pPr>
              <w:spacing w:after="0"/>
              <w:rPr>
                <w:sz w:val="13"/>
                <w:szCs w:val="13"/>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3"/>
                <w:szCs w:val="13"/>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740" w:type="dxa"/>
            <w:vAlign w:val="bottom"/>
          </w:tcPr>
          <w:p>
            <w:pPr>
              <w:ind w:left="320"/>
              <w:spacing w:after="0"/>
              <w:rPr>
                <w:sz w:val="20"/>
                <w:szCs w:val="20"/>
                <w:color w:val="auto"/>
              </w:rPr>
            </w:pPr>
            <w:r>
              <w:rPr>
                <w:rFonts w:ascii="Arial" w:cs="Arial" w:eastAsia="Arial" w:hAnsi="Arial"/>
                <w:sz w:val="16"/>
                <w:szCs w:val="16"/>
                <w:color w:val="auto"/>
              </w:rPr>
              <w:t>December 31, 2020 and 2019</w:t>
            </w:r>
          </w:p>
        </w:tc>
        <w:tc>
          <w:tcPr>
            <w:tcW w:w="9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7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Common stock, $0.001 par value; 100,000,000 shares authorized at December 31, 2021</w:t>
            </w:r>
          </w:p>
        </w:tc>
        <w:tc>
          <w:tcPr>
            <w:tcW w:w="9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and 2020; 59,722,930 and 51,860,941 shares issued and outstanding at December 31, 2021</w:t>
            </w:r>
          </w:p>
        </w:tc>
        <w:tc>
          <w:tcPr>
            <w:tcW w:w="9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7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2020, respectively</w:t>
            </w:r>
          </w:p>
        </w:tc>
        <w:tc>
          <w:tcPr>
            <w:tcW w:w="96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293,406</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264,578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9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3"/>
              </w:rPr>
              <w:t>(255,491 )</w:t>
            </w:r>
          </w:p>
        </w:tc>
        <w:tc>
          <w:tcPr>
            <w:tcW w:w="4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(255,867 )</w:t>
            </w:r>
          </w:p>
        </w:tc>
        <w:tc>
          <w:tcPr>
            <w:tcW w:w="0" w:type="dxa"/>
            <w:vAlign w:val="bottom"/>
          </w:tcPr>
          <w:p>
            <w:pPr>
              <w:spacing w:after="0"/>
              <w:rPr>
                <w:sz w:val="1"/>
                <w:szCs w:val="1"/>
                <w:color w:val="auto"/>
              </w:rPr>
            </w:pPr>
          </w:p>
        </w:tc>
      </w:tr>
      <w:tr>
        <w:trPr>
          <w:trHeight w:val="183"/>
        </w:trPr>
        <w:tc>
          <w:tcPr>
            <w:tcW w:w="7740" w:type="dxa"/>
            <w:vAlign w:val="bottom"/>
            <w:tcBorders>
              <w:top w:val="single" w:sz="8" w:color="CFF0FC"/>
            </w:tcBorders>
          </w:tcPr>
          <w:p>
            <w:pPr>
              <w:ind w:left="480"/>
              <w:spacing w:after="0" w:line="183" w:lineRule="exact"/>
              <w:rPr>
                <w:sz w:val="20"/>
                <w:szCs w:val="20"/>
                <w:color w:val="auto"/>
              </w:rPr>
            </w:pPr>
            <w:r>
              <w:rPr>
                <w:rFonts w:ascii="Arial" w:cs="Arial" w:eastAsia="Arial" w:hAnsi="Arial"/>
                <w:sz w:val="16"/>
                <w:szCs w:val="16"/>
                <w:color w:val="auto"/>
              </w:rPr>
              <w:t>Total stockholders’ equity</w:t>
            </w:r>
          </w:p>
        </w:tc>
        <w:tc>
          <w:tcPr>
            <w:tcW w:w="9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37,975</w:t>
            </w:r>
          </w:p>
        </w:tc>
        <w:tc>
          <w:tcPr>
            <w:tcW w:w="260" w:type="dxa"/>
            <w:vAlign w:val="bottom"/>
            <w:tcBorders>
              <w:top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8,763</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48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960" w:type="dxa"/>
            <w:vAlign w:val="bottom"/>
            <w:tcBorders>
              <w:bottom w:val="single" w:sz="8" w:color="auto"/>
            </w:tcBorders>
            <w:shd w:val="clear" w:color="auto" w:fill="CFF0FC"/>
          </w:tcPr>
          <w:p>
            <w:pPr>
              <w:jc w:val="right"/>
              <w:ind w:right="78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42,903</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19,322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-2553970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-2536825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-2553970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-2536825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-279400</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-279400</wp:posOffset>
            </wp:positionV>
            <wp:extent cx="514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CLEARSIDE BIOMEDICAL, INC.</w:t>
      </w:r>
    </w:p>
    <w:p>
      <w:pPr>
        <w:jc w:val="center"/>
        <w:spacing w:after="0" w:line="234" w:lineRule="auto"/>
        <w:rPr>
          <w:sz w:val="20"/>
          <w:szCs w:val="20"/>
          <w:color w:val="auto"/>
        </w:rPr>
      </w:pPr>
      <w:r>
        <w:rPr>
          <w:rFonts w:ascii="Arial" w:cs="Arial" w:eastAsia="Arial" w:hAnsi="Arial"/>
          <w:sz w:val="18"/>
          <w:szCs w:val="18"/>
          <w:b w:val="1"/>
          <w:bCs w:val="1"/>
          <w:color w:val="auto"/>
        </w:rPr>
        <w:t>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7"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and other revenue</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29,575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7,894</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2,173</w:t>
            </w:r>
          </w:p>
        </w:tc>
        <w:tc>
          <w:tcPr>
            <w:tcW w:w="8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18,537</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15,073</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15,658</w:t>
            </w:r>
          </w:p>
        </w:tc>
        <w:tc>
          <w:tcPr>
            <w:tcW w:w="8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11,665</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10,756</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16,819</w:t>
            </w:r>
          </w:p>
        </w:tc>
        <w:tc>
          <w:tcPr>
            <w:tcW w:w="8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30,202</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25,829</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32,477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7"/>
                <w:szCs w:val="17"/>
                <w:color w:val="auto"/>
              </w:rPr>
            </w:pPr>
          </w:p>
        </w:tc>
        <w:tc>
          <w:tcPr>
            <w:tcW w:w="1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(627 )</w:t>
            </w:r>
          </w:p>
        </w:tc>
        <w:tc>
          <w:tcPr>
            <w:tcW w:w="400" w:type="dxa"/>
            <w:vAlign w:val="bottom"/>
          </w:tcPr>
          <w:p>
            <w:pPr>
              <w:spacing w:after="0"/>
              <w:rPr>
                <w:sz w:val="17"/>
                <w:szCs w:val="17"/>
                <w:color w:val="auto"/>
              </w:rPr>
            </w:pPr>
          </w:p>
        </w:tc>
        <w:tc>
          <w:tcPr>
            <w:tcW w:w="14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(17,935 )</w:t>
            </w:r>
          </w:p>
        </w:tc>
        <w:tc>
          <w:tcPr>
            <w:tcW w:w="3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(30,304 )</w:t>
            </w: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17"/>
                <w:szCs w:val="17"/>
                <w:color w:val="auto"/>
              </w:rPr>
            </w:pPr>
          </w:p>
        </w:tc>
        <w:tc>
          <w:tcPr>
            <w:tcW w:w="1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(275 )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(466 )</w:t>
            </w: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w:t>
            </w: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(18,210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(30,770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5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per share of common stock — basic and diluted</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(0.39 )</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(0.81 )</w:t>
            </w:r>
          </w:p>
        </w:tc>
      </w:tr>
      <w:tr>
        <w:trPr>
          <w:trHeight w:val="203"/>
        </w:trPr>
        <w:tc>
          <w:tcPr>
            <w:tcW w:w="5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58,491,986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46,506,540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38,170,830</w:t>
            </w:r>
          </w:p>
        </w:tc>
        <w:tc>
          <w:tcPr>
            <w:tcW w:w="80" w:type="dxa"/>
            <w:vAlign w:val="bottom"/>
            <w:shd w:val="clear" w:color="auto" w:fill="CFF0FC"/>
          </w:tcPr>
          <w:p>
            <w:pPr>
              <w:spacing w:after="0"/>
              <w:rPr>
                <w:sz w:val="17"/>
                <w:szCs w:val="17"/>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59,906,602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46,506,540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38,170,830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-1214120</wp:posOffset>
            </wp:positionV>
            <wp:extent cx="603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-1214120</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-1214120</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-685800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-668655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-685800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-668655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-685800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-668655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CLEARSIDE BIOMEDICAL, INC.</w:t>
      </w:r>
    </w:p>
    <w:p>
      <w:pPr>
        <w:jc w:val="center"/>
        <w:spacing w:after="0" w:line="234" w:lineRule="auto"/>
        <w:rPr>
          <w:sz w:val="20"/>
          <w:szCs w:val="20"/>
          <w:color w:val="auto"/>
        </w:rPr>
      </w:pPr>
      <w:r>
        <w:rPr>
          <w:rFonts w:ascii="Arial" w:cs="Arial" w:eastAsia="Arial" w:hAnsi="Arial"/>
          <w:sz w:val="18"/>
          <w:szCs w:val="18"/>
          <w:b w:val="1"/>
          <w:bCs w:val="1"/>
          <w:color w:val="auto"/>
        </w:rPr>
        <w:t>Statement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520" w:type="dxa"/>
            <w:vAlign w:val="bottom"/>
            <w:gridSpan w:val="4"/>
            <w:vMerge w:val="restart"/>
          </w:tcPr>
          <w:p>
            <w:pPr>
              <w:jc w:val="right"/>
              <w:ind w:right="71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252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140" w:type="dxa"/>
            <w:vAlign w:val="bottom"/>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56"/>
              <w:spacing w:after="0"/>
              <w:rPr>
                <w:sz w:val="20"/>
                <w:szCs w:val="20"/>
                <w:color w:val="auto"/>
              </w:rPr>
            </w:pPr>
            <w:r>
              <w:rPr>
                <w:rFonts w:ascii="Arial" w:cs="Arial" w:eastAsia="Arial" w:hAnsi="Arial"/>
                <w:sz w:val="14"/>
                <w:szCs w:val="14"/>
                <w:b w:val="1"/>
                <w:bCs w:val="1"/>
                <w:color w:val="auto"/>
              </w:rPr>
              <w:t>Paid-In-Capital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32,119,227</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230,475</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(206,887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shares under</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140"/>
              <w:spacing w:after="0"/>
              <w:rPr>
                <w:sz w:val="20"/>
                <w:szCs w:val="20"/>
                <w:color w:val="auto"/>
              </w:rPr>
            </w:pPr>
            <w:r>
              <w:rPr>
                <w:rFonts w:ascii="Arial" w:cs="Arial" w:eastAsia="Arial" w:hAnsi="Arial"/>
                <w:sz w:val="17"/>
                <w:szCs w:val="17"/>
                <w:color w:val="auto"/>
              </w:rPr>
              <w:t>at-the-market sales agreement</w:t>
            </w:r>
          </w:p>
        </w:tc>
        <w:tc>
          <w:tcPr>
            <w:tcW w:w="1140" w:type="dxa"/>
            <w:vAlign w:val="bottom"/>
          </w:tcPr>
          <w:p>
            <w:pPr>
              <w:jc w:val="right"/>
              <w:spacing w:after="0"/>
              <w:rPr>
                <w:sz w:val="20"/>
                <w:szCs w:val="20"/>
                <w:color w:val="auto"/>
              </w:rPr>
            </w:pPr>
            <w:r>
              <w:rPr>
                <w:rFonts w:ascii="Arial" w:cs="Arial" w:eastAsia="Arial" w:hAnsi="Arial"/>
                <w:sz w:val="17"/>
                <w:szCs w:val="17"/>
                <w:color w:val="auto"/>
              </w:rPr>
              <w:t>8,976,940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10,310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
              <w:spacing w:after="0" w:line="160" w:lineRule="exact"/>
              <w:rPr>
                <w:sz w:val="20"/>
                <w:szCs w:val="20"/>
                <w:color w:val="auto"/>
              </w:rPr>
            </w:pPr>
            <w:r>
              <w:rPr>
                <w:rFonts w:ascii="Arial" w:cs="Arial" w:eastAsia="Arial" w:hAnsi="Arial"/>
                <w:sz w:val="17"/>
                <w:szCs w:val="17"/>
                <w:color w:val="auto"/>
              </w:rPr>
              <w:t>Issuance of common shares under</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private placement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3,178,367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shares under</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140"/>
              <w:spacing w:after="0"/>
              <w:rPr>
                <w:sz w:val="20"/>
                <w:szCs w:val="20"/>
                <w:color w:val="auto"/>
              </w:rPr>
            </w:pPr>
            <w:r>
              <w:rPr>
                <w:rFonts w:ascii="Arial" w:cs="Arial" w:eastAsia="Arial" w:hAnsi="Arial"/>
                <w:sz w:val="17"/>
                <w:szCs w:val="17"/>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7"/>
                <w:szCs w:val="17"/>
                <w:color w:val="auto"/>
              </w:rPr>
              <w:t>52,476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16,362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line="158" w:lineRule="exact"/>
              <w:rPr>
                <w:sz w:val="20"/>
                <w:szCs w:val="20"/>
                <w:color w:val="auto"/>
              </w:rPr>
            </w:pPr>
            <w:r>
              <w:rPr>
                <w:rFonts w:ascii="Arial" w:cs="Arial" w:eastAsia="Arial" w:hAnsi="Arial"/>
                <w:sz w:val="17"/>
                <w:szCs w:val="17"/>
                <w:color w:val="auto"/>
              </w:rPr>
              <w:t>Vesting and settlement of restricted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140"/>
              <w:spacing w:after="0"/>
              <w:rPr>
                <w:sz w:val="20"/>
                <w:szCs w:val="20"/>
                <w:color w:val="auto"/>
              </w:rPr>
            </w:pPr>
            <w:r>
              <w:rPr>
                <w:rFonts w:ascii="Arial" w:cs="Arial" w:eastAsia="Arial" w:hAnsi="Arial"/>
                <w:sz w:val="17"/>
                <w:szCs w:val="17"/>
                <w:color w:val="auto"/>
              </w:rPr>
              <w:t>stock units</w:t>
            </w:r>
          </w:p>
        </w:tc>
        <w:tc>
          <w:tcPr>
            <w:tcW w:w="1140" w:type="dxa"/>
            <w:vAlign w:val="bottom"/>
          </w:tcPr>
          <w:p>
            <w:pPr>
              <w:jc w:val="right"/>
              <w:spacing w:after="0"/>
              <w:rPr>
                <w:sz w:val="20"/>
                <w:szCs w:val="20"/>
                <w:color w:val="auto"/>
              </w:rPr>
            </w:pPr>
            <w:r>
              <w:rPr>
                <w:rFonts w:ascii="Arial" w:cs="Arial" w:eastAsia="Arial" w:hAnsi="Arial"/>
                <w:sz w:val="17"/>
                <w:szCs w:val="17"/>
                <w:color w:val="auto"/>
              </w:rPr>
              <w:t>70,000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4,612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(30,770 )</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(30,770 )</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44,413,372</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248,770</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(237,657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shares under</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140"/>
              <w:spacing w:after="0"/>
              <w:rPr>
                <w:sz w:val="20"/>
                <w:szCs w:val="20"/>
                <w:color w:val="auto"/>
              </w:rPr>
            </w:pPr>
            <w:r>
              <w:rPr>
                <w:rFonts w:ascii="Arial" w:cs="Arial" w:eastAsia="Arial" w:hAnsi="Arial"/>
                <w:sz w:val="17"/>
                <w:szCs w:val="17"/>
                <w:color w:val="auto"/>
              </w:rPr>
              <w:t>at-the-market sales agreement</w:t>
            </w:r>
          </w:p>
        </w:tc>
        <w:tc>
          <w:tcPr>
            <w:tcW w:w="1140" w:type="dxa"/>
            <w:vAlign w:val="bottom"/>
          </w:tcPr>
          <w:p>
            <w:pPr>
              <w:jc w:val="right"/>
              <w:spacing w:after="0"/>
              <w:rPr>
                <w:sz w:val="20"/>
                <w:szCs w:val="20"/>
                <w:color w:val="auto"/>
              </w:rPr>
            </w:pPr>
            <w:r>
              <w:rPr>
                <w:rFonts w:ascii="Arial" w:cs="Arial" w:eastAsia="Arial" w:hAnsi="Arial"/>
                <w:sz w:val="17"/>
                <w:szCs w:val="17"/>
                <w:color w:val="auto"/>
              </w:rPr>
              <w:t>6,176,415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
              <w:spacing w:after="0" w:line="160" w:lineRule="exact"/>
              <w:rPr>
                <w:sz w:val="20"/>
                <w:szCs w:val="20"/>
                <w:color w:val="auto"/>
              </w:rPr>
            </w:pPr>
            <w:r>
              <w:rPr>
                <w:rFonts w:ascii="Arial" w:cs="Arial" w:eastAsia="Arial" w:hAnsi="Arial"/>
                <w:sz w:val="17"/>
                <w:szCs w:val="17"/>
                <w:color w:val="auto"/>
              </w:rPr>
              <w:t>Issuance of common shares under</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employee stock purchase plan</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7"/>
                <w:szCs w:val="17"/>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7"/>
                <w:szCs w:val="17"/>
                <w:color w:val="auto"/>
              </w:rPr>
              <w:t>254,466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Vesting and settlement of restricted</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981,329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(18,210 )</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(18,210 )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7"/>
                <w:szCs w:val="17"/>
                <w:color w:val="auto"/>
              </w:rPr>
              <w:t>Balance at December 31, 2020</w:t>
            </w:r>
          </w:p>
        </w:tc>
        <w:tc>
          <w:tcPr>
            <w:tcW w:w="1140" w:type="dxa"/>
            <w:vAlign w:val="bottom"/>
          </w:tcPr>
          <w:p>
            <w:pPr>
              <w:jc w:val="right"/>
              <w:spacing w:after="0"/>
              <w:rPr>
                <w:sz w:val="20"/>
                <w:szCs w:val="20"/>
                <w:color w:val="auto"/>
              </w:rPr>
            </w:pPr>
            <w:r>
              <w:rPr>
                <w:rFonts w:ascii="Arial" w:cs="Arial" w:eastAsia="Arial" w:hAnsi="Arial"/>
                <w:sz w:val="17"/>
                <w:szCs w:val="17"/>
                <w:color w:val="auto"/>
              </w:rPr>
              <w:t>51,860,941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264,578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(255,867 )</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Issuance of common shares under</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at-the-market sales agreement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2,891,419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shares under</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140"/>
              <w:spacing w:after="0"/>
              <w:rPr>
                <w:sz w:val="20"/>
                <w:szCs w:val="20"/>
                <w:color w:val="auto"/>
              </w:rPr>
            </w:pPr>
            <w:r>
              <w:rPr>
                <w:rFonts w:ascii="Arial" w:cs="Arial" w:eastAsia="Arial" w:hAnsi="Arial"/>
                <w:sz w:val="17"/>
                <w:szCs w:val="17"/>
                <w:color w:val="auto"/>
              </w:rPr>
              <w:t>a direct registered offering</w:t>
            </w:r>
          </w:p>
        </w:tc>
        <w:tc>
          <w:tcPr>
            <w:tcW w:w="1140" w:type="dxa"/>
            <w:vAlign w:val="bottom"/>
          </w:tcPr>
          <w:p>
            <w:pPr>
              <w:jc w:val="right"/>
              <w:spacing w:after="0"/>
              <w:rPr>
                <w:sz w:val="20"/>
                <w:szCs w:val="20"/>
                <w:color w:val="auto"/>
              </w:rPr>
            </w:pPr>
            <w:r>
              <w:rPr>
                <w:rFonts w:ascii="Arial" w:cs="Arial" w:eastAsia="Arial" w:hAnsi="Arial"/>
                <w:sz w:val="17"/>
                <w:szCs w:val="17"/>
                <w:color w:val="auto"/>
              </w:rPr>
              <w:t>4,209,050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
              <w:spacing w:after="0" w:line="160" w:lineRule="exact"/>
              <w:rPr>
                <w:sz w:val="20"/>
                <w:szCs w:val="20"/>
                <w:color w:val="auto"/>
              </w:rPr>
            </w:pPr>
            <w:r>
              <w:rPr>
                <w:rFonts w:ascii="Arial" w:cs="Arial" w:eastAsia="Arial" w:hAnsi="Arial"/>
                <w:sz w:val="17"/>
                <w:szCs w:val="17"/>
                <w:color w:val="auto"/>
              </w:rPr>
              <w:t>Issuance of common shares under</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employee stock purchase plan</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7"/>
                <w:szCs w:val="17"/>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7"/>
                <w:szCs w:val="17"/>
                <w:color w:val="auto"/>
              </w:rPr>
              <w:t>280,771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Vesting and settlement of restricted</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415,268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376</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140" w:type="dxa"/>
            <w:vAlign w:val="bottom"/>
          </w:tcPr>
          <w:p>
            <w:pPr>
              <w:jc w:val="right"/>
              <w:spacing w:after="0"/>
              <w:rPr>
                <w:sz w:val="20"/>
                <w:szCs w:val="20"/>
                <w:color w:val="auto"/>
              </w:rPr>
            </w:pPr>
            <w:r>
              <w:rPr>
                <w:rFonts w:ascii="Arial" w:cs="Arial" w:eastAsia="Arial" w:hAnsi="Arial"/>
                <w:sz w:val="17"/>
                <w:szCs w:val="17"/>
                <w:color w:val="auto"/>
              </w:rPr>
              <w:t>59,722,930</w:t>
            </w:r>
          </w:p>
        </w:tc>
        <w:tc>
          <w:tcPr>
            <w:tcW w:w="44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293,406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(255,491 )</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37,975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-1642110</wp:posOffset>
            </wp:positionV>
            <wp:extent cx="431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-1642110</wp:posOffset>
            </wp:positionV>
            <wp:extent cx="431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-1642110</wp:posOffset>
            </wp:positionV>
            <wp:extent cx="342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-1642110</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-1642110</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-159385</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-159385</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-159385</wp:posOffset>
            </wp:positionV>
            <wp:extent cx="342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CLEARSIDE BIOMEDICAL, INC.</w:t>
      </w:r>
    </w:p>
    <w:p>
      <w:pPr>
        <w:jc w:val="center"/>
        <w:spacing w:after="0" w:line="234" w:lineRule="auto"/>
        <w:rPr>
          <w:sz w:val="20"/>
          <w:szCs w:val="20"/>
          <w:color w:val="auto"/>
        </w:rPr>
      </w:pPr>
      <w:r>
        <w:rPr>
          <w:rFonts w:ascii="Arial" w:cs="Arial" w:eastAsia="Arial" w:hAnsi="Arial"/>
          <w:sz w:val="18"/>
          <w:szCs w:val="18"/>
          <w:b w:val="1"/>
          <w:bCs w:val="1"/>
          <w:color w:val="auto"/>
        </w:rPr>
        <w:t>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260" w:type="dxa"/>
            <w:vAlign w:val="bottom"/>
          </w:tcPr>
          <w:p>
            <w:pPr>
              <w:spacing w:after="0"/>
              <w:rPr>
                <w:sz w:val="17"/>
                <w:szCs w:val="17"/>
                <w:color w:val="auto"/>
              </w:rPr>
            </w:pP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8"/>
              </w:rPr>
              <w:t>(18,210 )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(30,770 )</w:t>
            </w:r>
          </w:p>
        </w:tc>
      </w:tr>
      <w:tr>
        <w:trPr>
          <w:trHeight w:val="162"/>
        </w:trPr>
        <w:tc>
          <w:tcPr>
            <w:tcW w:w="61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income (loss) to net cash used in</w:t>
            </w:r>
          </w:p>
        </w:tc>
        <w:tc>
          <w:tcPr>
            <w:tcW w:w="9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6"/>
        </w:trPr>
        <w:tc>
          <w:tcPr>
            <w:tcW w:w="61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2"/>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5,054</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4,612</w:t>
            </w: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Gain on extinguishment of debt</w:t>
            </w:r>
          </w:p>
        </w:tc>
        <w:tc>
          <w:tcPr>
            <w:tcW w:w="9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(998 )</w:t>
            </w:r>
          </w:p>
        </w:tc>
        <w:tc>
          <w:tcPr>
            <w:tcW w:w="92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Accretion of debt discount</w:t>
            </w:r>
          </w:p>
        </w:tc>
        <w:tc>
          <w:tcPr>
            <w:tcW w:w="9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disposal of fixed assets</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Amortization and accretion on available-for-sale investments, net</w:t>
            </w:r>
          </w:p>
        </w:tc>
        <w:tc>
          <w:tcPr>
            <w:tcW w:w="9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(115 )</w:t>
            </w: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 prepaid expenses and other current assets</w:t>
            </w:r>
          </w:p>
        </w:tc>
        <w:tc>
          <w:tcPr>
            <w:tcW w:w="9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1"/>
              </w:rPr>
              <w:t>(10,869 )</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1,893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(558 )</w:t>
            </w:r>
          </w:p>
        </w:tc>
      </w:tr>
      <w:tr>
        <w:trPr>
          <w:trHeight w:val="203"/>
        </w:trPr>
        <w:tc>
          <w:tcPr>
            <w:tcW w:w="61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assets and liabilities</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(155 )</w:t>
            </w:r>
          </w:p>
        </w:tc>
        <w:tc>
          <w:tcPr>
            <w:tcW w:w="9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(140 )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(159 )</w:t>
            </w:r>
          </w:p>
        </w:tc>
      </w:tr>
      <w:tr>
        <w:trPr>
          <w:trHeight w:val="203"/>
        </w:trPr>
        <w:tc>
          <w:tcPr>
            <w:tcW w:w="614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681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(631 )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(5,582 )</w:t>
            </w:r>
          </w:p>
        </w:tc>
      </w:tr>
      <w:tr>
        <w:trPr>
          <w:trHeight w:val="203"/>
        </w:trPr>
        <w:tc>
          <w:tcPr>
            <w:tcW w:w="61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(5,000 )</w:t>
            </w:r>
          </w:p>
        </w:tc>
        <w:tc>
          <w:tcPr>
            <w:tcW w:w="9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7"/>
                <w:szCs w:val="17"/>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7"/>
                <w:szCs w:val="17"/>
                <w:color w:val="auto"/>
              </w:rPr>
            </w:pP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1"/>
              </w:rPr>
              <w:t>(10,733 )</w:t>
            </w:r>
          </w:p>
        </w:tc>
        <w:tc>
          <w:tcPr>
            <w:tcW w:w="92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88"/>
              </w:rPr>
              <w:t>(13,120 )</w:t>
            </w:r>
          </w:p>
        </w:tc>
        <w:tc>
          <w:tcPr>
            <w:tcW w:w="36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(27,068 )</w:t>
            </w: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Maturities of available-for-sale-investments</w:t>
            </w:r>
          </w:p>
        </w:tc>
        <w:tc>
          <w:tcPr>
            <w:tcW w:w="9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32,950</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of property and equipment</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(55 )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
        </w:trPr>
        <w:tc>
          <w:tcPr>
            <w:tcW w:w="6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(55 )</w:t>
            </w:r>
          </w:p>
        </w:tc>
        <w:tc>
          <w:tcPr>
            <w:tcW w:w="3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32,925</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Proceeds from at-the-market sales agreement, net of issuance costs</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12,205</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11,958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10,319</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registered direct offering, net of issuance costs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11,078</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Proceeds from private placement, net of issuance costs</w:t>
            </w:r>
          </w:p>
        </w:tc>
        <w:tc>
          <w:tcPr>
            <w:tcW w:w="9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3,324</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shares issued under employee stock purchase plan</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issuance of long-term debt</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Principal payments made on long-term debt</w:t>
            </w:r>
          </w:p>
        </w:tc>
        <w:tc>
          <w:tcPr>
            <w:tcW w:w="9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(5,340 )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(5,000 )</w:t>
            </w:r>
          </w:p>
        </w:tc>
      </w:tr>
      <w:tr>
        <w:trPr>
          <w:trHeight w:val="196"/>
        </w:trPr>
        <w:tc>
          <w:tcPr>
            <w:tcW w:w="61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23,782</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7,867</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8,695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13,049</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(5,308 )</w:t>
            </w:r>
          </w:p>
        </w:tc>
        <w:tc>
          <w:tcPr>
            <w:tcW w:w="3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14,552</w:t>
            </w:r>
          </w:p>
        </w:tc>
        <w:tc>
          <w:tcPr>
            <w:tcW w:w="80" w:type="dxa"/>
            <w:vAlign w:val="bottom"/>
          </w:tcPr>
          <w:p>
            <w:pPr>
              <w:spacing w:after="0"/>
              <w:rPr>
                <w:sz w:val="17"/>
                <w:szCs w:val="17"/>
                <w:color w:val="auto"/>
              </w:rPr>
            </w:pPr>
          </w:p>
        </w:tc>
      </w:tr>
      <w:tr>
        <w:trPr>
          <w:trHeight w:val="203"/>
        </w:trPr>
        <w:tc>
          <w:tcPr>
            <w:tcW w:w="61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17,647</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22,955</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8,403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 of period</w:t>
            </w:r>
          </w:p>
        </w:tc>
        <w:tc>
          <w:tcPr>
            <w:tcW w:w="920" w:type="dxa"/>
            <w:vAlign w:val="bottom"/>
            <w:tcBorders>
              <w:bottom w:val="single" w:sz="8" w:color="auto"/>
            </w:tcBorders>
          </w:tcPr>
          <w:p>
            <w:pPr>
              <w:jc w:val="right"/>
              <w:ind w:right="734"/>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30,696</w:t>
            </w: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ind w:right="73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17,647</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22,955</w:t>
            </w:r>
          </w:p>
        </w:tc>
        <w:tc>
          <w:tcPr>
            <w:tcW w:w="8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1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w:t>
            </w:r>
          </w:p>
        </w:tc>
        <w:tc>
          <w:tcPr>
            <w:tcW w:w="9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Interest paid</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2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c>
          <w:tcPr>
            <w:tcW w:w="8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Forgiveness of PPP Loan and accrued interest</w:t>
            </w:r>
          </w:p>
        </w:tc>
        <w:tc>
          <w:tcPr>
            <w:tcW w:w="920" w:type="dxa"/>
            <w:vAlign w:val="bottom"/>
            <w:shd w:val="clear" w:color="auto" w:fill="CFF0FC"/>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998</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-2636520</wp:posOffset>
            </wp:positionV>
            <wp:extent cx="5969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-2636520</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-2636520</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-2113915</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-2113915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-2113915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-810895</wp:posOffset>
            </wp:positionV>
            <wp:extent cx="596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-810895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-810895</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-544830</wp:posOffset>
            </wp:positionV>
            <wp:extent cx="596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-544830</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-544830</wp:posOffset>
            </wp:positionV>
            <wp:extent cx="5143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203"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30,436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17,287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0"/>
              <w:spacing w:after="0" w:line="162" w:lineRule="exact"/>
              <w:rPr>
                <w:sz w:val="20"/>
                <w:szCs w:val="20"/>
                <w:color w:val="auto"/>
              </w:rPr>
            </w:pPr>
            <w:r>
              <w:rPr>
                <w:rFonts w:ascii="Arial" w:cs="Arial" w:eastAsia="Arial" w:hAnsi="Arial"/>
                <w:sz w:val="18"/>
                <w:szCs w:val="18"/>
                <w:color w:val="auto"/>
              </w:rPr>
              <w:t>Restricted cash ($100 as of December 31, 2021 is recorded in</w:t>
            </w:r>
          </w:p>
        </w:tc>
        <w:tc>
          <w:tcPr>
            <w:tcW w:w="8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Cash, cash equivalents and restricted cash at end of period</w:t>
            </w:r>
          </w:p>
        </w:tc>
        <w:tc>
          <w:tcPr>
            <w:tcW w:w="840" w:type="dxa"/>
            <w:vAlign w:val="bottom"/>
            <w:tcBorders>
              <w:bottom w:val="single" w:sz="8" w:color="auto"/>
            </w:tcBorders>
            <w:shd w:val="clear" w:color="auto" w:fill="CFF0FC"/>
          </w:tcPr>
          <w:p>
            <w:pPr>
              <w:jc w:val="right"/>
              <w:ind w:right="636"/>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30,696</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17,647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22,955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1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Clearside Biomedical, Inc. (the “Company”) is a biopharmaceutical company focused on revolutionizing the delivery of therapies to the back of the eye through the suprachoroidal space (SCS). Incorporated in the State of Delaware on May 26, 2011, the Company has its corporate headquarters in Alpharetta, Georgia.</w:t>
      </w:r>
    </w:p>
    <w:p>
      <w:pPr>
        <w:spacing w:after="0" w:line="18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Company's licensees successfully commercialize XIPERE, its other licensees receive regulatory approval and successfully commercialize such licensees' product candidates or the Company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The Company had cash and cash equivalents of $30.4 million as of December 31, 2021. 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 During the year ended December 31, 2021, the Company sold 2.9 million shares of its common stock for net proceeds of $12.2 million under its at-the-market agreement with Cowen and Company, LLC.</w:t>
      </w:r>
    </w:p>
    <w:p>
      <w:pPr>
        <w:spacing w:after="0" w:line="155" w:lineRule="exact"/>
        <w:rPr>
          <w:sz w:val="20"/>
          <w:szCs w:val="20"/>
          <w:color w:val="auto"/>
        </w:rPr>
      </w:pPr>
    </w:p>
    <w:p>
      <w:pPr>
        <w:ind w:right="300" w:firstLine="509"/>
        <w:spacing w:after="0" w:line="241" w:lineRule="auto"/>
        <w:rPr>
          <w:sz w:val="20"/>
          <w:szCs w:val="20"/>
          <w:color w:val="auto"/>
        </w:rPr>
      </w:pPr>
      <w:r>
        <w:rPr>
          <w:rFonts w:ascii="Arial" w:cs="Arial" w:eastAsia="Arial" w:hAnsi="Arial"/>
          <w:sz w:val="18"/>
          <w:szCs w:val="18"/>
          <w:color w:val="auto"/>
        </w:rPr>
        <w:t>In August 2021, the Company entered into an amendment to the Arctic Vision License Agreement (as defined in Note 10 - License and Other Agreements)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territories covered by the license to include Australia and New Zealand. The Company received an aggregate of $3.0 million in consideration for the expansion of the licensed territory.</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October 25, 2021, the Company announced that the U.S. Food and Drug Administration (the "FDA") approved XIPERE (triamcinolone acetonide injectable suspension) for the treatment of macular edema associated with uveitis, a form of eye inflammation. The Company received an aggregate of $9.0 million in milestone payments related to the approval of XIPERE from Arctic Vision (Hong Kong) Limited and Bausch + Lomb. In addition, in January 2022, the Company received a $10.0 million milestone payment from Bausch upon completion of pre-launch activities for XIPERE. The $10.0 million was recorded as revenue in the fourth quarter of 2021 and is included in accounts receivable as of December 31, 2021. Bausch expects to launch XIPERE in the United States in the first quarter of 2022.</w:t>
      </w:r>
    </w:p>
    <w:p>
      <w:pPr>
        <w:spacing w:after="0" w:line="189"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ind w:right="140" w:firstLine="8"/>
        <w:spacing w:after="0" w:line="303" w:lineRule="auto"/>
        <w:tabs>
          <w:tab w:leader="none" w:pos="3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140"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has funded its operations primarily through the proceeds from public offerings of its common stock, sales of convertible preferred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additional financing to prepare for the potential commercialization of its product candidates, if the Company decides to commercialize the products on its 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Company has suffered recurring losses and negative cash flows from operations since inception and anticipates incurring additional losses until such time, if ever, that it can obtain generate significant revenue from commercializing its first approved product, XIPERE (triamcinolone acetonide suprachoroidal injectable suspension formulated for administration to the back of the eye), with its licensees. In the absence of product or other revenues, the amount, timing, nature or source of which cannot be predicted, the Company’s losses will continue as it conducts its research and development activities.</w:t>
      </w:r>
    </w:p>
    <w:p>
      <w:pPr>
        <w:spacing w:after="0" w:line="189" w:lineRule="exact"/>
        <w:rPr>
          <w:sz w:val="20"/>
          <w:szCs w:val="20"/>
          <w:color w:val="auto"/>
        </w:rPr>
      </w:pPr>
    </w:p>
    <w:p>
      <w:pPr>
        <w:jc w:val="both"/>
        <w:ind w:right="240" w:firstLine="509"/>
        <w:spacing w:after="0" w:line="270" w:lineRule="auto"/>
        <w:rPr>
          <w:sz w:val="20"/>
          <w:szCs w:val="20"/>
          <w:color w:val="auto"/>
        </w:rPr>
      </w:pPr>
      <w:r>
        <w:rPr>
          <w:rFonts w:ascii="Arial" w:cs="Arial" w:eastAsia="Arial" w:hAnsi="Arial"/>
          <w:sz w:val="17"/>
          <w:szCs w:val="17"/>
          <w:color w:val="auto"/>
        </w:rPr>
        <w:t>Based on its current plans and forecasted expenses, the Company expects that its cash and cash equivalents as of the filing date, March 11, 2022, will enable it to fund its planned operating expenses and capital expenditure requirements into the second quarter of 2023. The Company has based this estimate on assumptions that may prove to be wrong, and it could exhaust its capital resources sooner than expected.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212"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The COVID-19 pandemic is expected to continue to result in a global slowdown of economic activity.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it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163" w:lineRule="exact"/>
        <w:rPr>
          <w:sz w:val="20"/>
          <w:szCs w:val="20"/>
          <w:color w:val="auto"/>
        </w:rPr>
      </w:pPr>
    </w:p>
    <w:p>
      <w:pPr>
        <w:ind w:right="380" w:firstLine="509"/>
        <w:spacing w:after="0" w:line="241"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7" w:name="page78"/>
    <w:bookmarkEnd w:id="7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w:t>
      </w:r>
    </w:p>
    <w:p>
      <w:pPr>
        <w:spacing w:after="0" w:line="21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All debt discounts are recorded against the related debt obligation and are amortized using the effective interest rate method over the term of the underlying debt obligation and reflected in interest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2020. Due to its history of operating losses since inception and losses expected to be incurred in the foreseeable future, a full valuation allowance was considered necessary.</w:t>
      </w:r>
    </w:p>
    <w:p>
      <w:pPr>
        <w:spacing w:after="0" w:line="17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estimating and measuring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04" w:lineRule="exact"/>
        <w:rPr>
          <w:sz w:val="20"/>
          <w:szCs w:val="20"/>
          <w:color w:val="auto"/>
        </w:rPr>
      </w:pPr>
    </w:p>
    <w:p>
      <w:pPr>
        <w:ind w:left="1020" w:right="6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preclinical and clinical development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1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8" w:name="page79"/>
    <w:bookmarkEnd w:id="7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incurred. Payments for these activities are based on the terms of the individual contracts and any subsequent amendments, which may differ from the patterns of costs incurred, and are reflected in the financial statements as prepaid or accrued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2" w:lineRule="exact"/>
        <w:rPr>
          <w:sz w:val="20"/>
          <w:szCs w:val="20"/>
          <w:color w:val="auto"/>
        </w:rPr>
      </w:pPr>
    </w:p>
    <w:p>
      <w:pPr>
        <w:jc w:val="both"/>
        <w:ind w:right="140" w:firstLine="509"/>
        <w:spacing w:after="0" w:line="270" w:lineRule="auto"/>
        <w:rPr>
          <w:sz w:val="20"/>
          <w:szCs w:val="20"/>
          <w:color w:val="auto"/>
        </w:rPr>
      </w:pPr>
      <w:r>
        <w:rPr>
          <w:rFonts w:ascii="Arial" w:cs="Arial" w:eastAsia="Arial" w:hAnsi="Arial"/>
          <w:sz w:val="17"/>
          <w:szCs w:val="17"/>
          <w:color w:val="auto"/>
        </w:rPr>
        <w:t>Compensation cost related to share-based awards granted to employees, directors and consultants is measured based on the estimated fair value of the award at the grant date. The fair value of restricted stock units granted is measured based on the market value of the Company’s common stock on the date of grant. Share-based compensation costs are expensed on a straight-line basis over the relevant vesting period.</w:t>
      </w:r>
    </w:p>
    <w:p>
      <w:pPr>
        <w:spacing w:after="0" w:line="16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18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2021, the restricted cash balance was invested in a commercial money market account. The current portion of the restricted cash is recorded in other current assets and the long-term portion is recorded in restricted cash.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21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In December 2019, the FASB issued Accounting Standards Update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(“ASU 2019-12”), which simplifies the accounting for income taxes by removing certain exceptions related to the approach for intraperiod</w:t>
      </w:r>
      <w:r>
        <w:rPr>
          <w:rFonts w:ascii="Arial" w:cs="Arial" w:eastAsia="Arial" w:hAnsi="Arial"/>
          <w:sz w:val="16"/>
          <w:szCs w:val="16"/>
          <w:i w:val="1"/>
          <w:iCs w:val="1"/>
          <w:color w:val="auto"/>
        </w:rPr>
        <w:t xml:space="preserve"> </w:t>
      </w:r>
      <w:r>
        <w:rPr>
          <w:rFonts w:ascii="Arial" w:cs="Arial" w:eastAsia="Arial" w:hAnsi="Arial"/>
          <w:sz w:val="16"/>
          <w:szCs w:val="16"/>
          <w:color w:val="auto"/>
        </w:rPr>
        <w:t>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Company adopted ASU 2019-12 on January 1, 2021, and the adoption did not have a material impact on its financial statements and related disclosures.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00" w:type="dxa"/>
            <w:vAlign w:val="bottom"/>
            <w:gridSpan w:val="2"/>
          </w:tcPr>
          <w:p>
            <w:pPr>
              <w:jc w:val="center"/>
              <w:ind w:left="55"/>
              <w:spacing w:after="0" w:line="149" w:lineRule="exact"/>
              <w:rPr>
                <w:sz w:val="20"/>
                <w:szCs w:val="20"/>
                <w:color w:val="auto"/>
              </w:rPr>
            </w:pPr>
            <w:r>
              <w:rPr>
                <w:rFonts w:ascii="Arial" w:cs="Arial" w:eastAsia="Arial" w:hAnsi="Arial"/>
                <w:sz w:val="14"/>
                <w:szCs w:val="14"/>
                <w:b w:val="1"/>
                <w:bCs w:val="1"/>
                <w:color w:val="auto"/>
                <w:w w:val="92"/>
              </w:rPr>
              <w:t>Useful Lives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0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Furniture and fixtures</w:t>
            </w:r>
          </w:p>
        </w:tc>
        <w:tc>
          <w:tcPr>
            <w:tcW w:w="1100" w:type="dxa"/>
            <w:vAlign w:val="bottom"/>
            <w:gridSpan w:val="2"/>
            <w:shd w:val="clear" w:color="auto" w:fill="CFF0FC"/>
          </w:tcPr>
          <w:p>
            <w:pPr>
              <w:jc w:val="center"/>
              <w:ind w:left="75"/>
              <w:spacing w:after="0" w:line="196" w:lineRule="exact"/>
              <w:rPr>
                <w:sz w:val="20"/>
                <w:szCs w:val="20"/>
                <w:color w:val="auto"/>
              </w:rPr>
            </w:pPr>
            <w:r>
              <w:rPr>
                <w:rFonts w:ascii="Arial" w:cs="Arial" w:eastAsia="Arial" w:hAnsi="Arial"/>
                <w:sz w:val="18"/>
                <w:szCs w:val="18"/>
                <w:color w:val="auto"/>
                <w:w w:val="99"/>
              </w:rPr>
              <w:t>5</w:t>
            </w:r>
          </w:p>
        </w:tc>
        <w:tc>
          <w:tcPr>
            <w:tcW w:w="280" w:type="dxa"/>
            <w:vAlign w:val="bottom"/>
            <w:gridSpan w:val="2"/>
            <w:shd w:val="clear" w:color="auto" w:fill="CFF0FC"/>
          </w:tcPr>
          <w:p>
            <w:pPr>
              <w:spacing w:after="0"/>
              <w:rPr>
                <w:sz w:val="17"/>
                <w:szCs w:val="17"/>
                <w:color w:val="auto"/>
              </w:rPr>
            </w:pPr>
          </w:p>
        </w:tc>
        <w:tc>
          <w:tcPr>
            <w:tcW w:w="500" w:type="dxa"/>
            <w:vAlign w:val="bottom"/>
            <w:shd w:val="clear" w:color="auto" w:fill="CFF0FC"/>
          </w:tcPr>
          <w:p>
            <w:pPr>
              <w:jc w:val="right"/>
              <w:ind w:right="319"/>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Machinery and equipment</w:t>
            </w:r>
          </w:p>
        </w:tc>
        <w:tc>
          <w:tcPr>
            <w:tcW w:w="1100" w:type="dxa"/>
            <w:vAlign w:val="bottom"/>
            <w:gridSpan w:val="2"/>
          </w:tcPr>
          <w:p>
            <w:pPr>
              <w:jc w:val="center"/>
              <w:ind w:left="75"/>
              <w:spacing w:after="0" w:line="202" w:lineRule="exact"/>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Computer equipment</w:t>
            </w:r>
          </w:p>
        </w:tc>
        <w:tc>
          <w:tcPr>
            <w:tcW w:w="1100" w:type="dxa"/>
            <w:vAlign w:val="bottom"/>
            <w:gridSpan w:val="2"/>
            <w:shd w:val="clear" w:color="auto" w:fill="CFF0FC"/>
          </w:tcPr>
          <w:p>
            <w:pPr>
              <w:jc w:val="center"/>
              <w:ind w:left="75"/>
              <w:spacing w:after="0" w:line="202" w:lineRule="exact"/>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gridSpan w:val="2"/>
          </w:tcPr>
          <w:p>
            <w:pPr>
              <w:jc w:val="center"/>
              <w:ind w:left="75"/>
              <w:spacing w:after="0" w:line="162" w:lineRule="exact"/>
              <w:rPr>
                <w:sz w:val="20"/>
                <w:szCs w:val="20"/>
                <w:color w:val="auto"/>
              </w:rPr>
            </w:pPr>
            <w:r>
              <w:rPr>
                <w:rFonts w:ascii="Arial" w:cs="Arial" w:eastAsia="Arial" w:hAnsi="Arial"/>
                <w:sz w:val="18"/>
                <w:szCs w:val="18"/>
                <w:color w:val="auto"/>
                <w:w w:val="89"/>
              </w:rPr>
              <w:t>Lesser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00" w:type="dxa"/>
            <w:vAlign w:val="bottom"/>
            <w:gridSpan w:val="2"/>
          </w:tcPr>
          <w:p>
            <w:pPr>
              <w:jc w:val="center"/>
              <w:ind w:left="55"/>
              <w:spacing w:after="0" w:line="176" w:lineRule="exact"/>
              <w:rPr>
                <w:sz w:val="20"/>
                <w:szCs w:val="20"/>
                <w:color w:val="auto"/>
              </w:rPr>
            </w:pPr>
            <w:r>
              <w:rPr>
                <w:rFonts w:ascii="Arial" w:cs="Arial" w:eastAsia="Arial" w:hAnsi="Arial"/>
                <w:sz w:val="18"/>
                <w:szCs w:val="18"/>
                <w:color w:val="auto"/>
                <w:w w:val="94"/>
              </w:rPr>
              <w:t>useful life or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gridSpan w:val="2"/>
          </w:tcPr>
          <w:p>
            <w:pPr>
              <w:jc w:val="center"/>
              <w:ind w:left="75"/>
              <w:spacing w:after="0" w:line="176" w:lineRule="exact"/>
              <w:rPr>
                <w:sz w:val="20"/>
                <w:szCs w:val="20"/>
                <w:color w:val="auto"/>
              </w:rPr>
            </w:pPr>
            <w:r>
              <w:rPr>
                <w:rFonts w:ascii="Arial" w:cs="Arial" w:eastAsia="Arial" w:hAnsi="Arial"/>
                <w:sz w:val="18"/>
                <w:szCs w:val="18"/>
                <w:color w:val="auto"/>
                <w:w w:val="93"/>
              </w:rPr>
              <w:t>remaining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40" w:type="dxa"/>
            <w:vAlign w:val="bottom"/>
            <w:gridSpan w:val="2"/>
            <w:vMerge w:val="continue"/>
          </w:tcPr>
          <w:p>
            <w:pPr>
              <w:spacing w:after="0"/>
              <w:rPr>
                <w:sz w:val="17"/>
                <w:szCs w:val="17"/>
                <w:color w:val="auto"/>
              </w:rPr>
            </w:pPr>
          </w:p>
        </w:tc>
        <w:tc>
          <w:tcPr>
            <w:tcW w:w="1100" w:type="dxa"/>
            <w:vAlign w:val="bottom"/>
            <w:gridSpan w:val="2"/>
          </w:tcPr>
          <w:p>
            <w:pPr>
              <w:jc w:val="center"/>
              <w:ind w:left="75"/>
              <w:spacing w:after="0" w:line="202" w:lineRule="exact"/>
              <w:rPr>
                <w:sz w:val="20"/>
                <w:szCs w:val="20"/>
                <w:color w:val="auto"/>
              </w:rPr>
            </w:pPr>
            <w:r>
              <w:rPr>
                <w:rFonts w:ascii="Arial" w:cs="Arial" w:eastAsia="Arial" w:hAnsi="Arial"/>
                <w:sz w:val="18"/>
                <w:szCs w:val="18"/>
                <w:color w:val="auto"/>
                <w:w w:val="88"/>
              </w:rPr>
              <w:t>lease term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4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6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1,193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(955 )</w:t>
            </w:r>
          </w:p>
        </w:tc>
        <w:tc>
          <w:tcPr>
            <w:tcW w:w="160" w:type="dxa"/>
            <w:vAlign w:val="bottom"/>
          </w:tcPr>
          <w:p>
            <w:pPr>
              <w:spacing w:after="0"/>
              <w:rPr>
                <w:sz w:val="17"/>
                <w:szCs w:val="17"/>
                <w:color w:val="auto"/>
              </w:rPr>
            </w:pP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(777 )</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04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6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9"/>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4. Accrued Liabilities</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18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w:t>
            </w:r>
          </w:p>
        </w:tc>
        <w:tc>
          <w:tcPr>
            <w:tcW w:w="6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1,083</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Accrued employee costs</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1,854</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88"/>
              </w:rPr>
              <w:t>1,132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fees</w:t>
            </w:r>
          </w:p>
        </w:tc>
        <w:tc>
          <w:tcPr>
            <w:tcW w:w="6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Accrued expense</w:t>
            </w:r>
          </w:p>
        </w:tc>
        <w:tc>
          <w:tcPr>
            <w:tcW w:w="6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3,312</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1,582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-1790700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-1774190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-1790700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-1774190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431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212" w:lineRule="exact"/>
        <w:rPr>
          <w:sz w:val="20"/>
          <w:szCs w:val="20"/>
          <w:color w:val="auto"/>
        </w:rPr>
      </w:pPr>
    </w:p>
    <w:p>
      <w:pPr>
        <w:ind w:right="20" w:firstLine="509"/>
        <w:spacing w:after="0" w:line="220" w:lineRule="auto"/>
        <w:rPr>
          <w:sz w:val="20"/>
          <w:szCs w:val="20"/>
          <w:color w:val="auto"/>
        </w:rPr>
      </w:pPr>
      <w:r>
        <w:rPr>
          <w:rFonts w:ascii="Arial" w:cs="Arial" w:eastAsia="Arial" w:hAnsi="Arial"/>
          <w:sz w:val="17"/>
          <w:szCs w:val="17"/>
          <w:color w:val="auto"/>
        </w:rPr>
        <w:t>On May 14, 2018, the Company entered into a second amended and restated loan and security agreement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A&amp;R Loan Agreement”) with Silicon Valley Bank (“SVB”), MidCap Funding III Trust and MidCap Financial Trust (together, “MidCap” and collectively with SVB, the “Lenders”).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A&amp;R Loan Agreement provided for new term loans of up to $20.0 million, with a floating interest rate equal to 6.50% plus the greater of (i) the 30-day U.S. LIBOR, as reported in the Wall Street Journal on the last business day of the month the immediately precedes the month in which the interest will accrue, or (ii) 1.89%.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A&amp;R Loan Agreement included, among other things, the ability of the Lenders to accelerate the payment of the term loan in the event of a material adverse change and restrictions on the Company’s ability to sell, assign, license, transfer or otherwise dispose of its assets, including intellectual property assets, without the prior written consent of the Lenders.</w:t>
      </w:r>
    </w:p>
    <w:p>
      <w:pPr>
        <w:spacing w:after="0" w:line="18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7"/>
          <w:szCs w:val="17"/>
          <w:color w:val="auto"/>
        </w:rPr>
        <w:t>The Company borrowed an initial tranche of $10.0 million on May 14, 2018, of which $7.0 million was used to repay all amounts outstanding under a prior loan agreement, including fees associated with the final payment. The prepayment fees were waived. Of the remaining $10.0 million available under the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A&amp;R loan agreement, the Company elected not to draw $5.0 million and the other $5.0 million was not available for draw.</w:t>
      </w:r>
    </w:p>
    <w:p>
      <w:pPr>
        <w:spacing w:after="0" w:line="70" w:lineRule="exact"/>
        <w:rPr>
          <w:sz w:val="20"/>
          <w:szCs w:val="20"/>
          <w:color w:val="auto"/>
        </w:rPr>
      </w:pPr>
    </w:p>
    <w:p>
      <w:pPr>
        <w:ind w:right="120" w:firstLine="509"/>
        <w:spacing w:after="0" w:line="228" w:lineRule="auto"/>
        <w:rPr>
          <w:sz w:val="20"/>
          <w:szCs w:val="20"/>
          <w:color w:val="auto"/>
        </w:rPr>
      </w:pPr>
      <w:r>
        <w:rPr>
          <w:rFonts w:ascii="Arial" w:cs="Arial" w:eastAsia="Arial" w:hAnsi="Arial"/>
          <w:sz w:val="18"/>
          <w:szCs w:val="18"/>
          <w:color w:val="auto"/>
        </w:rPr>
        <w:t>On October 18, 2019, the Company entered into an amendment to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A&amp;R Loan Agreement with the Lenders. Pursuant to the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provided for interest only payments through October 31, 2020, followed by consecutive equal monthly payments of principal and interest in arrears continuing through the maturity date of October 1, 2022. The Company had the option to prepay the outstanding balance in full, subject to a prepayment fee. A final payment of 5.50% of the aggregate borrowed amount was due at maturity of the loan on October 1, 2022,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380"/>
        <w:spacing w:after="0" w:line="215" w:lineRule="auto"/>
        <w:rPr>
          <w:sz w:val="20"/>
          <w:szCs w:val="20"/>
          <w:color w:val="auto"/>
        </w:rPr>
      </w:pPr>
      <w:r>
        <w:rPr>
          <w:rFonts w:ascii="Arial" w:cs="Arial" w:eastAsia="Arial" w:hAnsi="Arial"/>
          <w:sz w:val="18"/>
          <w:szCs w:val="18"/>
          <w:color w:val="auto"/>
        </w:rPr>
        <w:t>upon the prepayment of the facility or the acceleration of amounts due under the facility as a result of an event of default. The term loans under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A&amp;R loan agreement were secured by substantially all of the Company’s assets.</w:t>
      </w:r>
    </w:p>
    <w:p>
      <w:pPr>
        <w:spacing w:after="0" w:line="188" w:lineRule="exact"/>
        <w:rPr>
          <w:sz w:val="20"/>
          <w:szCs w:val="20"/>
          <w:color w:val="auto"/>
        </w:rPr>
      </w:pPr>
    </w:p>
    <w:p>
      <w:pPr>
        <w:ind w:right="20" w:firstLine="509"/>
        <w:spacing w:after="0" w:line="221" w:lineRule="auto"/>
        <w:rPr>
          <w:sz w:val="20"/>
          <w:szCs w:val="20"/>
          <w:color w:val="auto"/>
        </w:rPr>
      </w:pPr>
      <w:r>
        <w:rPr>
          <w:rFonts w:ascii="Arial" w:cs="Arial" w:eastAsia="Arial" w:hAnsi="Arial"/>
          <w:sz w:val="18"/>
          <w:szCs w:val="18"/>
          <w:color w:val="auto"/>
        </w:rPr>
        <w:t>On May 7, 2020, due to various restrictions and other limiting covenants of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A&amp;R Loan Agreement, the Company prepaid in full the outstanding $5.0 million principal balance, plus $0.3 million reflecting the final payment fee and accrued interest. The prepayment fees were waived by the Lenders.</w:t>
      </w:r>
    </w:p>
    <w:p>
      <w:pPr>
        <w:spacing w:after="0" w:line="188"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Interest expense on the borrowings under the loan agreements described above was $147,000 and $804,000 for the years ended December 31, 2020 and 2019, respectively. Accretion of the scheduled final payment was $59,000 and $163,000 for the years ended December 31, 2020 and 2019, respectively. Accretion of the deferred closing costs was $129,000 and $67,000 for the years ended December 31, 2020 and 2019,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216" w:lineRule="exact"/>
        <w:rPr>
          <w:sz w:val="20"/>
          <w:szCs w:val="20"/>
          <w:color w:val="auto"/>
        </w:rPr>
      </w:pPr>
    </w:p>
    <w:p>
      <w:pPr>
        <w:jc w:val="both"/>
        <w:ind w:right="60" w:firstLine="958"/>
        <w:spacing w:after="0" w:line="243" w:lineRule="auto"/>
        <w:rPr>
          <w:sz w:val="20"/>
          <w:szCs w:val="20"/>
          <w:color w:val="auto"/>
        </w:rPr>
      </w:pPr>
      <w:r>
        <w:rPr>
          <w:rFonts w:ascii="Arial" w:cs="Arial" w:eastAsia="Arial" w:hAnsi="Arial"/>
          <w:sz w:val="18"/>
          <w:szCs w:val="18"/>
          <w:color w:val="auto"/>
        </w:rPr>
        <w:t>On April 20, 2020, the Company entered into a loan agreement with SVB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was evidenced by a promissory note (the “Note”) containing the terms and conditions for repayment of the PPP Loan.</w:t>
      </w:r>
    </w:p>
    <w:p>
      <w:pPr>
        <w:spacing w:after="0" w:line="188" w:lineRule="exact"/>
        <w:rPr>
          <w:sz w:val="20"/>
          <w:szCs w:val="20"/>
          <w:color w:val="auto"/>
        </w:rPr>
      </w:pPr>
    </w:p>
    <w:p>
      <w:pPr>
        <w:jc w:val="both"/>
        <w:ind w:right="40" w:firstLine="958"/>
        <w:spacing w:after="0" w:line="248" w:lineRule="auto"/>
        <w:rPr>
          <w:sz w:val="20"/>
          <w:szCs w:val="20"/>
          <w:color w:val="auto"/>
        </w:rPr>
      </w:pPr>
      <w:r>
        <w:rPr>
          <w:rFonts w:ascii="Arial" w:cs="Arial" w:eastAsia="Arial" w:hAnsi="Arial"/>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182" w:lineRule="exact"/>
        <w:rPr>
          <w:sz w:val="20"/>
          <w:szCs w:val="20"/>
          <w:color w:val="auto"/>
        </w:rPr>
      </w:pPr>
    </w:p>
    <w:p>
      <w:pPr>
        <w:ind w:right="60" w:firstLine="958"/>
        <w:spacing w:after="0" w:line="243" w:lineRule="auto"/>
        <w:rPr>
          <w:sz w:val="20"/>
          <w:szCs w:val="20"/>
          <w:color w:val="auto"/>
        </w:rPr>
      </w:pPr>
      <w:r>
        <w:rPr>
          <w:rFonts w:ascii="Arial" w:cs="Arial" w:eastAsia="Arial" w:hAnsi="Arial"/>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 the income from the forgiveness of the amount borrowed and the accrued interest was recognized in the statement of operations in other income as a gain on extinguishment of debt.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and Common Stock</w:t>
      </w:r>
    </w:p>
    <w:p>
      <w:pPr>
        <w:spacing w:after="0" w:line="216" w:lineRule="exact"/>
        <w:rPr>
          <w:sz w:val="20"/>
          <w:szCs w:val="20"/>
          <w:color w:val="auto"/>
        </w:rPr>
      </w:pPr>
    </w:p>
    <w:p>
      <w:pPr>
        <w:ind w:right="620" w:firstLine="509"/>
        <w:spacing w:after="0" w:line="248" w:lineRule="auto"/>
        <w:rPr>
          <w:sz w:val="20"/>
          <w:szCs w:val="20"/>
          <w:color w:val="auto"/>
        </w:rPr>
      </w:pPr>
      <w:r>
        <w:rPr>
          <w:rFonts w:ascii="Arial" w:cs="Arial" w:eastAsia="Arial" w:hAnsi="Arial"/>
          <w:sz w:val="18"/>
          <w:szCs w:val="18"/>
          <w:color w:val="auto"/>
        </w:rPr>
        <w:t>The Company’s amended and restated certificate of incorporation authorizes the Company to issue 10,000,000 shares of $0.001 par value of preferred stock. As of December 31, 2021 and 2020, there were 10,000,000 shares of preferred stock authorized, none of which were issued and outstanding.</w:t>
      </w:r>
    </w:p>
    <w:p>
      <w:pPr>
        <w:spacing w:after="0" w:line="182"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The Company’s amended and restated certificate of incorporation authorizes the Company to issue 100,000,000 shares of $0.001 par value common stock. As of December 31, 2021 and 2020, there were 59,722,930 and 51,860,941 shares of common stock outstanding,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Warrants</w:t>
      </w:r>
    </w:p>
    <w:p>
      <w:pPr>
        <w:spacing w:after="0" w:line="21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In September 2016, in connection with a loan agreement, the Company issued warrants to the lenders to purchase up to 29,796 shares of common stock at a price per share of $10.74. The warrants are fully exercisable and expire in September 2026, or earlier upon the occurrence of specified mergers or acquisitions of the Company. The warrants were recorded in equity at the time of issuance and had a remaining life of 4.75 years as of December 31,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through January 1, 2026, by 4% of the total number of shares of the Company’s common stock outstanding on December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31 of the preceding calendar year, or a lesser number of shares as may be determined by the Company’s board of directors. At December 31, 2021, under the 2016 Plan, options to purchase 5,378,247 shares of the Company’s common stock were outstanding at a weighted average price of $4.13 per share and 382,788 shares remained available for future grant. As of January 1, 2022, the number of shares of common stock that may be issued under the 2016 Plan was automatically increased by 2,388,917 shares, representing 4% of the total number of shares of common stock outstanding on December 31, 2021, increasing the number of shares of common stock available for issuance under the 2016 Plan as of that date to 2,771,705 shares.</w:t>
      </w:r>
    </w:p>
    <w:p>
      <w:pPr>
        <w:spacing w:after="0" w:line="159"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2021, options to purchase 366,845 shares of the Company’s common stock were outstanding under the 2011 Plan at a weighted average exercise price of $2.94 per share.</w:t>
      </w:r>
    </w:p>
    <w:p>
      <w:pPr>
        <w:spacing w:after="0" w:line="147" w:lineRule="exact"/>
        <w:rPr>
          <w:sz w:val="20"/>
          <w:szCs w:val="20"/>
          <w:color w:val="auto"/>
        </w:rPr>
      </w:pPr>
    </w:p>
    <w:p>
      <w:pPr>
        <w:jc w:val="both"/>
        <w:ind w:right="180" w:firstLine="509"/>
        <w:spacing w:after="0" w:line="261" w:lineRule="auto"/>
        <w:rPr>
          <w:sz w:val="20"/>
          <w:szCs w:val="20"/>
          <w:color w:val="auto"/>
        </w:rPr>
      </w:pPr>
      <w:r>
        <w:rPr>
          <w:rFonts w:ascii="Arial" w:cs="Arial" w:eastAsia="Arial" w:hAnsi="Arial"/>
          <w:sz w:val="18"/>
          <w:szCs w:val="18"/>
          <w:color w:val="auto"/>
        </w:rPr>
        <w:t>The Company has granted stock option awards to employees, directors and consultants. The total share-based compensation expense recognized is reflected in the statements of operations as follows (in thousands):</w:t>
      </w:r>
    </w:p>
    <w:p>
      <w:pPr>
        <w:spacing w:after="0" w:line="127"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Year Ended</w:t>
      </w:r>
    </w:p>
    <w:p>
      <w:pPr>
        <w:jc w:val="center"/>
        <w:ind w:left="646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3"/>
        </w:trPr>
        <w:tc>
          <w:tcPr>
            <w:tcW w:w="6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00" w:type="dxa"/>
            <w:vAlign w:val="bottom"/>
            <w:shd w:val="clear" w:color="auto" w:fill="CFF2FA"/>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2FA"/>
          </w:tcPr>
          <w:p>
            <w:pPr>
              <w:jc w:val="right"/>
              <w:ind w:right="693"/>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2FA"/>
          </w:tcPr>
          <w:p>
            <w:pPr>
              <w:jc w:val="right"/>
              <w:spacing w:after="0" w:line="202" w:lineRule="exact"/>
              <w:rPr>
                <w:sz w:val="20"/>
                <w:szCs w:val="20"/>
                <w:color w:val="auto"/>
              </w:rPr>
            </w:pPr>
            <w:r>
              <w:rPr>
                <w:rFonts w:ascii="Arial" w:cs="Arial" w:eastAsia="Arial" w:hAnsi="Arial"/>
                <w:sz w:val="18"/>
                <w:szCs w:val="18"/>
                <w:color w:val="auto"/>
                <w:w w:val="97"/>
              </w:rPr>
              <w:t>1,570</w:t>
            </w:r>
          </w:p>
        </w:tc>
        <w:tc>
          <w:tcPr>
            <w:tcW w:w="1140" w:type="dxa"/>
            <w:vAlign w:val="bottom"/>
            <w:gridSpan w:val="2"/>
            <w:shd w:val="clear" w:color="auto" w:fill="CFF2FA"/>
          </w:tcPr>
          <w:p>
            <w:pPr>
              <w:jc w:val="right"/>
              <w:ind w:right="695"/>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2FA"/>
          </w:tcPr>
          <w:p>
            <w:pPr>
              <w:jc w:val="right"/>
              <w:spacing w:after="0" w:line="202" w:lineRule="exact"/>
              <w:rPr>
                <w:sz w:val="20"/>
                <w:szCs w:val="20"/>
                <w:color w:val="auto"/>
              </w:rPr>
            </w:pPr>
            <w:r>
              <w:rPr>
                <w:rFonts w:ascii="Arial" w:cs="Arial" w:eastAsia="Arial" w:hAnsi="Arial"/>
                <w:sz w:val="18"/>
                <w:szCs w:val="18"/>
                <w:color w:val="auto"/>
                <w:w w:val="93"/>
              </w:rPr>
              <w:t>1,183</w:t>
            </w:r>
          </w:p>
        </w:tc>
        <w:tc>
          <w:tcPr>
            <w:tcW w:w="560" w:type="dxa"/>
            <w:vAlign w:val="bottom"/>
            <w:gridSpan w:val="2"/>
            <w:shd w:val="clear" w:color="auto" w:fill="CFF2FA"/>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2FA"/>
          </w:tcPr>
          <w:p>
            <w:pPr>
              <w:jc w:val="right"/>
              <w:spacing w:after="0" w:line="202" w:lineRule="exact"/>
              <w:rPr>
                <w:sz w:val="20"/>
                <w:szCs w:val="20"/>
                <w:color w:val="auto"/>
              </w:rPr>
            </w:pPr>
            <w:r>
              <w:rPr>
                <w:rFonts w:ascii="Arial" w:cs="Arial" w:eastAsia="Arial" w:hAnsi="Arial"/>
                <w:sz w:val="18"/>
                <w:szCs w:val="18"/>
                <w:color w:val="auto"/>
              </w:rPr>
              <w:t>1,379</w:t>
            </w:r>
          </w:p>
        </w:tc>
        <w:tc>
          <w:tcPr>
            <w:tcW w:w="100" w:type="dxa"/>
            <w:vAlign w:val="bottom"/>
            <w:shd w:val="clear" w:color="auto" w:fill="CFF2FA"/>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1,985</w:t>
            </w: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1,574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2,728</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2FA"/>
            </w:tcBorders>
            <w:shd w:val="clear" w:color="auto" w:fill="CFF2FA"/>
          </w:tcPr>
          <w:p>
            <w:pPr>
              <w:ind w:left="20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2FA"/>
          </w:tcPr>
          <w:p>
            <w:pPr>
              <w:jc w:val="right"/>
              <w:ind w:right="693"/>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2FA"/>
          </w:tcPr>
          <w:p>
            <w:pPr>
              <w:jc w:val="right"/>
              <w:spacing w:after="0" w:line="196" w:lineRule="exact"/>
              <w:rPr>
                <w:sz w:val="20"/>
                <w:szCs w:val="20"/>
                <w:color w:val="auto"/>
              </w:rPr>
            </w:pPr>
            <w:r>
              <w:rPr>
                <w:rFonts w:ascii="Arial" w:cs="Arial" w:eastAsia="Arial" w:hAnsi="Arial"/>
                <w:sz w:val="18"/>
                <w:szCs w:val="18"/>
                <w:color w:val="auto"/>
                <w:w w:val="97"/>
              </w:rPr>
              <w:t>3,555</w:t>
            </w:r>
          </w:p>
        </w:tc>
        <w:tc>
          <w:tcPr>
            <w:tcW w:w="260" w:type="dxa"/>
            <w:vAlign w:val="bottom"/>
            <w:tcBorders>
              <w:bottom w:val="single" w:sz="8" w:color="CFF2FA"/>
            </w:tcBorders>
            <w:shd w:val="clear" w:color="auto" w:fill="CFF2FA"/>
          </w:tcPr>
          <w:p>
            <w:pPr>
              <w:spacing w:after="0"/>
              <w:rPr>
                <w:sz w:val="20"/>
                <w:szCs w:val="20"/>
                <w:color w:val="auto"/>
              </w:rPr>
            </w:pPr>
          </w:p>
        </w:tc>
        <w:tc>
          <w:tcPr>
            <w:tcW w:w="880" w:type="dxa"/>
            <w:vAlign w:val="bottom"/>
            <w:tcBorders>
              <w:bottom w:val="single" w:sz="8" w:color="auto"/>
            </w:tcBorders>
            <w:shd w:val="clear" w:color="auto" w:fill="CFF2FA"/>
          </w:tcPr>
          <w:p>
            <w:pPr>
              <w:jc w:val="right"/>
              <w:ind w:right="695"/>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2FA"/>
          </w:tcPr>
          <w:p>
            <w:pPr>
              <w:jc w:val="right"/>
              <w:spacing w:after="0" w:line="196" w:lineRule="exact"/>
              <w:rPr>
                <w:sz w:val="20"/>
                <w:szCs w:val="20"/>
                <w:color w:val="auto"/>
              </w:rPr>
            </w:pPr>
            <w:r>
              <w:rPr>
                <w:rFonts w:ascii="Arial" w:cs="Arial" w:eastAsia="Arial" w:hAnsi="Arial"/>
                <w:sz w:val="18"/>
                <w:szCs w:val="18"/>
                <w:color w:val="auto"/>
                <w:w w:val="93"/>
              </w:rPr>
              <w:t>2,757</w:t>
            </w:r>
          </w:p>
        </w:tc>
        <w:tc>
          <w:tcPr>
            <w:tcW w:w="260" w:type="dxa"/>
            <w:vAlign w:val="bottom"/>
            <w:tcBorders>
              <w:bottom w:val="single" w:sz="8" w:color="CFF2FA"/>
            </w:tcBorders>
            <w:shd w:val="clear" w:color="auto" w:fill="CFF2FA"/>
          </w:tcPr>
          <w:p>
            <w:pPr>
              <w:spacing w:after="0"/>
              <w:rPr>
                <w:sz w:val="20"/>
                <w:szCs w:val="20"/>
                <w:color w:val="auto"/>
              </w:rPr>
            </w:pPr>
          </w:p>
        </w:tc>
        <w:tc>
          <w:tcPr>
            <w:tcW w:w="300" w:type="dxa"/>
            <w:vAlign w:val="bottom"/>
            <w:tcBorders>
              <w:bottom w:val="single" w:sz="8" w:color="auto"/>
            </w:tcBorders>
            <w:shd w:val="clear" w:color="auto" w:fill="CFF2FA"/>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2FA"/>
          </w:tcPr>
          <w:p>
            <w:pPr>
              <w:jc w:val="right"/>
              <w:spacing w:after="0" w:line="196" w:lineRule="exact"/>
              <w:rPr>
                <w:sz w:val="20"/>
                <w:szCs w:val="20"/>
                <w:color w:val="auto"/>
              </w:rPr>
            </w:pPr>
            <w:r>
              <w:rPr>
                <w:rFonts w:ascii="Arial" w:cs="Arial" w:eastAsia="Arial" w:hAnsi="Arial"/>
                <w:sz w:val="18"/>
                <w:szCs w:val="18"/>
                <w:color w:val="auto"/>
              </w:rPr>
              <w:t>4,107</w:t>
            </w:r>
          </w:p>
        </w:tc>
        <w:tc>
          <w:tcPr>
            <w:tcW w:w="100" w:type="dxa"/>
            <w:vAlign w:val="bottom"/>
            <w:tcBorders>
              <w:bottom w:val="single" w:sz="8" w:color="CFF2FA"/>
            </w:tcBorders>
            <w:shd w:val="clear" w:color="auto" w:fill="CFF2FA"/>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following table sets forth the weighted average assumptions utilized in the Black-Scholes option pricing model to calculate the fair value of the underlying common stock for the years ended December 31, 2021, 2020 and 2019.</w:t>
      </w:r>
    </w:p>
    <w:p>
      <w:pPr>
        <w:spacing w:after="0" w:line="140"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Year Ended</w:t>
      </w:r>
    </w:p>
    <w:p>
      <w:pPr>
        <w:jc w:val="center"/>
        <w:ind w:left="630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4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352"/>
              <w:spacing w:after="0" w:line="183" w:lineRule="exact"/>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52"/>
              <w:spacing w:after="0" w:line="183" w:lineRule="exact"/>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5"/>
                <w:szCs w:val="15"/>
                <w:color w:val="auto"/>
              </w:rPr>
            </w:pPr>
          </w:p>
        </w:tc>
      </w:tr>
      <w:tr>
        <w:trPr>
          <w:trHeight w:val="183"/>
        </w:trPr>
        <w:tc>
          <w:tcPr>
            <w:tcW w:w="6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4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shd w:val="clear" w:color="auto" w:fill="CFF0FC"/>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1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101.43 %</w:t>
            </w:r>
          </w:p>
        </w:tc>
        <w:tc>
          <w:tcPr>
            <w:tcW w:w="1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108.13 %</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109.49 %</w:t>
            </w: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0.75 %</w:t>
            </w:r>
          </w:p>
        </w:tc>
        <w:tc>
          <w:tcPr>
            <w:tcW w:w="16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1.52 %</w:t>
            </w: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2.49 %</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0.00 %</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0.00 %</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0.00 %</w:t>
            </w:r>
          </w:p>
        </w:tc>
      </w:tr>
    </w:tbl>
    <w:p>
      <w:pPr>
        <w:spacing w:after="0" w:line="174"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(in years): The Company utilized the simplified method as prescribed by ASC 718, as the Company does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post-vesting termination data to provide a reasonable basis upon which to estimate the expected term of stock options granted to employees.</w:t>
      </w:r>
    </w:p>
    <w:p>
      <w:pPr>
        <w:spacing w:after="0" w:line="18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similar to the expected time to a</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liquidity event.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in the foreseeable future.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Expected stock price volatility</w:t>
      </w:r>
      <w:r>
        <w:rPr>
          <w:rFonts w:ascii="Arial" w:cs="Arial" w:eastAsia="Arial" w:hAnsi="Arial"/>
          <w:sz w:val="18"/>
          <w:szCs w:val="18"/>
          <w:color w:val="auto"/>
        </w:rPr>
        <w:t>: The Company calculates expected volatility based on the historical volatility of its common stock.</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records forfeitures as they occur.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9560" w:type="dxa"/>
            <w:vAlign w:val="bottom"/>
            <w:gridSpan w:val="4"/>
          </w:tcPr>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year ended December 31, 2021:</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6"/>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88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7"/>
                <w:szCs w:val="17"/>
                <w:color w:val="auto"/>
              </w:rPr>
            </w:pPr>
          </w:p>
        </w:tc>
        <w:tc>
          <w:tcPr>
            <w:tcW w:w="14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7"/>
                <w:szCs w:val="17"/>
                <w:color w:val="auto"/>
              </w:rPr>
            </w:pPr>
          </w:p>
        </w:tc>
      </w:tr>
      <w:tr>
        <w:trPr>
          <w:trHeight w:val="221"/>
        </w:trPr>
        <w:tc>
          <w:tcPr>
            <w:tcW w:w="128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Exercise Price</w:t>
            </w:r>
          </w:p>
        </w:tc>
        <w:tc>
          <w:tcPr>
            <w:tcW w:w="60" w:type="dxa"/>
            <w:vAlign w:val="bottom"/>
          </w:tcPr>
          <w:p>
            <w:pPr>
              <w:spacing w:after="0"/>
              <w:rPr>
                <w:sz w:val="19"/>
                <w:szCs w:val="19"/>
                <w:color w:val="auto"/>
              </w:rPr>
            </w:pPr>
          </w:p>
        </w:tc>
      </w:tr>
      <w:tr>
        <w:trPr>
          <w:trHeight w:val="196"/>
        </w:trPr>
        <w:tc>
          <w:tcPr>
            <w:tcW w:w="12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outstanding at December 31, 2020</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4,248,193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1,794,906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c>
          <w:tcPr>
            <w:tcW w:w="6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Exercised</w:t>
            </w:r>
          </w:p>
        </w:tc>
        <w:tc>
          <w:tcPr>
            <w:tcW w:w="18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(280,771 )</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60" w:type="dxa"/>
            <w:vAlign w:val="bottom"/>
            <w:shd w:val="clear" w:color="auto" w:fill="CFF0FC"/>
          </w:tcPr>
          <w:p>
            <w:pPr>
              <w:spacing w:after="0"/>
              <w:rPr>
                <w:sz w:val="17"/>
                <w:szCs w:val="17"/>
                <w:color w:val="auto"/>
              </w:rPr>
            </w:pPr>
          </w:p>
        </w:tc>
      </w:tr>
      <w:tr>
        <w:trPr>
          <w:trHeight w:val="196"/>
        </w:trPr>
        <w:tc>
          <w:tcPr>
            <w:tcW w:w="7680" w:type="dxa"/>
            <w:vAlign w:val="bottom"/>
            <w:tcBorders>
              <w:top w:val="single" w:sz="8" w:color="CFF0FC"/>
            </w:tcBorders>
            <w:gridSpan w:val="2"/>
          </w:tcPr>
          <w:p>
            <w:pPr>
              <w:ind w:left="20"/>
              <w:spacing w:after="0" w:line="182" w:lineRule="exact"/>
              <w:rPr>
                <w:sz w:val="20"/>
                <w:szCs w:val="20"/>
                <w:color w:val="auto"/>
              </w:rPr>
            </w:pPr>
            <w:r>
              <w:rPr>
                <w:rFonts w:ascii="Arial" w:cs="Arial" w:eastAsia="Arial" w:hAnsi="Arial"/>
                <w:sz w:val="18"/>
                <w:szCs w:val="18"/>
                <w:color w:val="auto"/>
              </w:rPr>
              <w:t>Options outstanding at December 31, 2021</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5,762,328</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4.07</w:t>
            </w:r>
          </w:p>
        </w:tc>
        <w:tc>
          <w:tcPr>
            <w:tcW w:w="60" w:type="dxa"/>
            <w:vAlign w:val="bottom"/>
            <w:tcBorders>
              <w:top w:val="single" w:sz="8" w:color="CFF0FC"/>
            </w:tcBorders>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80" w:type="dxa"/>
            <w:vAlign w:val="bottom"/>
            <w:shd w:val="clear" w:color="auto" w:fill="CFF0FC"/>
          </w:tcPr>
          <w:p>
            <w:pPr>
              <w:spacing w:after="0"/>
              <w:rPr>
                <w:sz w:val="15"/>
                <w:szCs w:val="15"/>
                <w:color w:val="auto"/>
              </w:rPr>
            </w:pPr>
          </w:p>
        </w:tc>
        <w:tc>
          <w:tcPr>
            <w:tcW w:w="640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76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Options exercisable at December 31, 2020</w:t>
            </w:r>
          </w:p>
        </w:tc>
        <w:tc>
          <w:tcPr>
            <w:tcW w:w="1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2,355,900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4.96</w:t>
            </w:r>
          </w:p>
        </w:tc>
        <w:tc>
          <w:tcPr>
            <w:tcW w:w="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80" w:type="dxa"/>
            <w:vAlign w:val="bottom"/>
            <w:shd w:val="clear" w:color="auto" w:fill="CFF0FC"/>
          </w:tcPr>
          <w:p>
            <w:pPr>
              <w:spacing w:after="0"/>
              <w:rPr>
                <w:sz w:val="15"/>
                <w:szCs w:val="15"/>
                <w:color w:val="auto"/>
              </w:rPr>
            </w:pPr>
          </w:p>
        </w:tc>
        <w:tc>
          <w:tcPr>
            <w:tcW w:w="640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76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Options exercisable at December 31, 2021</w:t>
            </w:r>
          </w:p>
        </w:tc>
        <w:tc>
          <w:tcPr>
            <w:tcW w:w="1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3,148,502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4.59</w:t>
            </w:r>
          </w:p>
        </w:tc>
        <w:tc>
          <w:tcPr>
            <w:tcW w:w="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-725170</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provides additional information about the Company’s stock options that were outstanding and exercisable at December 31, 2021 (aggregate intrinsic values in thousands):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60" w:type="dxa"/>
            <w:vAlign w:val="bottom"/>
          </w:tcPr>
          <w:p>
            <w:pPr>
              <w:spacing w:after="0"/>
              <w:rPr>
                <w:sz w:val="16"/>
                <w:szCs w:val="16"/>
                <w:color w:val="auto"/>
              </w:rPr>
            </w:pPr>
          </w:p>
        </w:tc>
      </w:tr>
      <w:tr>
        <w:trPr>
          <w:trHeight w:val="189"/>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6"/>
                <w:szCs w:val="16"/>
                <w:color w:val="auto"/>
              </w:rPr>
            </w:pPr>
          </w:p>
        </w:tc>
      </w:tr>
      <w:tr>
        <w:trPr>
          <w:trHeight w:val="189"/>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60" w:type="dxa"/>
            <w:vAlign w:val="bottom"/>
          </w:tcPr>
          <w:p>
            <w:pPr>
              <w:spacing w:after="0"/>
              <w:rPr>
                <w:sz w:val="16"/>
                <w:szCs w:val="16"/>
                <w:color w:val="auto"/>
              </w:rPr>
            </w:pPr>
          </w:p>
        </w:tc>
      </w:tr>
      <w:tr>
        <w:trPr>
          <w:trHeight w:val="189"/>
        </w:trPr>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6"/>
                <w:szCs w:val="16"/>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Options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w w:val="96"/>
              </w:rPr>
              <w:t>Intrinsic</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00" w:type="dxa"/>
            <w:vAlign w:val="bottom"/>
          </w:tcPr>
          <w:p>
            <w:pPr>
              <w:spacing w:after="0"/>
              <w:rPr>
                <w:sz w:val="16"/>
                <w:szCs w:val="16"/>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Intrinsic</w:t>
            </w: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60" w:type="dxa"/>
            <w:vAlign w:val="bottom"/>
          </w:tcPr>
          <w:p>
            <w:pPr>
              <w:spacing w:after="0"/>
              <w:rPr>
                <w:sz w:val="16"/>
                <w:szCs w:val="16"/>
                <w:color w:val="auto"/>
              </w:rPr>
            </w:pPr>
          </w:p>
        </w:tc>
      </w:tr>
      <w:tr>
        <w:trPr>
          <w:trHeight w:val="203"/>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Exercisable</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1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60" w:type="dxa"/>
            <w:vAlign w:val="bottom"/>
          </w:tcPr>
          <w:p>
            <w:pPr>
              <w:spacing w:after="0"/>
              <w:rPr>
                <w:sz w:val="17"/>
                <w:szCs w:val="17"/>
                <w:color w:val="auto"/>
              </w:rPr>
            </w:pPr>
          </w:p>
        </w:tc>
      </w:tr>
      <w:tr>
        <w:trPr>
          <w:trHeight w:val="183"/>
        </w:trPr>
        <w:tc>
          <w:tcPr>
            <w:tcW w:w="1660" w:type="dxa"/>
            <w:vAlign w:val="bottom"/>
          </w:tcPr>
          <w:p>
            <w:pPr>
              <w:spacing w:after="0"/>
              <w:rPr>
                <w:sz w:val="15"/>
                <w:szCs w:val="15"/>
                <w:color w:val="auto"/>
              </w:rPr>
            </w:pPr>
          </w:p>
        </w:tc>
        <w:tc>
          <w:tcPr>
            <w:tcW w:w="15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1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$0.00 - $2.99</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2,334,392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1,572,297</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60" w:type="dxa"/>
            <w:vAlign w:val="bottom"/>
            <w:shd w:val="clear" w:color="auto" w:fill="CFF0FC"/>
          </w:tcPr>
          <w:p>
            <w:pPr>
              <w:spacing w:after="0"/>
              <w:rPr>
                <w:sz w:val="16"/>
                <w:szCs w:val="16"/>
                <w:color w:val="auto"/>
              </w:rPr>
            </w:pPr>
          </w:p>
        </w:tc>
      </w:tr>
      <w:tr>
        <w:trPr>
          <w:trHeight w:val="189"/>
        </w:trPr>
        <w:tc>
          <w:tcPr>
            <w:tcW w:w="1660" w:type="dxa"/>
            <w:vAlign w:val="bottom"/>
          </w:tcPr>
          <w:p>
            <w:pPr>
              <w:jc w:val="center"/>
              <w:spacing w:after="0"/>
              <w:rPr>
                <w:sz w:val="20"/>
                <w:szCs w:val="20"/>
                <w:color w:val="auto"/>
              </w:rPr>
            </w:pPr>
            <w:r>
              <w:rPr>
                <w:rFonts w:ascii="Arial" w:cs="Arial" w:eastAsia="Arial" w:hAnsi="Arial"/>
                <w:sz w:val="16"/>
                <w:szCs w:val="16"/>
                <w:color w:val="auto"/>
                <w:w w:val="91"/>
              </w:rPr>
              <w:t>$3.00 - $6.99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2,776,850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933,870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5.51</w:t>
            </w:r>
          </w:p>
        </w:tc>
        <w:tc>
          <w:tcPr>
            <w:tcW w:w="60" w:type="dxa"/>
            <w:vAlign w:val="bottom"/>
          </w:tcPr>
          <w:p>
            <w:pPr>
              <w:spacing w:after="0"/>
              <w:rPr>
                <w:sz w:val="16"/>
                <w:szCs w:val="16"/>
                <w:color w:val="auto"/>
              </w:rPr>
            </w:pPr>
          </w:p>
        </w:tc>
      </w:tr>
      <w:tr>
        <w:trPr>
          <w:trHeight w:val="189"/>
        </w:trPr>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$7.00 - $8.99</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449,308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444,933</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60" w:type="dxa"/>
            <w:vAlign w:val="bottom"/>
            <w:shd w:val="clear" w:color="auto" w:fill="CFF0FC"/>
          </w:tcPr>
          <w:p>
            <w:pPr>
              <w:spacing w:after="0"/>
              <w:rPr>
                <w:sz w:val="16"/>
                <w:szCs w:val="16"/>
                <w:color w:val="auto"/>
              </w:rPr>
            </w:pPr>
          </w:p>
        </w:tc>
      </w:tr>
      <w:tr>
        <w:trPr>
          <w:trHeight w:val="189"/>
        </w:trPr>
        <w:tc>
          <w:tcPr>
            <w:tcW w:w="1660" w:type="dxa"/>
            <w:vAlign w:val="bottom"/>
          </w:tcPr>
          <w:p>
            <w:pPr>
              <w:jc w:val="center"/>
              <w:spacing w:after="0"/>
              <w:rPr>
                <w:sz w:val="20"/>
                <w:szCs w:val="20"/>
                <w:color w:val="auto"/>
              </w:rPr>
            </w:pPr>
            <w:r>
              <w:rPr>
                <w:rFonts w:ascii="Arial" w:cs="Arial" w:eastAsia="Arial" w:hAnsi="Arial"/>
                <w:sz w:val="16"/>
                <w:szCs w:val="16"/>
                <w:color w:val="auto"/>
                <w:w w:val="91"/>
              </w:rPr>
              <w:t>$9.00 - $20.84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201,778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5.76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197,402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5.75</w:t>
            </w:r>
          </w:p>
        </w:tc>
        <w:tc>
          <w:tcPr>
            <w:tcW w:w="60" w:type="dxa"/>
            <w:vAlign w:val="bottom"/>
          </w:tcPr>
          <w:p>
            <w:pPr>
              <w:spacing w:after="0"/>
              <w:rPr>
                <w:sz w:val="16"/>
                <w:szCs w:val="16"/>
                <w:color w:val="auto"/>
              </w:rPr>
            </w:pPr>
          </w:p>
        </w:tc>
      </w:tr>
      <w:tr>
        <w:trPr>
          <w:trHeight w:val="223"/>
        </w:trPr>
        <w:tc>
          <w:tcPr>
            <w:tcW w:w="1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5,762,328</w:t>
            </w:r>
          </w:p>
        </w:tc>
        <w:tc>
          <w:tcPr>
            <w:tcW w:w="34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4.07</w:t>
            </w:r>
          </w:p>
        </w:tc>
        <w:tc>
          <w:tcPr>
            <w:tcW w:w="32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2,469</w:t>
            </w:r>
          </w:p>
        </w:tc>
        <w:tc>
          <w:tcPr>
            <w:tcW w:w="122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7.32</w:t>
            </w: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3,148,502</w:t>
            </w:r>
          </w:p>
        </w:tc>
        <w:tc>
          <w:tcPr>
            <w:tcW w:w="26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4.59</w:t>
            </w:r>
          </w:p>
        </w:tc>
        <w:tc>
          <w:tcPr>
            <w:tcW w:w="28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1,880</w:t>
            </w:r>
          </w:p>
        </w:tc>
        <w:tc>
          <w:tcPr>
            <w:tcW w:w="128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6.23</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-25400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60" w:firstLine="509"/>
        <w:spacing w:after="0" w:line="279" w:lineRule="auto"/>
        <w:rPr>
          <w:sz w:val="20"/>
          <w:szCs w:val="20"/>
          <w:color w:val="auto"/>
        </w:rPr>
      </w:pPr>
      <w:r>
        <w:rPr>
          <w:rFonts w:ascii="Arial" w:cs="Arial" w:eastAsia="Arial" w:hAnsi="Arial"/>
          <w:sz w:val="16"/>
          <w:szCs w:val="16"/>
          <w:color w:val="auto"/>
        </w:rPr>
        <w:t>As of December 31, 2021, the Company had $5.6 million of unrecognized compensation expense related to unvested stock options, which is expected to be recognized over a weighted average period of 2.6 years. The weighted average fair values of all stock options granted for the years ended December 31, 2021, 2020 and 2019 was $3.24 per share, $1.97 per share and $1.09 per share, respectively. The intrinsic value is calculated as the difference between the fair market value and the exercise price per share of the stock options. The fair market value per share of common stock as of December 31, 2021 was $2.75, which was the closing sale price of the Company’s common stock on the Nasdaq Global Market on that date.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217"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share-based compensation expense related to RSUs is reflected in the statements of operations as follows (in thousands):</w:t>
      </w:r>
    </w:p>
    <w:p>
      <w:pPr>
        <w:spacing w:after="0" w:line="168" w:lineRule="exact"/>
        <w:rPr>
          <w:sz w:val="20"/>
          <w:szCs w:val="20"/>
          <w:color w:val="auto"/>
        </w:rPr>
      </w:pPr>
    </w:p>
    <w:p>
      <w:pPr>
        <w:jc w:val="center"/>
        <w:ind w:left="6480"/>
        <w:spacing w:after="0"/>
        <w:rPr>
          <w:sz w:val="20"/>
          <w:szCs w:val="20"/>
          <w:color w:val="auto"/>
        </w:rPr>
      </w:pPr>
      <w:r>
        <w:rPr>
          <w:rFonts w:ascii="Arial" w:cs="Arial" w:eastAsia="Arial" w:hAnsi="Arial"/>
          <w:sz w:val="16"/>
          <w:szCs w:val="16"/>
          <w:b w:val="1"/>
          <w:bCs w:val="1"/>
          <w:color w:val="auto"/>
        </w:rPr>
        <w:t>Year Ended</w:t>
      </w:r>
    </w:p>
    <w:p>
      <w:pPr>
        <w:jc w:val="center"/>
        <w:ind w:left="648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Research and development</w:t>
            </w:r>
          </w:p>
        </w:tc>
        <w:tc>
          <w:tcPr>
            <w:tcW w:w="2840" w:type="dxa"/>
            <w:vAlign w:val="bottom"/>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10"/>
              <w:spacing w:after="0" w:line="183" w:lineRule="exact"/>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880" w:type="dxa"/>
            <w:vAlign w:val="bottom"/>
            <w:tcBorders>
              <w:top w:val="single" w:sz="8" w:color="auto"/>
            </w:tcBorders>
          </w:tcPr>
          <w:p>
            <w:pPr>
              <w:jc w:val="right"/>
              <w:ind w:right="675"/>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723</w:t>
            </w:r>
          </w:p>
        </w:tc>
        <w:tc>
          <w:tcPr>
            <w:tcW w:w="260" w:type="dxa"/>
            <w:vAlign w:val="bottom"/>
          </w:tcPr>
          <w:p>
            <w:pPr>
              <w:spacing w:after="0"/>
              <w:rPr>
                <w:sz w:val="17"/>
                <w:szCs w:val="17"/>
                <w:color w:val="auto"/>
              </w:rPr>
            </w:pPr>
          </w:p>
        </w:tc>
        <w:tc>
          <w:tcPr>
            <w:tcW w:w="940" w:type="dxa"/>
            <w:vAlign w:val="bottom"/>
            <w:tcBorders>
              <w:top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375</w:t>
            </w: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FF2FA"/>
            </w:tcBorders>
            <w:shd w:val="clear" w:color="auto" w:fill="CFF2FA"/>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40" w:type="dxa"/>
            <w:vAlign w:val="bottom"/>
            <w:tcBorders>
              <w:bottom w:val="single" w:sz="8" w:color="CFF2FA"/>
            </w:tcBorders>
            <w:shd w:val="clear" w:color="auto" w:fill="CFF2FA"/>
          </w:tcPr>
          <w:p>
            <w:pPr>
              <w:spacing w:after="0"/>
              <w:rPr>
                <w:sz w:val="17"/>
                <w:szCs w:val="17"/>
                <w:color w:val="auto"/>
              </w:rPr>
            </w:pPr>
          </w:p>
        </w:tc>
        <w:tc>
          <w:tcPr>
            <w:tcW w:w="880" w:type="dxa"/>
            <w:vAlign w:val="bottom"/>
            <w:tcBorders>
              <w:bottom w:val="single" w:sz="8" w:color="auto"/>
            </w:tcBorders>
            <w:shd w:val="clear" w:color="auto" w:fill="CFF2FA"/>
          </w:tcPr>
          <w:p>
            <w:pPr>
              <w:spacing w:after="0"/>
              <w:rPr>
                <w:sz w:val="17"/>
                <w:szCs w:val="17"/>
                <w:color w:val="auto"/>
              </w:rPr>
            </w:pPr>
          </w:p>
        </w:tc>
        <w:tc>
          <w:tcPr>
            <w:tcW w:w="460" w:type="dxa"/>
            <w:vAlign w:val="bottom"/>
            <w:tcBorders>
              <w:bottom w:val="single" w:sz="8" w:color="auto"/>
            </w:tcBorders>
            <w:shd w:val="clear" w:color="auto" w:fill="CFF2FA"/>
          </w:tcPr>
          <w:p>
            <w:pPr>
              <w:jc w:val="right"/>
              <w:spacing w:after="0" w:line="202" w:lineRule="exact"/>
              <w:rPr>
                <w:sz w:val="20"/>
                <w:szCs w:val="20"/>
                <w:color w:val="auto"/>
              </w:rPr>
            </w:pPr>
            <w:r>
              <w:rPr>
                <w:rFonts w:ascii="Arial" w:cs="Arial" w:eastAsia="Arial" w:hAnsi="Arial"/>
                <w:sz w:val="18"/>
                <w:szCs w:val="18"/>
                <w:color w:val="auto"/>
              </w:rPr>
              <w:t>715</w:t>
            </w:r>
          </w:p>
        </w:tc>
        <w:tc>
          <w:tcPr>
            <w:tcW w:w="260" w:type="dxa"/>
            <w:vAlign w:val="bottom"/>
            <w:tcBorders>
              <w:bottom w:val="single" w:sz="8" w:color="CFF2FA"/>
            </w:tcBorders>
            <w:shd w:val="clear" w:color="auto" w:fill="CFF2FA"/>
          </w:tcPr>
          <w:p>
            <w:pPr>
              <w:spacing w:after="0"/>
              <w:rPr>
                <w:sz w:val="17"/>
                <w:szCs w:val="17"/>
                <w:color w:val="auto"/>
              </w:rPr>
            </w:pPr>
          </w:p>
        </w:tc>
        <w:tc>
          <w:tcPr>
            <w:tcW w:w="940" w:type="dxa"/>
            <w:vAlign w:val="bottom"/>
            <w:tcBorders>
              <w:bottom w:val="single" w:sz="8" w:color="auto"/>
            </w:tcBorders>
            <w:shd w:val="clear" w:color="auto" w:fill="CFF2FA"/>
          </w:tcPr>
          <w:p>
            <w:pPr>
              <w:spacing w:after="0"/>
              <w:rPr>
                <w:sz w:val="17"/>
                <w:szCs w:val="17"/>
                <w:color w:val="auto"/>
              </w:rPr>
            </w:pPr>
          </w:p>
        </w:tc>
        <w:tc>
          <w:tcPr>
            <w:tcW w:w="400" w:type="dxa"/>
            <w:vAlign w:val="bottom"/>
            <w:tcBorders>
              <w:bottom w:val="single" w:sz="8" w:color="auto"/>
            </w:tcBorders>
            <w:shd w:val="clear" w:color="auto" w:fill="CFF2FA"/>
          </w:tcPr>
          <w:p>
            <w:pPr>
              <w:jc w:val="right"/>
              <w:spacing w:after="0" w:line="202" w:lineRule="exact"/>
              <w:rPr>
                <w:sz w:val="20"/>
                <w:szCs w:val="20"/>
                <w:color w:val="auto"/>
              </w:rPr>
            </w:pPr>
            <w:r>
              <w:rPr>
                <w:rFonts w:ascii="Arial" w:cs="Arial" w:eastAsia="Arial" w:hAnsi="Arial"/>
                <w:sz w:val="18"/>
                <w:szCs w:val="18"/>
                <w:color w:val="auto"/>
              </w:rPr>
              <w:t>427</w:t>
            </w:r>
          </w:p>
        </w:tc>
        <w:tc>
          <w:tcPr>
            <w:tcW w:w="260" w:type="dxa"/>
            <w:vAlign w:val="bottom"/>
            <w:tcBorders>
              <w:bottom w:val="single" w:sz="8" w:color="CFF2FA"/>
            </w:tcBorders>
            <w:shd w:val="clear" w:color="auto" w:fill="CFF2FA"/>
          </w:tcPr>
          <w:p>
            <w:pPr>
              <w:spacing w:after="0"/>
              <w:rPr>
                <w:sz w:val="17"/>
                <w:szCs w:val="17"/>
                <w:color w:val="auto"/>
              </w:rPr>
            </w:pPr>
          </w:p>
        </w:tc>
        <w:tc>
          <w:tcPr>
            <w:tcW w:w="300" w:type="dxa"/>
            <w:vAlign w:val="bottom"/>
            <w:tcBorders>
              <w:bottom w:val="single" w:sz="8" w:color="auto"/>
            </w:tcBorders>
            <w:shd w:val="clear" w:color="auto" w:fill="CFF2FA"/>
          </w:tcPr>
          <w:p>
            <w:pPr>
              <w:spacing w:after="0"/>
              <w:rPr>
                <w:sz w:val="17"/>
                <w:szCs w:val="17"/>
                <w:color w:val="auto"/>
              </w:rPr>
            </w:pPr>
          </w:p>
        </w:tc>
        <w:tc>
          <w:tcPr>
            <w:tcW w:w="1040" w:type="dxa"/>
            <w:vAlign w:val="bottom"/>
            <w:tcBorders>
              <w:bottom w:val="single" w:sz="8" w:color="auto"/>
            </w:tcBorders>
            <w:shd w:val="clear" w:color="auto" w:fill="CFF2FA"/>
          </w:tcPr>
          <w:p>
            <w:pPr>
              <w:jc w:val="right"/>
              <w:spacing w:after="0" w:line="202" w:lineRule="exact"/>
              <w:rPr>
                <w:sz w:val="20"/>
                <w:szCs w:val="20"/>
                <w:color w:val="auto"/>
              </w:rPr>
            </w:pPr>
            <w:r>
              <w:rPr>
                <w:rFonts w:ascii="Arial" w:cs="Arial" w:eastAsia="Arial" w:hAnsi="Arial"/>
                <w:sz w:val="18"/>
                <w:szCs w:val="18"/>
                <w:color w:val="auto"/>
              </w:rPr>
              <w:t>306</w:t>
            </w:r>
          </w:p>
        </w:tc>
        <w:tc>
          <w:tcPr>
            <w:tcW w:w="100" w:type="dxa"/>
            <w:vAlign w:val="bottom"/>
            <w:tcBorders>
              <w:bottom w:val="single" w:sz="8" w:color="CFF2FA"/>
            </w:tcBorders>
            <w:shd w:val="clear" w:color="auto" w:fill="CFF2FA"/>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720" w:type="dxa"/>
            <w:vAlign w:val="bottom"/>
            <w:gridSpan w:val="2"/>
          </w:tcPr>
          <w:p>
            <w:pPr>
              <w:jc w:val="right"/>
              <w:ind w:right="675"/>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1,438</w:t>
            </w:r>
          </w:p>
        </w:tc>
        <w:tc>
          <w:tcPr>
            <w:tcW w:w="120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802</w:t>
            </w:r>
          </w:p>
        </w:tc>
        <w:tc>
          <w:tcPr>
            <w:tcW w:w="5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40" w:type="dxa"/>
            <w:vAlign w:val="bottom"/>
            <w:vMerge w:val="restart"/>
          </w:tcPr>
          <w:p>
            <w:pPr>
              <w:jc w:val="right"/>
              <w:ind w:right="790"/>
              <w:spacing w:after="0"/>
              <w:rPr>
                <w:sz w:val="20"/>
                <w:szCs w:val="20"/>
                <w:color w:val="auto"/>
              </w:rPr>
            </w:pPr>
            <w:r>
              <w:rPr>
                <w:rFonts w:ascii="Arial" w:cs="Arial" w:eastAsia="Arial" w:hAnsi="Arial"/>
                <w:sz w:val="18"/>
                <w:szCs w:val="18"/>
                <w:color w:val="auto"/>
              </w:rPr>
              <w:t>82</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-630555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-630555</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040" w:type="dxa"/>
            <w:vAlign w:val="bottom"/>
            <w:gridSpan w:val="3"/>
          </w:tcPr>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8040" w:type="dxa"/>
            <w:vAlign w:val="bottom"/>
            <w:gridSpan w:val="3"/>
          </w:tcPr>
          <w:p>
            <w:pPr>
              <w:ind w:left="520"/>
              <w:spacing w:after="0"/>
              <w:rPr>
                <w:sz w:val="20"/>
                <w:szCs w:val="20"/>
                <w:color w:val="auto"/>
              </w:rPr>
            </w:pPr>
            <w:r>
              <w:rPr>
                <w:rFonts w:ascii="Arial" w:cs="Arial" w:eastAsia="Arial" w:hAnsi="Arial"/>
                <w:sz w:val="18"/>
                <w:szCs w:val="18"/>
                <w:color w:val="auto"/>
                <w:w w:val="91"/>
              </w:rPr>
              <w:t>The following table summarizes the activity related to RSUs during the year ended December 31, 2021:</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6"/>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w w:val="95"/>
              </w:rPr>
              <w:t>Number of</w:t>
            </w:r>
          </w:p>
        </w:tc>
        <w:tc>
          <w:tcPr>
            <w:tcW w:w="100" w:type="dxa"/>
            <w:vAlign w:val="bottom"/>
          </w:tcPr>
          <w:p>
            <w:pPr>
              <w:spacing w:after="0"/>
              <w:rPr>
                <w:sz w:val="17"/>
                <w:szCs w:val="17"/>
                <w:color w:val="auto"/>
              </w:rPr>
            </w:pPr>
          </w:p>
        </w:tc>
        <w:tc>
          <w:tcPr>
            <w:tcW w:w="15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5"/>
              </w:rPr>
              <w:t>Grant Date</w:t>
            </w:r>
          </w:p>
        </w:tc>
        <w:tc>
          <w:tcPr>
            <w:tcW w:w="60" w:type="dxa"/>
            <w:vAlign w:val="bottom"/>
          </w:tcPr>
          <w:p>
            <w:pPr>
              <w:spacing w:after="0"/>
              <w:rPr>
                <w:sz w:val="17"/>
                <w:szCs w:val="17"/>
                <w:color w:val="auto"/>
              </w:rPr>
            </w:pPr>
          </w:p>
        </w:tc>
      </w:tr>
      <w:tr>
        <w:trPr>
          <w:trHeight w:val="221"/>
        </w:trPr>
        <w:tc>
          <w:tcPr>
            <w:tcW w:w="128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60" w:type="dxa"/>
            <w:vAlign w:val="bottom"/>
          </w:tcPr>
          <w:p>
            <w:pPr>
              <w:spacing w:after="0"/>
              <w:rPr>
                <w:sz w:val="19"/>
                <w:szCs w:val="19"/>
                <w:color w:val="auto"/>
              </w:rPr>
            </w:pP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RSUs outstanding at December 31, 2020</w:t>
            </w:r>
          </w:p>
        </w:tc>
        <w:tc>
          <w:tcPr>
            <w:tcW w:w="3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767,271</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w:t>
            </w:r>
          </w:p>
        </w:tc>
        <w:tc>
          <w:tcPr>
            <w:tcW w:w="60" w:type="dxa"/>
            <w:vAlign w:val="bottom"/>
            <w:shd w:val="clear" w:color="auto" w:fill="CFF0FC"/>
          </w:tcPr>
          <w:p>
            <w:pPr>
              <w:spacing w:after="0"/>
              <w:rPr>
                <w:sz w:val="17"/>
                <w:szCs w:val="17"/>
                <w:color w:val="auto"/>
              </w:rPr>
            </w:pPr>
          </w:p>
        </w:tc>
      </w:tr>
      <w:tr>
        <w:trPr>
          <w:trHeight w:val="203"/>
        </w:trPr>
        <w:tc>
          <w:tcPr>
            <w:tcW w:w="80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965,344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6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Vested</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(415,268 )</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60" w:type="dxa"/>
            <w:vAlign w:val="bottom"/>
            <w:shd w:val="clear" w:color="auto" w:fill="CFF0FC"/>
          </w:tcPr>
          <w:p>
            <w:pPr>
              <w:spacing w:after="0"/>
              <w:rPr>
                <w:sz w:val="17"/>
                <w:szCs w:val="17"/>
                <w:color w:val="auto"/>
              </w:rPr>
            </w:pPr>
          </w:p>
        </w:tc>
      </w:tr>
      <w:tr>
        <w:trPr>
          <w:trHeight w:val="196"/>
        </w:trPr>
        <w:tc>
          <w:tcPr>
            <w:tcW w:w="7680" w:type="dxa"/>
            <w:vAlign w:val="bottom"/>
            <w:tcBorders>
              <w:top w:val="single" w:sz="8" w:color="CFF0FC"/>
            </w:tcBorders>
            <w:gridSpan w:val="2"/>
          </w:tcPr>
          <w:p>
            <w:pPr>
              <w:ind w:left="20"/>
              <w:spacing w:after="0" w:line="182" w:lineRule="exact"/>
              <w:rPr>
                <w:sz w:val="20"/>
                <w:szCs w:val="20"/>
                <w:color w:val="auto"/>
              </w:rPr>
            </w:pPr>
            <w:r>
              <w:rPr>
                <w:rFonts w:ascii="Arial" w:cs="Arial" w:eastAsia="Arial" w:hAnsi="Arial"/>
                <w:sz w:val="18"/>
                <w:szCs w:val="18"/>
                <w:color w:val="auto"/>
              </w:rPr>
              <w:t>Non-vested RSUs outstanding at December 31, 2021</w:t>
            </w: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1,317,347</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5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3.58</w:t>
            </w:r>
          </w:p>
        </w:tc>
        <w:tc>
          <w:tcPr>
            <w:tcW w:w="60" w:type="dxa"/>
            <w:vAlign w:val="bottom"/>
            <w:tcBorders>
              <w:top w:val="single" w:sz="8" w:color="CFF0FC"/>
            </w:tcBorders>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160" w:firstLine="449"/>
        <w:spacing w:after="0" w:line="261" w:lineRule="auto"/>
        <w:rPr>
          <w:sz w:val="20"/>
          <w:szCs w:val="20"/>
          <w:color w:val="auto"/>
        </w:rPr>
      </w:pPr>
      <w:r>
        <w:rPr>
          <w:rFonts w:ascii="Arial" w:cs="Arial" w:eastAsia="Arial" w:hAnsi="Arial"/>
          <w:sz w:val="18"/>
          <w:szCs w:val="18"/>
          <w:color w:val="auto"/>
        </w:rPr>
        <w:t>As of December 31, 2021, the Company had $3.5 million of unrecognized compensation expense related to the RSUs, which amount is expected to be recognized over a weighted average period of 2.9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2"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number of shares reserved for issuance under the 2016 ESPP will automatically increase on January 1 of each year,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2022. The number of shares of common stock available for issuance under the 2016 ESPP as of December 31, 2021 was 505,491 shares.</w:t>
      </w:r>
    </w:p>
    <w:p>
      <w:pPr>
        <w:spacing w:after="0" w:line="163"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2021, 2020 and 2019, the Company issued 65,481, 35,359 and 52,476 shares, respectively, of common stock purchased under the 2016 ESPP.</w:t>
      </w:r>
    </w:p>
    <w:p>
      <w:pPr>
        <w:spacing w:after="0" w:line="147"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share-based compensation expense recognized for the 2016 ESPP is reflected in the statements of operations and comprehensive loss as follows (in thousands):</w:t>
      </w:r>
    </w:p>
    <w:p>
      <w:pPr>
        <w:spacing w:after="0" w:line="140" w:lineRule="exact"/>
        <w:rPr>
          <w:sz w:val="20"/>
          <w:szCs w:val="20"/>
          <w:color w:val="auto"/>
        </w:rPr>
      </w:pPr>
    </w:p>
    <w:p>
      <w:pPr>
        <w:jc w:val="center"/>
        <w:ind w:left="6480"/>
        <w:spacing w:after="0"/>
        <w:rPr>
          <w:sz w:val="20"/>
          <w:szCs w:val="20"/>
          <w:color w:val="auto"/>
        </w:rPr>
      </w:pPr>
      <w:r>
        <w:rPr>
          <w:rFonts w:ascii="Arial" w:cs="Arial" w:eastAsia="Arial" w:hAnsi="Arial"/>
          <w:sz w:val="16"/>
          <w:szCs w:val="16"/>
          <w:b w:val="1"/>
          <w:bCs w:val="1"/>
          <w:color w:val="auto"/>
        </w:rPr>
        <w:t>Year Ended</w:t>
      </w:r>
    </w:p>
    <w:p>
      <w:pPr>
        <w:jc w:val="center"/>
        <w:ind w:left="6480"/>
        <w:spacing w:after="0"/>
        <w:rPr>
          <w:sz w:val="20"/>
          <w:szCs w:val="20"/>
          <w:color w:val="auto"/>
        </w:rPr>
      </w:pPr>
      <w:r>
        <w:rPr>
          <w:rFonts w:ascii="Arial" w:cs="Arial" w:eastAsia="Arial" w:hAnsi="Arial"/>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Research and development</w:t>
            </w:r>
          </w:p>
        </w:tc>
        <w:tc>
          <w:tcPr>
            <w:tcW w:w="28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75"/>
              <w:spacing w:after="0" w:line="183" w:lineRule="exact"/>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1000" w:type="dxa"/>
            <w:vAlign w:val="bottom"/>
          </w:tcPr>
          <w:p>
            <w:pPr>
              <w:jc w:val="right"/>
              <w:ind w:right="795"/>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FF2FA"/>
            </w:tcBorders>
            <w:shd w:val="clear" w:color="auto" w:fill="CFF2FA"/>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40" w:type="dxa"/>
            <w:vAlign w:val="bottom"/>
            <w:tcBorders>
              <w:bottom w:val="single" w:sz="8" w:color="CFF2FA"/>
            </w:tcBorders>
            <w:shd w:val="clear" w:color="auto" w:fill="CFF2FA"/>
          </w:tcPr>
          <w:p>
            <w:pPr>
              <w:spacing w:after="0"/>
              <w:rPr>
                <w:sz w:val="17"/>
                <w:szCs w:val="17"/>
                <w:color w:val="auto"/>
              </w:rPr>
            </w:pPr>
          </w:p>
        </w:tc>
        <w:tc>
          <w:tcPr>
            <w:tcW w:w="1000" w:type="dxa"/>
            <w:vAlign w:val="bottom"/>
            <w:tcBorders>
              <w:bottom w:val="single" w:sz="8" w:color="auto"/>
            </w:tcBorders>
            <w:shd w:val="clear" w:color="auto" w:fill="CFF2FA"/>
          </w:tcPr>
          <w:p>
            <w:pPr>
              <w:spacing w:after="0"/>
              <w:rPr>
                <w:sz w:val="17"/>
                <w:szCs w:val="17"/>
                <w:color w:val="auto"/>
              </w:rPr>
            </w:pPr>
          </w:p>
        </w:tc>
        <w:tc>
          <w:tcPr>
            <w:tcW w:w="340" w:type="dxa"/>
            <w:vAlign w:val="bottom"/>
            <w:tcBorders>
              <w:bottom w:val="single" w:sz="8" w:color="auto"/>
            </w:tcBorders>
            <w:shd w:val="clear" w:color="auto" w:fill="CFF2FA"/>
          </w:tcPr>
          <w:p>
            <w:pPr>
              <w:jc w:val="right"/>
              <w:spacing w:after="0" w:line="202" w:lineRule="exact"/>
              <w:rPr>
                <w:sz w:val="20"/>
                <w:szCs w:val="20"/>
                <w:color w:val="auto"/>
              </w:rPr>
            </w:pPr>
            <w:r>
              <w:rPr>
                <w:rFonts w:ascii="Arial" w:cs="Arial" w:eastAsia="Arial" w:hAnsi="Arial"/>
                <w:sz w:val="18"/>
                <w:szCs w:val="18"/>
                <w:color w:val="auto"/>
              </w:rPr>
              <w:t>20</w:t>
            </w:r>
          </w:p>
        </w:tc>
        <w:tc>
          <w:tcPr>
            <w:tcW w:w="260" w:type="dxa"/>
            <w:vAlign w:val="bottom"/>
            <w:tcBorders>
              <w:bottom w:val="single" w:sz="8" w:color="CFF2FA"/>
            </w:tcBorders>
            <w:shd w:val="clear" w:color="auto" w:fill="CFF2FA"/>
          </w:tcPr>
          <w:p>
            <w:pPr>
              <w:spacing w:after="0"/>
              <w:rPr>
                <w:sz w:val="17"/>
                <w:szCs w:val="17"/>
                <w:color w:val="auto"/>
              </w:rPr>
            </w:pPr>
          </w:p>
        </w:tc>
        <w:tc>
          <w:tcPr>
            <w:tcW w:w="300" w:type="dxa"/>
            <w:vAlign w:val="bottom"/>
            <w:tcBorders>
              <w:bottom w:val="single" w:sz="8" w:color="auto"/>
            </w:tcBorders>
            <w:shd w:val="clear" w:color="auto" w:fill="CFF2FA"/>
          </w:tcPr>
          <w:p>
            <w:pPr>
              <w:spacing w:after="0"/>
              <w:rPr>
                <w:sz w:val="17"/>
                <w:szCs w:val="17"/>
                <w:color w:val="auto"/>
              </w:rPr>
            </w:pPr>
          </w:p>
        </w:tc>
        <w:tc>
          <w:tcPr>
            <w:tcW w:w="1040" w:type="dxa"/>
            <w:vAlign w:val="bottom"/>
            <w:tcBorders>
              <w:bottom w:val="single" w:sz="8" w:color="auto"/>
            </w:tcBorders>
            <w:shd w:val="clear" w:color="auto" w:fill="CFF2FA"/>
          </w:tcPr>
          <w:p>
            <w:pPr>
              <w:jc w:val="right"/>
              <w:spacing w:after="0" w:line="202" w:lineRule="exact"/>
              <w:rPr>
                <w:sz w:val="20"/>
                <w:szCs w:val="20"/>
                <w:color w:val="auto"/>
              </w:rPr>
            </w:pPr>
            <w:r>
              <w:rPr>
                <w:rFonts w:ascii="Arial" w:cs="Arial" w:eastAsia="Arial" w:hAnsi="Arial"/>
                <w:sz w:val="18"/>
                <w:szCs w:val="18"/>
                <w:color w:val="auto"/>
              </w:rPr>
              <w:t>22</w:t>
            </w:r>
          </w:p>
        </w:tc>
        <w:tc>
          <w:tcPr>
            <w:tcW w:w="260" w:type="dxa"/>
            <w:vAlign w:val="bottom"/>
            <w:tcBorders>
              <w:bottom w:val="single" w:sz="8" w:color="CFF2FA"/>
            </w:tcBorders>
            <w:shd w:val="clear" w:color="auto" w:fill="CFF2FA"/>
          </w:tcPr>
          <w:p>
            <w:pPr>
              <w:spacing w:after="0"/>
              <w:rPr>
                <w:sz w:val="17"/>
                <w:szCs w:val="17"/>
                <w:color w:val="auto"/>
              </w:rPr>
            </w:pPr>
          </w:p>
        </w:tc>
        <w:tc>
          <w:tcPr>
            <w:tcW w:w="300" w:type="dxa"/>
            <w:vAlign w:val="bottom"/>
            <w:tcBorders>
              <w:bottom w:val="single" w:sz="8" w:color="auto"/>
            </w:tcBorders>
            <w:shd w:val="clear" w:color="auto" w:fill="CFF2FA"/>
          </w:tcPr>
          <w:p>
            <w:pPr>
              <w:spacing w:after="0"/>
              <w:rPr>
                <w:sz w:val="17"/>
                <w:szCs w:val="17"/>
                <w:color w:val="auto"/>
              </w:rPr>
            </w:pPr>
          </w:p>
        </w:tc>
        <w:tc>
          <w:tcPr>
            <w:tcW w:w="1040" w:type="dxa"/>
            <w:vAlign w:val="bottom"/>
            <w:tcBorders>
              <w:bottom w:val="single" w:sz="8" w:color="auto"/>
            </w:tcBorders>
            <w:shd w:val="clear" w:color="auto" w:fill="CFF2FA"/>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FF2FA"/>
            </w:tcBorders>
            <w:shd w:val="clear" w:color="auto" w:fill="CFF2FA"/>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840" w:type="dxa"/>
            <w:vAlign w:val="bottom"/>
            <w:gridSpan w:val="2"/>
          </w:tcPr>
          <w:p>
            <w:pPr>
              <w:jc w:val="right"/>
              <w:ind w:right="795"/>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5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40" w:type="dxa"/>
            <w:vAlign w:val="bottom"/>
            <w:vMerge w:val="restart"/>
          </w:tcPr>
          <w:p>
            <w:pPr>
              <w:jc w:val="right"/>
              <w:ind w:right="790"/>
              <w:spacing w:after="0"/>
              <w:rPr>
                <w:sz w:val="20"/>
                <w:szCs w:val="20"/>
                <w:color w:val="auto"/>
              </w:rPr>
            </w:pPr>
            <w:r>
              <w:rPr>
                <w:rFonts w:ascii="Arial" w:cs="Arial" w:eastAsia="Arial" w:hAnsi="Arial"/>
                <w:sz w:val="18"/>
                <w:szCs w:val="18"/>
                <w:color w:val="auto"/>
              </w:rPr>
              <w:t>83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-750570</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-750570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-750570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16"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income tax assets consist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6"/>
                <w:szCs w:val="16"/>
                <w:b w:val="1"/>
                <w:bCs w:val="1"/>
                <w:color w:val="auto"/>
                <w:w w:val="99"/>
              </w:rPr>
              <w:t>December 31,</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542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11"/>
              <w:spacing w:after="0" w:line="183" w:lineRule="exact"/>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1"/>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r>
      <w:tr>
        <w:trPr>
          <w:trHeight w:val="196"/>
        </w:trPr>
        <w:tc>
          <w:tcPr>
            <w:tcW w:w="54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Deferred tax asset (liability):</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100" w:type="dxa"/>
            <w:vAlign w:val="bottom"/>
          </w:tcPr>
          <w:p>
            <w:pPr>
              <w:jc w:val="right"/>
              <w:ind w:right="913"/>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53,966</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51,414</w:t>
            </w:r>
          </w:p>
        </w:tc>
        <w:tc>
          <w:tcPr>
            <w:tcW w:w="26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46,305</w:t>
            </w:r>
          </w:p>
        </w:tc>
        <w:tc>
          <w:tcPr>
            <w:tcW w:w="80" w:type="dxa"/>
            <w:vAlign w:val="bottom"/>
          </w:tcPr>
          <w:p>
            <w:pPr>
              <w:spacing w:after="0"/>
              <w:rPr>
                <w:sz w:val="17"/>
                <w:szCs w:val="17"/>
                <w:color w:val="auto"/>
              </w:rPr>
            </w:pP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Non-deductible accrued expenses</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w:t>
            </w:r>
          </w:p>
        </w:tc>
        <w:tc>
          <w:tcPr>
            <w:tcW w:w="8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w:t>
            </w:r>
          </w:p>
        </w:tc>
        <w:tc>
          <w:tcPr>
            <w:tcW w:w="1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(96 )</w:t>
            </w:r>
          </w:p>
        </w:tc>
        <w:tc>
          <w:tcPr>
            <w:tcW w:w="240" w:type="dxa"/>
            <w:vAlign w:val="bottom"/>
          </w:tcPr>
          <w:p>
            <w:pPr>
              <w:spacing w:after="0"/>
              <w:rPr>
                <w:sz w:val="17"/>
                <w:szCs w:val="17"/>
                <w:color w:val="auto"/>
              </w:rPr>
            </w:pPr>
          </w:p>
        </w:tc>
        <w:tc>
          <w:tcPr>
            <w:tcW w:w="1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(132 )</w:t>
            </w:r>
          </w:p>
        </w:tc>
        <w:tc>
          <w:tcPr>
            <w:tcW w:w="40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(138 )</w:t>
            </w: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1,247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compensation expense</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2,044</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1,472</w:t>
            </w:r>
          </w:p>
        </w:tc>
        <w:tc>
          <w:tcPr>
            <w:tcW w:w="8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Depreciation differences</w:t>
            </w:r>
          </w:p>
        </w:tc>
        <w:tc>
          <w:tcPr>
            <w:tcW w:w="1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(44 )</w:t>
            </w:r>
          </w:p>
        </w:tc>
        <w:tc>
          <w:tcPr>
            <w:tcW w:w="240" w:type="dxa"/>
            <w:vAlign w:val="bottom"/>
          </w:tcPr>
          <w:p>
            <w:pPr>
              <w:spacing w:after="0"/>
              <w:rPr>
                <w:sz w:val="17"/>
                <w:szCs w:val="17"/>
                <w:color w:val="auto"/>
              </w:rPr>
            </w:pPr>
          </w:p>
        </w:tc>
        <w:tc>
          <w:tcPr>
            <w:tcW w:w="1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(82 )</w:t>
            </w:r>
          </w:p>
        </w:tc>
        <w:tc>
          <w:tcPr>
            <w:tcW w:w="40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(94 )</w:t>
            </w: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 tax credits</w:t>
            </w:r>
          </w:p>
        </w:tc>
        <w:tc>
          <w:tcPr>
            <w:tcW w:w="1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8,015</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7,249</w:t>
            </w:r>
          </w:p>
        </w:tc>
        <w:tc>
          <w:tcPr>
            <w:tcW w:w="8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State tax credits</w:t>
            </w:r>
          </w:p>
        </w:tc>
        <w:tc>
          <w:tcPr>
            <w:tcW w:w="1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623</w:t>
            </w:r>
          </w:p>
        </w:tc>
        <w:tc>
          <w:tcPr>
            <w:tcW w:w="80" w:type="dxa"/>
            <w:vAlign w:val="bottom"/>
          </w:tcPr>
          <w:p>
            <w:pPr>
              <w:spacing w:after="0"/>
              <w:rPr>
                <w:sz w:val="17"/>
                <w:szCs w:val="17"/>
                <w:color w:val="auto"/>
              </w:rPr>
            </w:pP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Disallowed interest expense</w:t>
            </w:r>
          </w:p>
        </w:tc>
        <w:tc>
          <w:tcPr>
            <w:tcW w:w="1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Charitable contributions</w:t>
            </w:r>
          </w:p>
        </w:tc>
        <w:tc>
          <w:tcPr>
            <w:tcW w:w="1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Valuation allowance</w:t>
            </w:r>
          </w:p>
        </w:tc>
        <w:tc>
          <w:tcPr>
            <w:tcW w:w="1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7"/>
              </w:rPr>
              <w:t>(66,599 )</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(63,404 )</w:t>
            </w: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(56,206 )</w:t>
            </w:r>
          </w:p>
        </w:tc>
      </w:tr>
      <w:tr>
        <w:trPr>
          <w:trHeight w:val="196"/>
        </w:trPr>
        <w:tc>
          <w:tcPr>
            <w:tcW w:w="5420" w:type="dxa"/>
            <w:vAlign w:val="bottom"/>
            <w:tcBorders>
              <w:top w:val="single" w:sz="8" w:color="CFF0FC"/>
            </w:tcBorders>
          </w:tcPr>
          <w:p>
            <w:pPr>
              <w:ind w:left="300"/>
              <w:spacing w:after="0" w:line="182" w:lineRule="exact"/>
              <w:rPr>
                <w:sz w:val="20"/>
                <w:szCs w:val="20"/>
                <w:color w:val="auto"/>
              </w:rPr>
            </w:pPr>
            <w:r>
              <w:rPr>
                <w:rFonts w:ascii="Arial" w:cs="Arial" w:eastAsia="Arial" w:hAnsi="Arial"/>
                <w:sz w:val="18"/>
                <w:szCs w:val="18"/>
                <w:color w:val="auto"/>
              </w:rPr>
              <w:t>Net deferred tax asset</w:t>
            </w:r>
          </w:p>
        </w:tc>
        <w:tc>
          <w:tcPr>
            <w:tcW w:w="1100" w:type="dxa"/>
            <w:vAlign w:val="bottom"/>
            <w:tcBorders>
              <w:top w:val="single" w:sz="8" w:color="auto"/>
              <w:bottom w:val="single" w:sz="8" w:color="auto"/>
            </w:tcBorders>
          </w:tcPr>
          <w:p>
            <w:pPr>
              <w:jc w:val="right"/>
              <w:ind w:right="913"/>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-159385</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-159385</wp:posOffset>
            </wp:positionV>
            <wp:extent cx="514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statutory tax rates and the effective tax rates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0" w:type="dxa"/>
            <w:vAlign w:val="bottom"/>
            <w:gridSpan w:val="2"/>
          </w:tcPr>
          <w:p>
            <w:pPr>
              <w:jc w:val="right"/>
              <w:ind w:right="730"/>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U.S. federal tax rate</w:t>
            </w:r>
          </w:p>
        </w:tc>
        <w:tc>
          <w:tcPr>
            <w:tcW w:w="1600" w:type="dxa"/>
            <w:vAlign w:val="bottom"/>
            <w:tcBorders>
              <w:bottom w:val="single" w:sz="8" w:color="auto"/>
            </w:tcBorders>
          </w:tcPr>
          <w:p>
            <w:pPr>
              <w:jc w:val="right"/>
              <w:ind w:right="551"/>
              <w:spacing w:after="0" w:line="183" w:lineRule="exact"/>
              <w:rPr>
                <w:sz w:val="20"/>
                <w:szCs w:val="20"/>
                <w:color w:val="auto"/>
              </w:rPr>
            </w:pPr>
            <w:r>
              <w:rPr>
                <w:rFonts w:ascii="Arial" w:cs="Arial" w:eastAsia="Arial" w:hAnsi="Arial"/>
                <w:sz w:val="16"/>
                <w:szCs w:val="16"/>
                <w:b w:val="1"/>
                <w:bCs w:val="1"/>
                <w:color w:val="auto"/>
              </w:rPr>
              <w:t>2021</w:t>
            </w:r>
          </w:p>
        </w:tc>
        <w:tc>
          <w:tcPr>
            <w:tcW w:w="440" w:type="dxa"/>
            <w:vAlign w:val="bottom"/>
            <w:vMerge w:val="restart"/>
          </w:tcPr>
          <w:p>
            <w:pPr>
              <w:jc w:val="right"/>
              <w:ind w:right="190"/>
              <w:spacing w:after="0"/>
              <w:rPr>
                <w:sz w:val="20"/>
                <w:szCs w:val="20"/>
                <w:color w:val="auto"/>
              </w:rPr>
            </w:pPr>
            <w:r>
              <w:rPr>
                <w:rFonts w:ascii="Arial" w:cs="Arial" w:eastAsia="Arial" w:hAnsi="Arial"/>
                <w:sz w:val="18"/>
                <w:szCs w:val="18"/>
                <w:color w:val="auto"/>
                <w:w w:val="87"/>
              </w:rPr>
              <w:t>%</w:t>
            </w:r>
          </w:p>
        </w:tc>
        <w:tc>
          <w:tcPr>
            <w:tcW w:w="1600" w:type="dxa"/>
            <w:vAlign w:val="bottom"/>
            <w:tcBorders>
              <w:bottom w:val="single" w:sz="8" w:color="auto"/>
            </w:tcBorders>
          </w:tcPr>
          <w:p>
            <w:pPr>
              <w:jc w:val="right"/>
              <w:ind w:right="552"/>
              <w:spacing w:after="0" w:line="183" w:lineRule="exact"/>
              <w:rPr>
                <w:sz w:val="20"/>
                <w:szCs w:val="20"/>
                <w:color w:val="auto"/>
              </w:rPr>
            </w:pPr>
            <w:r>
              <w:rPr>
                <w:rFonts w:ascii="Arial" w:cs="Arial" w:eastAsia="Arial" w:hAnsi="Arial"/>
                <w:sz w:val="16"/>
                <w:szCs w:val="16"/>
                <w:b w:val="1"/>
                <w:bCs w:val="1"/>
                <w:color w:val="auto"/>
              </w:rPr>
              <w:t>2020</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w w:val="87"/>
              </w:rPr>
              <w:t>%</w:t>
            </w:r>
          </w:p>
        </w:tc>
        <w:tc>
          <w:tcPr>
            <w:tcW w:w="1580" w:type="dxa"/>
            <w:vAlign w:val="bottom"/>
            <w:tcBorders>
              <w:bottom w:val="single" w:sz="8" w:color="auto"/>
            </w:tcBorders>
          </w:tcPr>
          <w:p>
            <w:pPr>
              <w:jc w:val="right"/>
              <w:ind w:right="531"/>
              <w:spacing w:after="0" w:line="183" w:lineRule="exact"/>
              <w:rPr>
                <w:sz w:val="20"/>
                <w:szCs w:val="20"/>
                <w:color w:val="auto"/>
              </w:rPr>
            </w:pPr>
            <w:r>
              <w:rPr>
                <w:rFonts w:ascii="Arial" w:cs="Arial" w:eastAsia="Arial" w:hAnsi="Arial"/>
                <w:sz w:val="16"/>
                <w:szCs w:val="16"/>
                <w:b w:val="1"/>
                <w:bCs w:val="1"/>
                <w:color w:val="auto"/>
              </w:rPr>
              <w:t>2019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21.00</w:t>
            </w:r>
          </w:p>
        </w:tc>
        <w:tc>
          <w:tcPr>
            <w:tcW w:w="44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21.00</w:t>
            </w:r>
          </w:p>
        </w:tc>
        <w:tc>
          <w:tcPr>
            <w:tcW w:w="400" w:type="dxa"/>
            <w:vAlign w:val="bottom"/>
            <w:vMerge w:val="continue"/>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21.00</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State tax rate</w:t>
            </w:r>
          </w:p>
        </w:tc>
        <w:tc>
          <w:tcPr>
            <w:tcW w:w="20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(599.32 )</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14.28</w:t>
            </w:r>
          </w:p>
        </w:tc>
        <w:tc>
          <w:tcPr>
            <w:tcW w:w="4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w:t>
            </w:r>
          </w:p>
        </w:tc>
        <w:tc>
          <w:tcPr>
            <w:tcW w:w="20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(3.15 )</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400" w:type="dxa"/>
            <w:vAlign w:val="bottom"/>
          </w:tcPr>
          <w:p>
            <w:pPr>
              <w:spacing w:after="0"/>
              <w:rPr>
                <w:sz w:val="17"/>
                <w:szCs w:val="17"/>
                <w:color w:val="auto"/>
              </w:rPr>
            </w:pPr>
          </w:p>
        </w:tc>
        <w:tc>
          <w:tcPr>
            <w:tcW w:w="1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credit</w:t>
            </w:r>
          </w:p>
        </w:tc>
        <w:tc>
          <w:tcPr>
            <w:tcW w:w="20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(253.97 )</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w:t>
            </w:r>
          </w:p>
        </w:tc>
        <w:tc>
          <w:tcPr>
            <w:tcW w:w="4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847.82</w:t>
            </w:r>
          </w:p>
        </w:tc>
        <w:tc>
          <w:tcPr>
            <w:tcW w:w="440" w:type="dxa"/>
            <w:vAlign w:val="bottom"/>
          </w:tcPr>
          <w:p>
            <w:pPr>
              <w:spacing w:after="0"/>
              <w:rPr>
                <w:sz w:val="17"/>
                <w:szCs w:val="17"/>
                <w:color w:val="auto"/>
              </w:rPr>
            </w:pPr>
          </w:p>
        </w:tc>
        <w:tc>
          <w:tcPr>
            <w:tcW w:w="20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(39.66 )</w:t>
            </w:r>
          </w:p>
        </w:tc>
        <w:tc>
          <w:tcPr>
            <w:tcW w:w="1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(21.73 )</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ASC 740-10</w:t>
            </w:r>
          </w:p>
        </w:tc>
        <w:tc>
          <w:tcPr>
            <w:tcW w:w="20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(3.19 )</w:t>
            </w:r>
          </w:p>
        </w:tc>
        <w:tc>
          <w:tcPr>
            <w:tcW w:w="200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(0.26 )</w:t>
            </w:r>
          </w:p>
        </w:tc>
        <w:tc>
          <w:tcPr>
            <w:tcW w:w="18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Adjustment to prior year tax provision</w:t>
            </w:r>
          </w:p>
        </w:tc>
        <w:tc>
          <w:tcPr>
            <w:tcW w:w="20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(13.16 )</w:t>
            </w:r>
          </w:p>
        </w:tc>
        <w:tc>
          <w:tcPr>
            <w:tcW w:w="200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3.97</w:t>
            </w:r>
          </w:p>
        </w:tc>
        <w:tc>
          <w:tcPr>
            <w:tcW w:w="44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04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0.00 %</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(0.33)%</w:t>
            </w:r>
          </w:p>
        </w:tc>
        <w:tc>
          <w:tcPr>
            <w:tcW w:w="400" w:type="dxa"/>
            <w:vAlign w:val="bottom"/>
          </w:tcPr>
          <w:p>
            <w:pPr>
              <w:spacing w:after="0"/>
              <w:rPr>
                <w:sz w:val="17"/>
                <w:szCs w:val="17"/>
                <w:color w:val="auto"/>
              </w:rPr>
            </w:pPr>
          </w:p>
        </w:tc>
        <w:tc>
          <w:tcPr>
            <w:tcW w:w="1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-159385</wp:posOffset>
            </wp:positionV>
            <wp:extent cx="14605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-159385</wp:posOffset>
            </wp:positionV>
            <wp:extent cx="13716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At December 31, 2021, the Company had a valuation allowance of $66.6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 income, and tax-planning strategies available to the Company in the relevant jurisdiction. The Company will release this valuation allowance when management determines that it is more likely than not that its deferred tax asset will be realized.</w:t>
      </w:r>
    </w:p>
    <w:p>
      <w:pPr>
        <w:spacing w:after="0" w:line="18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At December 31, 2021, the Company had income tax NOL carryforwards for federal and state purposes of $234.4 million and $75.6 million, respectively. The Company has recorded a deferred tax asset for both federal and state NOL carryforwards of $49.2 million and $4.8 million, respectively. If not utilized, the federal NOL carryforwards will begin to expire beginning in 2031, and the state NOL carryforwards will begin to expire at various dates beginning in 2027. Additionally, under the 2017 Tax Cuts and Jobs Act, federal net operating losses incurred in 2018 and beyond may be carried forward indefinitely. However, the deductibility of such federal net operating losses is limited beginning in 2021. Certain states have also adopted the indefinite carryforward period beginning with the 2018 tax year, but state conformity varies state by state.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rollforward of the Company’s uncertain tax positions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Year Ended</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Balance of uncertain tax positions at the beginning of the year</w:t>
            </w:r>
          </w:p>
        </w:tc>
        <w:tc>
          <w:tcPr>
            <w:tcW w:w="108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080" w:type="dxa"/>
            <w:vAlign w:val="bottom"/>
          </w:tcPr>
          <w:p>
            <w:pPr>
              <w:jc w:val="right"/>
              <w:ind w:right="873"/>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7,568</w:t>
            </w:r>
          </w:p>
        </w:tc>
        <w:tc>
          <w:tcPr>
            <w:tcW w:w="26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increases - tax positions in prior period</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Gross decreases - tax positions in prior period</w:t>
            </w:r>
          </w:p>
        </w:tc>
        <w:tc>
          <w:tcPr>
            <w:tcW w:w="108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(12 )</w:t>
            </w: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decreases - settlements with taxing authorities</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(36 )</w:t>
            </w: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120"/>
              <w:spacing w:after="0" w:line="182" w:lineRule="exact"/>
              <w:rPr>
                <w:sz w:val="20"/>
                <w:szCs w:val="20"/>
                <w:color w:val="auto"/>
              </w:rPr>
            </w:pPr>
            <w:r>
              <w:rPr>
                <w:rFonts w:ascii="Arial" w:cs="Arial" w:eastAsia="Arial" w:hAnsi="Arial"/>
                <w:sz w:val="18"/>
                <w:szCs w:val="18"/>
                <w:color w:val="auto"/>
              </w:rPr>
              <w:t>Balance of uncertain tax positions at the end of the year</w:t>
            </w:r>
          </w:p>
        </w:tc>
        <w:tc>
          <w:tcPr>
            <w:tcW w:w="1080" w:type="dxa"/>
            <w:vAlign w:val="bottom"/>
            <w:tcBorders>
              <w:top w:val="single" w:sz="8" w:color="auto"/>
              <w:bottom w:val="single" w:sz="8" w:color="auto"/>
            </w:tcBorders>
          </w:tcPr>
          <w:p>
            <w:pPr>
              <w:jc w:val="right"/>
              <w:ind w:right="873"/>
              <w:spacing w:after="0" w:line="182"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7,520</w:t>
            </w: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7,568</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As of December 31, 2021 and 2020, there was $7.5 million and $7.6 million, respectively, of unrecognized tax benefit that if recognized would be in the form of a net operating loss carryforward, which is expected to require a full valuation allowance based on present circumstances. The Company reversed $48,000 of previously recorded unrecognized tax expenses for the year 2021. The Company recognizes accrued interest related to unrecognized tax expenses and penalties as income tax expense. No significant amounts of interest or penalties have been recorded as of December 31, 2021.</w:t>
      </w:r>
    </w:p>
    <w:p>
      <w:pPr>
        <w:spacing w:after="0" w:line="155"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Ownership changes, as defined by Section 382 of the Internal Revenue Code of 1986, as amended (the “Code”), may limit the amount of net operating losses that a company may utilize to offset future taxable income and taxes payable. Pursuant to Section 382 of the Code, an ownership change occurs when the stock ownership of 5% stockholders increases by more than 50% over a testing period of three years. It is possible that the Company has undergone an ownership change as defined by Section 382 of the Code or that the Company may undergo such a change in the future. Any such ownership change may limit the Company’s ability to utilize net operating losses.</w:t>
      </w:r>
    </w:p>
    <w:p>
      <w:pPr>
        <w:spacing w:after="0" w:line="17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is subject to taxation in the United States and certain state jurisdictions. As of December 31, 2021, the Company’s tax returns for 2018, 2019 and 2020 are subject to full examination by the tax authorities. As of December 31, 2021, the Company is generally no longer subject to state or local examinations by tax authorities for years before 2018, except to the extent of NOLs generated in prior years claimed on a tax return.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21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The Company leases its facilities and some of its equipment under noncancelable operating lease arrangements that expire at various dates through 2023. In November 2016, the Company signed an office lease agreement to lease approximately 20,000 square feet of office space in Alpharetta, Georgia for its corporate headquarters. The lease agreement is for a six and one-half year term with a renewal option for one additional five-year term. Rental payments are $35,145 per month subject to an increase of 3% per year. Operating lease cost under this lease is recognized on a straight-line basis over the term of the lease. In addition, the lease agreement requires payment of the pro-rata share of the annual operating expenses associated with the premises.</w:t>
      </w:r>
    </w:p>
    <w:p>
      <w:pPr>
        <w:spacing w:after="0" w:line="15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In August 2018, the Company signed an office lease agreement to lease approximately 3,500 square feet of office space in Berkeley, California for its commercial operations. The lease agreement was for a two-year term with a renewal option for an additional one-year term. The Company did not exercise the renewal option for the Berkeley lease and terminated the lease on December 15, 2019, with no further payments due. The termination of the lease did not have a material impact on the Company’s statements of operations. Operating lease cost under this lease was recognized on a straight-line basis over the term of the lease. The Company also paid a pro-rata share of the annual operating expenses associated with the premises.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7"/>
                <w:szCs w:val="17"/>
                <w:color w:val="auto"/>
              </w:rPr>
            </w:pPr>
          </w:p>
        </w:tc>
      </w:tr>
      <w:tr>
        <w:trPr>
          <w:trHeight w:val="216"/>
        </w:trPr>
        <w:tc>
          <w:tcPr>
            <w:tcW w:w="9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236"/>
        </w:trPr>
        <w:tc>
          <w:tcPr>
            <w:tcW w:w="92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right-of-use asset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9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387</w:t>
            </w:r>
          </w:p>
        </w:tc>
        <w:tc>
          <w:tcPr>
            <w:tcW w:w="60" w:type="dxa"/>
            <w:vAlign w:val="bottom"/>
          </w:tcPr>
          <w:p>
            <w:pPr>
              <w:spacing w:after="0"/>
              <w:rPr>
                <w:sz w:val="17"/>
                <w:szCs w:val="17"/>
                <w:color w:val="auto"/>
              </w:rPr>
            </w:pPr>
          </w:p>
        </w:tc>
      </w:tr>
      <w:tr>
        <w:trPr>
          <w:trHeight w:val="203"/>
        </w:trPr>
        <w:tc>
          <w:tcPr>
            <w:tcW w:w="92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w:t>
            </w:r>
          </w:p>
        </w:tc>
        <w:tc>
          <w:tcPr>
            <w:tcW w:w="6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-702310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-685165</wp:posOffset>
            </wp:positionV>
            <wp:extent cx="43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December 31, 2021, the Company’s incremental borrowing rate was 11.0% and the remaining lease term was 1.75 years.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Minimum lease payments were as follows at December 31, 2021 (in thousands):</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7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1740" w:type="dxa"/>
            <w:vAlign w:val="bottom"/>
          </w:tcPr>
          <w:p>
            <w:pPr>
              <w:spacing w:after="0"/>
              <w:rPr>
                <w:sz w:val="17"/>
                <w:szCs w:val="17"/>
                <w:color w:val="auto"/>
              </w:rPr>
            </w:pPr>
          </w:p>
        </w:tc>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Year ending December 31,</w:t>
            </w:r>
          </w:p>
        </w:tc>
        <w:tc>
          <w:tcPr>
            <w:tcW w:w="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174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5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740" w:type="dxa"/>
            <w:vAlign w:val="bottom"/>
          </w:tcPr>
          <w:p>
            <w:pPr>
              <w:spacing w:after="0"/>
              <w:rPr>
                <w:sz w:val="17"/>
                <w:szCs w:val="17"/>
                <w:color w:val="auto"/>
              </w:rPr>
            </w:pPr>
          </w:p>
        </w:tc>
        <w:tc>
          <w:tcPr>
            <w:tcW w:w="5380" w:type="dxa"/>
            <w:vAlign w:val="bottom"/>
          </w:tcPr>
          <w:p>
            <w:pPr>
              <w:ind w:left="180"/>
              <w:spacing w:after="0" w:line="196" w:lineRule="exact"/>
              <w:rPr>
                <w:sz w:val="20"/>
                <w:szCs w:val="20"/>
                <w:color w:val="auto"/>
              </w:rPr>
            </w:pPr>
            <w:r>
              <w:rPr>
                <w:rFonts w:ascii="Arial" w:cs="Arial" w:eastAsia="Arial" w:hAnsi="Arial"/>
                <w:sz w:val="18"/>
                <w:szCs w:val="18"/>
                <w:color w:val="auto"/>
              </w:rPr>
              <w:t>Total minimum lease payments</w:t>
            </w:r>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723</w:t>
            </w:r>
          </w:p>
        </w:tc>
        <w:tc>
          <w:tcPr>
            <w:tcW w:w="1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5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5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(48 )</w:t>
            </w:r>
          </w:p>
        </w:tc>
      </w:tr>
      <w:tr>
        <w:trPr>
          <w:trHeight w:val="196"/>
        </w:trPr>
        <w:tc>
          <w:tcPr>
            <w:tcW w:w="1740" w:type="dxa"/>
            <w:vAlign w:val="bottom"/>
          </w:tcPr>
          <w:p>
            <w:pPr>
              <w:spacing w:after="0"/>
              <w:rPr>
                <w:sz w:val="17"/>
                <w:szCs w:val="17"/>
                <w:color w:val="auto"/>
              </w:rPr>
            </w:pPr>
          </w:p>
        </w:tc>
        <w:tc>
          <w:tcPr>
            <w:tcW w:w="538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operating lease liabilities</w:t>
            </w:r>
          </w:p>
        </w:tc>
        <w:tc>
          <w:tcPr>
            <w:tcW w:w="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w:t>
            </w:r>
          </w:p>
        </w:tc>
        <w:tc>
          <w:tcPr>
            <w:tcW w:w="100" w:type="dxa"/>
            <w:vAlign w:val="bottom"/>
            <w:tcBorders>
              <w:top w:val="single" w:sz="8" w:color="CFF0FC"/>
            </w:tcBorders>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-424815</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-159385</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17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Operating lease cost was $247,000 for each of the years ended December 31, 2021 and 2020, and $393,000 for the year ended 2019. Variable lease cost was $95,000 for each of the years ended December 31, 2021 and 2020, and $83,000 for the year ended 2019. Short-term lease cost was $8,000, $12,000 and $20,000 for the years ended December 31, 2021, 2020 and 2019,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212" w:lineRule="exact"/>
        <w:rPr>
          <w:sz w:val="20"/>
          <w:szCs w:val="20"/>
          <w:color w:val="auto"/>
        </w:rPr>
      </w:pPr>
    </w:p>
    <w:p>
      <w:pPr>
        <w:ind w:right="420" w:firstLine="509"/>
        <w:spacing w:after="0" w:line="324"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2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and Other Agreements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Bausch + Lomb</w:t>
      </w:r>
    </w:p>
    <w:p>
      <w:pPr>
        <w:spacing w:after="0" w:line="104"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On October 22, 2019, the Company entered into a License Agreement (as amended, the "Bausch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combination with the Device (“Other Products,” and together with XIPERE, the “Products”), subject to specified exceptions, in the United States and Canada (the “Territory”) for the treatment of ophthalmology indications, including non-infectious uveitis.</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Pursuant to the Bausch License Agreement, Bausch paid the Company an upfront payment of $5.0 million (the “Upfront Payment”) in October 2019. In October 2021, the FDA approved XIPERE. The Company received $5.0 million from Bausch as a result of the approval. In December 2021, $10.0 million was recorded upon completion of pre-launch activities for XIPERE and payment was received in January 2022.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w:t>
      </w:r>
    </w:p>
    <w:p>
      <w:pPr>
        <w:spacing w:after="0" w:line="18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 was responsible for all development expenses for XIPERE in the Territory until the Company's New Drug Application ("NDA") was approved by the FDA, subject to specified exceptions, as well as manufacturing costs in connection with the NDA. The Company was also responsible for all clinical and development expenses conducted to satisfy the FDA’s requests in the complete response letter issued on October 18, 2019 related to the NDA and any subsequent complete response letter related to the NDA (the “CRL-related expenses”). Following FDA approval of XIPERE, Bausch is responsible for all such expenses.</w:t>
      </w:r>
    </w:p>
    <w:p>
      <w:pPr>
        <w:spacing w:after="0" w:line="18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Due to the refund provisions in the License Agreement, the Upfront Payment was included on the balance sheet as deferred revenue as of December 31, 2020 and 2019. The refund provisions lapsed upon FDA approval of XIPERE and the $5.0 million was recognized as revenue in the fourth quarter of 2021.</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REGENXBIO, Inc</w:t>
      </w:r>
      <w:r>
        <w:rPr>
          <w:rFonts w:ascii="Arial" w:cs="Arial" w:eastAsia="Arial" w:hAnsi="Arial"/>
          <w:sz w:val="18"/>
          <w:szCs w:val="18"/>
          <w:color w:val="auto"/>
        </w:rPr>
        <w:t>.</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On August 29, 2019, the Company entered into an option and license agreement with REGENXBIO, Inc. (“REGENXBIO”) pursuant to which the Company granted REGENXBIO an exclusive option to enter into a commercial license agreement (the “Option”), which grants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 REGENXBIO exercised the Option in October 2019 and paid the Company an option fee equal to $2.0 million, less a credit of $0.5 million previously received under a technology access agreement. In addition, REGENXBIO has agreed to pay the Company up to an aggregate of $31.0 million in milestone payments upon the achievement of specified development milestones and up to an aggregate of $102.0 million in sales-based milestone payments, as well as mid-single digit royalties on net sales of products using the SCS Microinjector during the royalty term. In September 2020, the Company received $3.0 million in milestone payments under the Option.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Arctic Vision (Hong Kong) Limited</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“Arctic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19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Pursuant to the License Agreement, Arctic Vision paid the Company an upfront payment of $4.0 million in March 2020. In December 2021, the Company received a milestone payment of $4.0 million following the receipt of FDA approval of XIPERE in the United States.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firstLine="554"/>
        <w:spacing w:after="0" w:line="284" w:lineRule="auto"/>
        <w:rPr>
          <w:sz w:val="20"/>
          <w:szCs w:val="20"/>
          <w:color w:val="auto"/>
        </w:rPr>
      </w:pPr>
      <w:r>
        <w:rPr>
          <w:rFonts w:ascii="Arial" w:cs="Arial" w:eastAsia="Arial" w:hAnsi="Arial"/>
          <w:sz w:val="16"/>
          <w:szCs w:val="16"/>
          <w:color w:val="auto"/>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The Company recorded $13,000, $200,000 and $105,000 of revenue from these agreements during the years ended December 31, 2021,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16"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The Company’s material financial instruments at December 31, 2021 and 2020, consisted primarily of cash and cash equivalents and at December 31, 2020, also included long-term debt. The fair value of cash and cash equivalents, other current assets and accounts payable approximate their respective carrying values due to the short-term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significant transfers between Levels 1, 2 and 3 during the years ended December 31, 2021 and 2020.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16"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Basic net income (loss) per share is calculated by dividing the net income (loss) by the weighted average number of shares of common stock outstanding for the period, without consideration of the dilutive effect of potential common stock equivalents. Diluted net income (loss) per share gives effect to all dilutive potential shares of common stock outstanding during this period.</w:t>
      </w:r>
    </w:p>
    <w:p>
      <w:pPr>
        <w:spacing w:after="0" w:line="182"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For periods in which the Company incurred net losses, common stock equivalents were excluded which included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6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 - basic and diluted</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376</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(18,210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(30,770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shares - basic</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58,491,986</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46,506,540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38,170,830</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Stock options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1,058,134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120"/>
              <w:spacing w:after="0" w:line="202" w:lineRule="exact"/>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342,943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ESPP</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13,539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5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 average shares - diluted</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59,906,602</w:t>
            </w: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46,506,540</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38,170,830</w:t>
            </w:r>
          </w:p>
        </w:tc>
        <w:tc>
          <w:tcPr>
            <w:tcW w:w="80" w:type="dxa"/>
            <w:vAlign w:val="bottom"/>
            <w:tcBorders>
              <w:top w:val="single" w:sz="8" w:color="CFF0FC"/>
            </w:tcBorders>
          </w:tcPr>
          <w:p>
            <w:pPr>
              <w:spacing w:after="0"/>
              <w:rPr>
                <w:sz w:val="17"/>
                <w:szCs w:val="17"/>
                <w:color w:val="auto"/>
              </w:rPr>
            </w:pPr>
          </w:p>
        </w:tc>
      </w:tr>
      <w:tr>
        <w:trPr>
          <w:trHeight w:val="203"/>
        </w:trPr>
        <w:tc>
          <w:tcPr>
            <w:tcW w:w="6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spacing w:after="0"/>
              <w:rPr>
                <w:sz w:val="17"/>
                <w:szCs w:val="17"/>
                <w:color w:val="auto"/>
              </w:rPr>
            </w:pPr>
          </w:p>
        </w:tc>
        <w:tc>
          <w:tcPr>
            <w:tcW w:w="130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income (loss) per share - basic</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(0.39 )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(0.81 )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per share - diluted</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(0.39 )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-519430</wp:posOffset>
            </wp:positionV>
            <wp:extent cx="431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-519430</wp:posOffset>
            </wp:positionV>
            <wp:extent cx="5143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-519430</wp:posOffset>
            </wp:positionV>
            <wp:extent cx="514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income (loss) per share for all periods presented because of their antidilutive effect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6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360" w:type="dxa"/>
            <w:vAlign w:val="bottom"/>
            <w:gridSpan w:val="2"/>
          </w:tcPr>
          <w:p>
            <w:pPr>
              <w:jc w:val="right"/>
              <w:ind w:right="350"/>
              <w:spacing w:after="0" w:line="182"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5"/>
                <w:szCs w:val="15"/>
                <w:color w:val="auto"/>
              </w:rPr>
            </w:pPr>
          </w:p>
        </w:tc>
        <w:tc>
          <w:tcPr>
            <w:tcW w:w="124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stock options</w:t>
            </w:r>
          </w:p>
        </w:tc>
        <w:tc>
          <w:tcPr>
            <w:tcW w:w="216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4,704,194</w:t>
            </w:r>
          </w:p>
        </w:tc>
        <w:tc>
          <w:tcPr>
            <w:tcW w:w="240" w:type="dxa"/>
            <w:vAlign w:val="bottom"/>
            <w:gridSpan w:val="2"/>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4,248,193</w:t>
            </w: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4,104,450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3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974,404</w:t>
            </w:r>
          </w:p>
        </w:tc>
        <w:tc>
          <w:tcPr>
            <w:tcW w:w="1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767,271</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1,269,300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 purchase warrants</w:t>
            </w:r>
          </w:p>
        </w:tc>
        <w:tc>
          <w:tcPr>
            <w:tcW w:w="21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29,796</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29,796</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29,796</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5,708,394</w:t>
            </w:r>
          </w:p>
        </w:tc>
        <w:tc>
          <w:tcPr>
            <w:tcW w:w="1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5,045,260</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5,403,546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60" w:type="dxa"/>
            <w:vAlign w:val="bottom"/>
            <w:vMerge w:val="restart"/>
          </w:tcPr>
          <w:p>
            <w:pPr>
              <w:jc w:val="right"/>
              <w:ind w:right="590"/>
              <w:spacing w:after="0"/>
              <w:rPr>
                <w:sz w:val="20"/>
                <w:szCs w:val="20"/>
                <w:color w:val="auto"/>
              </w:rPr>
            </w:pPr>
            <w:r>
              <w:rPr>
                <w:rFonts w:ascii="Arial" w:cs="Arial" w:eastAsia="Arial" w:hAnsi="Arial"/>
                <w:sz w:val="18"/>
                <w:szCs w:val="18"/>
                <w:color w:val="auto"/>
              </w:rPr>
              <w:t>88</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-1177925</wp:posOffset>
            </wp:positionV>
            <wp:extent cx="85090"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090" cy="16256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-1177925</wp:posOffset>
            </wp:positionV>
            <wp:extent cx="76835" cy="162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-1177925</wp:posOffset>
            </wp:positionV>
            <wp:extent cx="85725" cy="162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-639445</wp:posOffset>
            </wp:positionV>
            <wp:extent cx="5969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-639445</wp:posOffset>
            </wp:positionV>
            <wp:extent cx="5143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3"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December 31, 2021. Based on that evaluation, our Chief Executive Officer and Chief Financial Officer concluded that our disclosure controls and procedures were effective as of the end of the period covered by this report at the reasonable assurance level.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Report of the Registered Public Accounting Firm</w:t>
      </w:r>
    </w:p>
    <w:p>
      <w:pPr>
        <w:spacing w:after="0" w:line="115"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2021, our internal control over financial reporting was effective.</w:t>
      </w:r>
    </w:p>
    <w:p>
      <w:pPr>
        <w:spacing w:after="0" w:line="17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regarding internal control over financial reporting as required by Section 404(c) of the Sarbanes Oxley Act of 2002. Because we qualify as a non-accelerated filer and a smaller reporting company under SEC rules, management's report was not subject to attestation by our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333333"/>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333333"/>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300" w:firstLine="509"/>
        <w:spacing w:after="0" w:line="275" w:lineRule="auto"/>
        <w:rPr>
          <w:sz w:val="20"/>
          <w:szCs w:val="20"/>
          <w:color w:val="auto"/>
        </w:rPr>
      </w:pPr>
      <w:r>
        <w:rPr>
          <w:rFonts w:ascii="Arial" w:cs="Arial" w:eastAsia="Arial" w:hAnsi="Arial"/>
          <w:sz w:val="18"/>
          <w:szCs w:val="18"/>
          <w:color w:val="auto"/>
        </w:rPr>
        <w:t>We will file a definitive Proxy Statement for our 2022 Annual Meeting of Stockholders (the “2022 Proxy Statement”) with the SEC, pursuant to Regulation 14A, not later than 120 days after the end of our fiscal year. Accordingly, certain information required by Part III has been omitted under General Instruction G(3) to Form 10-K. Only those sections of the 2022 Proxy Statement that specifically address the items set forth herein are incorporated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The information required by Item 10 is hereby incorporated by reference to the sections of the 2022 Proxy Statement under the captions</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"Information Regarding the Board of Directors and Corporate Governance," "Election of Directors," and "Information About Our Executive Officers."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information required by Item 11 is hereby incorporated by reference to the sections of the 2022 Proxy Statement under the captions "Executive Compensation" and "Non-Employee Director Compensation."</w:t>
      </w:r>
    </w:p>
    <w:p>
      <w:pPr>
        <w:spacing w:after="0" w:line="260"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2" w:lineRule="exact"/>
        <w:rPr>
          <w:sz w:val="20"/>
          <w:szCs w:val="20"/>
          <w:color w:val="auto"/>
        </w:rPr>
      </w:pPr>
    </w:p>
    <w:p>
      <w:pPr>
        <w:ind w:right="180" w:firstLine="509"/>
        <w:spacing w:after="0" w:line="324" w:lineRule="auto"/>
        <w:rPr>
          <w:sz w:val="20"/>
          <w:szCs w:val="20"/>
          <w:color w:val="auto"/>
        </w:rPr>
      </w:pPr>
      <w:r>
        <w:rPr>
          <w:rFonts w:ascii="Arial" w:cs="Arial" w:eastAsia="Arial" w:hAnsi="Arial"/>
          <w:sz w:val="17"/>
          <w:szCs w:val="17"/>
          <w:color w:val="auto"/>
        </w:rPr>
        <w:t>The information required by Item 12 is hereby incorporated by reference to the sections of the 2022 Proxy Statement under the captions "Security Ownership of Certain Beneficial Owners and Management" and "Securities Authorized for Issuance under Equity Compensation Plans."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900" w:firstLine="509"/>
        <w:spacing w:after="0" w:line="293" w:lineRule="auto"/>
        <w:rPr>
          <w:sz w:val="20"/>
          <w:szCs w:val="20"/>
          <w:color w:val="auto"/>
        </w:rPr>
      </w:pPr>
      <w:r>
        <w:rPr>
          <w:rFonts w:ascii="Arial" w:cs="Arial" w:eastAsia="Arial" w:hAnsi="Arial"/>
          <w:sz w:val="18"/>
          <w:szCs w:val="18"/>
          <w:color w:val="auto"/>
        </w:rPr>
        <w:t>The information required by Item 13 is hereby incorporated by reference to the sections of the 2022 Proxy Statement under the captions "Transactions with Related Persons" and "Independence of the Board of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information required by Item 14 is hereby incorporated by reference to the sections of the 2022 Proxy Statement under the caption "Ratification of Selection of Independent Auditors."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1" w:name="page92"/>
    <w:bookmarkEnd w:id="91"/>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included in Item 8. “Financial Statements and Supplementary Data.”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schedules are omitted as information required is inapplicable or the information is presented in the financial statements and the related notes.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ind w:left="6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spacing w:after="0"/>
              <w:rPr>
                <w:sz w:val="16"/>
                <w:szCs w:val="16"/>
                <w:color w:val="auto"/>
              </w:rPr>
            </w:pPr>
          </w:p>
        </w:tc>
        <w:tc>
          <w:tcPr>
            <w:tcW w:w="8700" w:type="dxa"/>
            <w:vAlign w:val="bottom"/>
            <w:gridSpan w:val="43"/>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210"/>
        </w:trPr>
        <w:tc>
          <w:tcPr>
            <w:tcW w:w="1320" w:type="dxa"/>
            <w:vAlign w:val="bottom"/>
          </w:tcPr>
          <w:p>
            <w:pPr>
              <w:ind w:left="60"/>
              <w:spacing w:after="0"/>
              <w:rPr>
                <w:sz w:val="20"/>
                <w:szCs w:val="20"/>
                <w:color w:val="auto"/>
              </w:rPr>
            </w:pPr>
            <w:r>
              <w:rPr>
                <w:rFonts w:ascii="Arial" w:cs="Arial" w:eastAsia="Arial" w:hAnsi="Arial"/>
                <w:sz w:val="16"/>
                <w:szCs w:val="16"/>
                <w:b w:val="1"/>
                <w:bCs w:val="1"/>
                <w:color w:val="auto"/>
              </w:rPr>
              <w:t>number</w:t>
            </w:r>
          </w:p>
        </w:tc>
        <w:tc>
          <w:tcPr>
            <w:tcW w:w="1240" w:type="dxa"/>
            <w:vAlign w:val="bottom"/>
          </w:tcPr>
          <w:p>
            <w:pPr>
              <w:spacing w:after="0"/>
              <w:rPr>
                <w:sz w:val="18"/>
                <w:szCs w:val="18"/>
                <w:color w:val="auto"/>
              </w:rPr>
            </w:pPr>
          </w:p>
        </w:tc>
        <w:tc>
          <w:tcPr>
            <w:tcW w:w="8700" w:type="dxa"/>
            <w:vAlign w:val="bottom"/>
            <w:gridSpan w:val="4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20" w:type="dxa"/>
            <w:vAlign w:val="bottom"/>
          </w:tcPr>
          <w:p>
            <w:pPr>
              <w:ind w:left="60"/>
              <w:spacing w:after="0"/>
              <w:rPr>
                <w:sz w:val="20"/>
                <w:szCs w:val="20"/>
                <w:color w:val="auto"/>
              </w:rPr>
            </w:pPr>
            <w:r>
              <w:rPr>
                <w:rFonts w:ascii="Arial" w:cs="Arial" w:eastAsia="Arial" w:hAnsi="Arial"/>
                <w:sz w:val="16"/>
                <w:szCs w:val="16"/>
                <w:color w:val="auto"/>
              </w:rPr>
              <w:t>3.1</w:t>
            </w:r>
          </w:p>
        </w:tc>
        <w:tc>
          <w:tcPr>
            <w:tcW w:w="1240" w:type="dxa"/>
            <w:vAlign w:val="bottom"/>
          </w:tcPr>
          <w:p>
            <w:pPr>
              <w:spacing w:after="0"/>
              <w:rPr>
                <w:sz w:val="22"/>
                <w:szCs w:val="22"/>
                <w:color w:val="auto"/>
              </w:rPr>
            </w:pPr>
          </w:p>
        </w:tc>
        <w:tc>
          <w:tcPr>
            <w:tcW w:w="8700" w:type="dxa"/>
            <w:vAlign w:val="bottom"/>
            <w:gridSpan w:val="43"/>
          </w:tcPr>
          <w:p>
            <w:pPr>
              <w:spacing w:after="0"/>
              <w:rPr>
                <w:rFonts w:ascii="Arial" w:cs="Arial" w:eastAsia="Arial" w:hAnsi="Arial"/>
                <w:sz w:val="16"/>
                <w:szCs w:val="16"/>
                <w:color w:val="0000FF"/>
                <w:w w:val="97"/>
              </w:rPr>
            </w:pPr>
            <w:hyperlink r:id="rId321">
              <w:r>
                <w:rPr>
                  <w:rFonts w:ascii="Arial" w:cs="Arial" w:eastAsia="Arial" w:hAnsi="Arial"/>
                  <w:sz w:val="16"/>
                  <w:szCs w:val="16"/>
                  <w:color w:val="0000FF"/>
                  <w:w w:val="97"/>
                </w:rPr>
                <w:t>Amended and Restated Certificate of Incorporation (incorporated herein by reference to Exhibit 3.1 to the Registrant’s Current</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1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2"/>
              </w:rPr>
            </w:pPr>
            <w:hyperlink r:id="rId321">
              <w:r>
                <w:rPr>
                  <w:rFonts w:ascii="Arial" w:cs="Arial" w:eastAsia="Arial" w:hAnsi="Arial"/>
                  <w:sz w:val="16"/>
                  <w:szCs w:val="16"/>
                  <w:color w:val="0000FF"/>
                  <w:w w:val="92"/>
                </w:rPr>
                <w:t>Report on Form 8-K (File No. 001-37783) filed with the SEC on June 7, 2016).</w:t>
              </w:r>
            </w:hyperlink>
          </w:p>
        </w:tc>
        <w:tc>
          <w:tcPr>
            <w:tcW w:w="20" w:type="dxa"/>
            <w:vAlign w:val="bottom"/>
            <w:tcBorders>
              <w:top w:val="single" w:sz="8" w:color="0000FF"/>
              <w:bottom w:val="single" w:sz="8" w:color="0000EE"/>
            </w:tcBorders>
          </w:tcPr>
          <w:p>
            <w:pPr>
              <w:spacing w:after="0"/>
              <w:rPr>
                <w:sz w:val="12"/>
                <w:szCs w:val="12"/>
                <w:color w:val="auto"/>
              </w:rPr>
            </w:pPr>
          </w:p>
        </w:tc>
        <w:tc>
          <w:tcPr>
            <w:tcW w:w="308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3.2</w:t>
            </w:r>
          </w:p>
        </w:tc>
        <w:tc>
          <w:tcPr>
            <w:tcW w:w="1240" w:type="dxa"/>
            <w:vAlign w:val="bottom"/>
          </w:tcPr>
          <w:p>
            <w:pPr>
              <w:spacing w:after="0"/>
              <w:rPr>
                <w:sz w:val="24"/>
                <w:szCs w:val="24"/>
                <w:color w:val="auto"/>
              </w:rPr>
            </w:pPr>
          </w:p>
        </w:tc>
        <w:tc>
          <w:tcPr>
            <w:tcW w:w="8700" w:type="dxa"/>
            <w:vAlign w:val="bottom"/>
            <w:gridSpan w:val="43"/>
          </w:tcPr>
          <w:p>
            <w:pPr>
              <w:spacing w:after="0"/>
              <w:rPr>
                <w:rFonts w:ascii="Arial" w:cs="Arial" w:eastAsia="Arial" w:hAnsi="Arial"/>
                <w:sz w:val="16"/>
                <w:szCs w:val="16"/>
                <w:color w:val="0000FF"/>
                <w:w w:val="92"/>
              </w:rPr>
            </w:pPr>
            <w:hyperlink r:id="rId322">
              <w:r>
                <w:rPr>
                  <w:rFonts w:ascii="Arial" w:cs="Arial" w:eastAsia="Arial" w:hAnsi="Arial"/>
                  <w:sz w:val="16"/>
                  <w:szCs w:val="16"/>
                  <w:color w:val="0000FF"/>
                  <w:w w:val="92"/>
                </w:rPr>
                <w:t>Amended and Restated Bylaws (incorporated herein by reference to Exhibit 3.2 to the Registrant’s Current Report on Form 8-K (File</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8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322">
              <w:r>
                <w:rPr>
                  <w:rFonts w:ascii="Arial" w:cs="Arial" w:eastAsia="Arial" w:hAnsi="Arial"/>
                  <w:sz w:val="16"/>
                  <w:szCs w:val="16"/>
                  <w:color w:val="0000FF"/>
                </w:rPr>
                <w:t>No. 001-37783) filed with the SEC on June 7, 2016).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4.1</w:t>
            </w:r>
          </w:p>
        </w:tc>
        <w:tc>
          <w:tcPr>
            <w:tcW w:w="1240" w:type="dxa"/>
            <w:vAlign w:val="bottom"/>
          </w:tcPr>
          <w:p>
            <w:pPr>
              <w:spacing w:after="0"/>
              <w:rPr>
                <w:sz w:val="24"/>
                <w:szCs w:val="24"/>
                <w:color w:val="auto"/>
              </w:rPr>
            </w:pPr>
          </w:p>
        </w:tc>
        <w:tc>
          <w:tcPr>
            <w:tcW w:w="8700" w:type="dxa"/>
            <w:vAlign w:val="bottom"/>
            <w:gridSpan w:val="43"/>
          </w:tcPr>
          <w:p>
            <w:pPr>
              <w:spacing w:after="0"/>
              <w:rPr>
                <w:rFonts w:ascii="Arial" w:cs="Arial" w:eastAsia="Arial" w:hAnsi="Arial"/>
                <w:sz w:val="16"/>
                <w:szCs w:val="16"/>
                <w:color w:val="0000FF"/>
                <w:w w:val="93"/>
              </w:rPr>
            </w:pPr>
            <w:hyperlink r:id="rId323">
              <w:r>
                <w:rPr>
                  <w:rFonts w:ascii="Arial" w:cs="Arial" w:eastAsia="Arial" w:hAnsi="Arial"/>
                  <w:sz w:val="16"/>
                  <w:szCs w:val="16"/>
                  <w:color w:val="0000FF"/>
                  <w:w w:val="93"/>
                </w:rPr>
                <w:t>Specimen stock certificate evidencing shares of Common Stock (incorporated herein by reference to Exhibit 4.1 to Amendment No.</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7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2"/>
              </w:rPr>
            </w:pPr>
            <w:hyperlink r:id="rId323">
              <w:r>
                <w:rPr>
                  <w:rFonts w:ascii="Arial" w:cs="Arial" w:eastAsia="Arial" w:hAnsi="Arial"/>
                  <w:sz w:val="16"/>
                  <w:szCs w:val="16"/>
                  <w:color w:val="0000FF"/>
                  <w:w w:val="92"/>
                </w:rPr>
                <w:t>1 to the Registrant’s Registration Statement on Form S-1 (File No. 333-208916) filed with the SEC on March 18, 2016).</w:t>
              </w:r>
            </w:hyperlink>
          </w:p>
        </w:tc>
        <w:tc>
          <w:tcPr>
            <w:tcW w:w="8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4.2</w:t>
            </w:r>
          </w:p>
        </w:tc>
        <w:tc>
          <w:tcPr>
            <w:tcW w:w="1240" w:type="dxa"/>
            <w:vAlign w:val="bottom"/>
          </w:tcPr>
          <w:p>
            <w:pPr>
              <w:spacing w:after="0"/>
              <w:rPr>
                <w:sz w:val="24"/>
                <w:szCs w:val="24"/>
                <w:color w:val="auto"/>
              </w:rPr>
            </w:pPr>
          </w:p>
        </w:tc>
        <w:tc>
          <w:tcPr>
            <w:tcW w:w="8700" w:type="dxa"/>
            <w:vAlign w:val="bottom"/>
            <w:gridSpan w:val="43"/>
          </w:tcPr>
          <w:p>
            <w:pPr>
              <w:spacing w:after="0"/>
              <w:rPr>
                <w:rFonts w:ascii="Arial" w:cs="Arial" w:eastAsia="Arial" w:hAnsi="Arial"/>
                <w:sz w:val="16"/>
                <w:szCs w:val="16"/>
                <w:color w:val="0000FF"/>
                <w:w w:val="92"/>
              </w:rPr>
            </w:pPr>
            <w:hyperlink r:id="rId324">
              <w:r>
                <w:rPr>
                  <w:rFonts w:ascii="Arial" w:cs="Arial" w:eastAsia="Arial" w:hAnsi="Arial"/>
                  <w:sz w:val="16"/>
                  <w:szCs w:val="16"/>
                  <w:color w:val="0000FF"/>
                  <w:w w:val="92"/>
                </w:rPr>
                <w:t>Third Amended and Restated Investor Rights Agreement, dated as of November 23, 2015, by and among the Registrant and certain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37"/>
          </w:tcPr>
          <w:p>
            <w:pPr>
              <w:spacing w:after="0" w:line="142" w:lineRule="exact"/>
              <w:rPr>
                <w:rFonts w:ascii="Arial" w:cs="Arial" w:eastAsia="Arial" w:hAnsi="Arial"/>
                <w:sz w:val="16"/>
                <w:szCs w:val="16"/>
                <w:color w:val="0000FF"/>
                <w:w w:val="92"/>
              </w:rPr>
            </w:pPr>
            <w:hyperlink r:id="rId324">
              <w:r>
                <w:rPr>
                  <w:rFonts w:ascii="Arial" w:cs="Arial" w:eastAsia="Arial" w:hAnsi="Arial"/>
                  <w:sz w:val="16"/>
                  <w:szCs w:val="16"/>
                  <w:color w:val="0000FF"/>
                  <w:w w:val="92"/>
                </w:rPr>
                <w:t>of its stockholders (incorporated herein by reference to Exhibit 4.2 to the Registrant’s Registration Statement on Form S-1 (File No.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0" w:type="dxa"/>
            <w:vAlign w:val="bottom"/>
            <w:tcBorders>
              <w:bottom w:val="single" w:sz="8" w:color="0000FF"/>
            </w:tcBorders>
            <w:gridSpan w:val="12"/>
          </w:tcPr>
          <w:p>
            <w:pPr>
              <w:spacing w:after="0" w:line="142" w:lineRule="exact"/>
              <w:rPr>
                <w:rFonts w:ascii="Arial" w:cs="Arial" w:eastAsia="Arial" w:hAnsi="Arial"/>
                <w:sz w:val="16"/>
                <w:szCs w:val="16"/>
                <w:color w:val="0000FF"/>
                <w:w w:val="92"/>
              </w:rPr>
            </w:pPr>
            <w:hyperlink r:id="rId324">
              <w:r>
                <w:rPr>
                  <w:rFonts w:ascii="Arial" w:cs="Arial" w:eastAsia="Arial" w:hAnsi="Arial"/>
                  <w:sz w:val="16"/>
                  <w:szCs w:val="16"/>
                  <w:color w:val="0000FF"/>
                  <w:w w:val="92"/>
                </w:rPr>
                <w:t>333-208916), filed with the Commission on January 8, 2016).</w:t>
              </w:r>
            </w:hyperlink>
          </w:p>
        </w:tc>
        <w:tc>
          <w:tcPr>
            <w:tcW w:w="20" w:type="dxa"/>
            <w:vAlign w:val="bottom"/>
            <w:tcBorders>
              <w:bottom w:val="single" w:sz="8" w:color="0000EE"/>
            </w:tcBorders>
          </w:tcPr>
          <w:p>
            <w:pPr>
              <w:spacing w:after="0"/>
              <w:rPr>
                <w:sz w:val="12"/>
                <w:szCs w:val="12"/>
                <w:color w:val="auto"/>
              </w:rPr>
            </w:pPr>
          </w:p>
        </w:tc>
        <w:tc>
          <w:tcPr>
            <w:tcW w:w="4600" w:type="dxa"/>
            <w:vAlign w:val="bottom"/>
            <w:gridSpan w:val="2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4.3</w:t>
            </w:r>
          </w:p>
        </w:tc>
        <w:tc>
          <w:tcPr>
            <w:tcW w:w="1240" w:type="dxa"/>
            <w:vAlign w:val="bottom"/>
          </w:tcPr>
          <w:p>
            <w:pPr>
              <w:spacing w:after="0"/>
              <w:rPr>
                <w:sz w:val="24"/>
                <w:szCs w:val="24"/>
                <w:color w:val="auto"/>
              </w:rPr>
            </w:pPr>
          </w:p>
        </w:tc>
        <w:tc>
          <w:tcPr>
            <w:tcW w:w="8700" w:type="dxa"/>
            <w:vAlign w:val="bottom"/>
            <w:gridSpan w:val="43"/>
          </w:tcPr>
          <w:p>
            <w:pPr>
              <w:spacing w:after="0"/>
              <w:rPr>
                <w:rFonts w:ascii="Arial" w:cs="Arial" w:eastAsia="Arial" w:hAnsi="Arial"/>
                <w:sz w:val="16"/>
                <w:szCs w:val="16"/>
                <w:color w:val="0000FF"/>
                <w:w w:val="93"/>
              </w:rPr>
            </w:pPr>
            <w:hyperlink r:id="rId325">
              <w:r>
                <w:rPr>
                  <w:rFonts w:ascii="Arial" w:cs="Arial" w:eastAsia="Arial" w:hAnsi="Arial"/>
                  <w:sz w:val="16"/>
                  <w:szCs w:val="16"/>
                  <w:color w:val="0000FF"/>
                  <w:w w:val="93"/>
                </w:rPr>
                <w:t>Form of Warrant to Purchase Common Stock issued to lenders in September 2016 in connection with Amended and Restated Loan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500" w:type="dxa"/>
            <w:vAlign w:val="bottom"/>
            <w:tcBorders>
              <w:top w:val="single" w:sz="8" w:color="0000FF"/>
            </w:tcBorders>
            <w:gridSpan w:val="33"/>
          </w:tcPr>
          <w:p>
            <w:pPr>
              <w:spacing w:after="0" w:line="142" w:lineRule="exact"/>
              <w:rPr>
                <w:rFonts w:ascii="Arial" w:cs="Arial" w:eastAsia="Arial" w:hAnsi="Arial"/>
                <w:sz w:val="16"/>
                <w:szCs w:val="16"/>
                <w:color w:val="0000FF"/>
                <w:w w:val="93"/>
              </w:rPr>
            </w:pPr>
            <w:hyperlink r:id="rId325">
              <w:r>
                <w:rPr>
                  <w:rFonts w:ascii="Arial" w:cs="Arial" w:eastAsia="Arial" w:hAnsi="Arial"/>
                  <w:sz w:val="16"/>
                  <w:szCs w:val="16"/>
                  <w:color w:val="0000FF"/>
                  <w:w w:val="93"/>
                </w:rPr>
                <w:t>and Security Agreement (incorporated herein by reference to Exhibit 4.1 to the Registrant’s Current Report on Form 8-K (File No.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325">
              <w:r>
                <w:rPr>
                  <w:rFonts w:ascii="Arial" w:cs="Arial" w:eastAsia="Arial" w:hAnsi="Arial"/>
                  <w:sz w:val="16"/>
                  <w:szCs w:val="16"/>
                  <w:color w:val="0000FF"/>
                </w:rPr>
                <w:t>001-37783), filed with the Commission on October 4, 2016).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4.4</w:t>
            </w:r>
          </w:p>
        </w:tc>
        <w:tc>
          <w:tcPr>
            <w:tcW w:w="1240" w:type="dxa"/>
            <w:vAlign w:val="bottom"/>
          </w:tcPr>
          <w:p>
            <w:pPr>
              <w:spacing w:after="0"/>
              <w:rPr>
                <w:sz w:val="24"/>
                <w:szCs w:val="24"/>
                <w:color w:val="auto"/>
              </w:rPr>
            </w:pPr>
          </w:p>
        </w:tc>
        <w:tc>
          <w:tcPr>
            <w:tcW w:w="8700" w:type="dxa"/>
            <w:vAlign w:val="bottom"/>
            <w:gridSpan w:val="43"/>
          </w:tcPr>
          <w:p>
            <w:pPr>
              <w:spacing w:after="0"/>
              <w:rPr>
                <w:rFonts w:ascii="Arial" w:cs="Arial" w:eastAsia="Arial" w:hAnsi="Arial"/>
                <w:sz w:val="16"/>
                <w:szCs w:val="16"/>
                <w:color w:val="0000FF"/>
                <w:w w:val="97"/>
              </w:rPr>
            </w:pPr>
            <w:hyperlink r:id="rId326">
              <w:r>
                <w:rPr>
                  <w:rFonts w:ascii="Arial" w:cs="Arial" w:eastAsia="Arial" w:hAnsi="Arial"/>
                  <w:sz w:val="16"/>
                  <w:szCs w:val="16"/>
                  <w:color w:val="0000FF"/>
                  <w:w w:val="97"/>
                </w:rPr>
                <w:t>Description of Common Stock of Clearside Biomedical, Inc. (incorporated herein by reference to Exhibit 4.4 to the Registrant’s</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3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26">
              <w:r>
                <w:rPr>
                  <w:rFonts w:ascii="Arial" w:cs="Arial" w:eastAsia="Arial" w:hAnsi="Arial"/>
                  <w:sz w:val="16"/>
                  <w:szCs w:val="16"/>
                  <w:color w:val="0000FF"/>
                </w:rPr>
                <w:t>Annual Report on Form 10-K (File No. 001-37783), filed with the Commission on March 13,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4.5</w:t>
            </w:r>
          </w:p>
        </w:tc>
        <w:tc>
          <w:tcPr>
            <w:tcW w:w="1240" w:type="dxa"/>
            <w:vAlign w:val="bottom"/>
          </w:tcPr>
          <w:p>
            <w:pPr>
              <w:spacing w:after="0"/>
              <w:rPr>
                <w:sz w:val="24"/>
                <w:szCs w:val="24"/>
                <w:color w:val="auto"/>
              </w:rPr>
            </w:pPr>
          </w:p>
        </w:tc>
        <w:tc>
          <w:tcPr>
            <w:tcW w:w="8700" w:type="dxa"/>
            <w:vAlign w:val="bottom"/>
            <w:gridSpan w:val="43"/>
          </w:tcPr>
          <w:p>
            <w:pPr>
              <w:spacing w:after="0"/>
              <w:rPr>
                <w:rFonts w:ascii="Arial" w:cs="Arial" w:eastAsia="Arial" w:hAnsi="Arial"/>
                <w:sz w:val="16"/>
                <w:szCs w:val="16"/>
                <w:color w:val="0000FF"/>
                <w:w w:val="96"/>
              </w:rPr>
            </w:pPr>
            <w:hyperlink r:id="rId327">
              <w:r>
                <w:rPr>
                  <w:rFonts w:ascii="Arial" w:cs="Arial" w:eastAsia="Arial" w:hAnsi="Arial"/>
                  <w:sz w:val="16"/>
                  <w:szCs w:val="16"/>
                  <w:color w:val="0000FF"/>
                  <w:w w:val="96"/>
                </w:rPr>
                <w:t>Registration Rights Agreement, by and among the Registrant and the Investors named therein, dated as of November 22,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00" w:type="dxa"/>
            <w:vAlign w:val="bottom"/>
            <w:gridSpan w:val="43"/>
          </w:tcPr>
          <w:p>
            <w:pPr>
              <w:spacing w:after="0" w:line="142" w:lineRule="exact"/>
              <w:rPr>
                <w:rFonts w:ascii="Arial" w:cs="Arial" w:eastAsia="Arial" w:hAnsi="Arial"/>
                <w:sz w:val="16"/>
                <w:szCs w:val="16"/>
                <w:color w:val="0000FF"/>
                <w:w w:val="96"/>
              </w:rPr>
            </w:pPr>
            <w:hyperlink r:id="rId327">
              <w:r>
                <w:rPr>
                  <w:rFonts w:ascii="Arial" w:cs="Arial" w:eastAsia="Arial" w:hAnsi="Arial"/>
                  <w:sz w:val="16"/>
                  <w:szCs w:val="16"/>
                  <w:color w:val="0000FF"/>
                  <w:w w:val="96"/>
                </w:rPr>
                <w:t>(incorporated herein by reference to Exhibit 10.2 to the Registrant’s Current Report on Form 8-K (File No. 001-37783), filed with</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327">
              <w:r>
                <w:rPr>
                  <w:rFonts w:ascii="Arial" w:cs="Arial" w:eastAsia="Arial" w:hAnsi="Arial"/>
                  <w:sz w:val="16"/>
                  <w:szCs w:val="16"/>
                  <w:color w:val="0000FF"/>
                </w:rPr>
                <w:t>the Commission on November 25, 2019).</w:t>
              </w:r>
            </w:hyperlink>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10.1</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w w:val="93"/>
              </w:rPr>
            </w:pPr>
            <w:hyperlink r:id="rId328">
              <w:r>
                <w:rPr>
                  <w:rFonts w:ascii="Arial" w:cs="Arial" w:eastAsia="Arial" w:hAnsi="Arial"/>
                  <w:sz w:val="16"/>
                  <w:szCs w:val="16"/>
                  <w:color w:val="0000FF"/>
                  <w:w w:val="93"/>
                </w:rPr>
                <w:t>License Agreement, by and among the Registrant, Emory University and The Georgia Tech Research Corporation, dated as of July</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w w:val="91"/>
              </w:rPr>
            </w:pPr>
            <w:hyperlink r:id="rId328">
              <w:r>
                <w:rPr>
                  <w:rFonts w:ascii="Arial" w:cs="Arial" w:eastAsia="Arial" w:hAnsi="Arial"/>
                  <w:sz w:val="16"/>
                  <w:szCs w:val="16"/>
                  <w:color w:val="0000FF"/>
                  <w:w w:val="91"/>
                </w:rPr>
                <w:t>4, 2012, as amended by the First Amendment to License Agreement, dated April 2, 2014 (incorporated herein by reference to</w:t>
              </w:r>
            </w:hyperlink>
          </w:p>
        </w:tc>
        <w:tc>
          <w:tcPr>
            <w:tcW w:w="3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00" w:type="dxa"/>
            <w:vAlign w:val="bottom"/>
            <w:gridSpan w:val="43"/>
          </w:tcPr>
          <w:p>
            <w:pPr>
              <w:spacing w:after="0" w:line="142" w:lineRule="exact"/>
              <w:rPr>
                <w:rFonts w:ascii="Arial" w:cs="Arial" w:eastAsia="Arial" w:hAnsi="Arial"/>
                <w:sz w:val="16"/>
                <w:szCs w:val="16"/>
                <w:color w:val="0000FF"/>
                <w:w w:val="93"/>
              </w:rPr>
            </w:pPr>
            <w:hyperlink r:id="rId328">
              <w:r>
                <w:rPr>
                  <w:rFonts w:ascii="Arial" w:cs="Arial" w:eastAsia="Arial" w:hAnsi="Arial"/>
                  <w:sz w:val="16"/>
                  <w:szCs w:val="16"/>
                  <w:color w:val="0000FF"/>
                  <w:w w:val="93"/>
                </w:rPr>
                <w:t>Exhibit 10.1 to the Registrant’s Registration Statement on Form S-1 (File No. 333-208916), filed with the Commission on January 8,</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3"/>
              </w:rPr>
            </w:pPr>
            <w:hyperlink r:id="rId328">
              <w:r>
                <w:rPr>
                  <w:rFonts w:ascii="Arial" w:cs="Arial" w:eastAsia="Arial" w:hAnsi="Arial"/>
                  <w:sz w:val="16"/>
                  <w:szCs w:val="16"/>
                  <w:color w:val="0000FF"/>
                  <w:w w:val="83"/>
                </w:rPr>
                <w:t>2016).</w:t>
              </w:r>
            </w:hyperlink>
          </w:p>
        </w:tc>
        <w:tc>
          <w:tcPr>
            <w:tcW w:w="20" w:type="dxa"/>
            <w:vAlign w:val="bottom"/>
            <w:tcBorders>
              <w:top w:val="single" w:sz="8" w:color="0000FF"/>
              <w:bottom w:val="single" w:sz="8" w:color="0000EE"/>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10.2</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w w:val="95"/>
              </w:rPr>
            </w:pPr>
            <w:hyperlink r:id="rId329">
              <w:r>
                <w:rPr>
                  <w:rFonts w:ascii="Arial" w:cs="Arial" w:eastAsia="Arial" w:hAnsi="Arial"/>
                  <w:sz w:val="16"/>
                  <w:szCs w:val="16"/>
                  <w:color w:val="0000FF"/>
                  <w:w w:val="95"/>
                </w:rPr>
                <w:t>2011 Stock Incentive Plan, as amended to date (incorporated herein by reference to Exhibit 10.3 to the Registrant’s Registration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3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329">
              <w:r>
                <w:rPr>
                  <w:rFonts w:ascii="Arial" w:cs="Arial" w:eastAsia="Arial" w:hAnsi="Arial"/>
                  <w:sz w:val="16"/>
                  <w:szCs w:val="16"/>
                  <w:color w:val="0000FF"/>
                </w:rPr>
                <w:t>Statement on Form S-1 (File No. 333-208916), filed with the Commission on January 8,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tcBorders>
              <w:right w:val="single" w:sz="8" w:color="0000EE"/>
            </w:tcBorders>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gridSpan w:val="3"/>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10.3</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w w:val="93"/>
              </w:rPr>
            </w:pPr>
            <w:hyperlink r:id="rId330">
              <w:r>
                <w:rPr>
                  <w:rFonts w:ascii="Arial" w:cs="Arial" w:eastAsia="Arial" w:hAnsi="Arial"/>
                  <w:sz w:val="16"/>
                  <w:szCs w:val="16"/>
                  <w:color w:val="0000FF"/>
                  <w:w w:val="93"/>
                </w:rPr>
                <w:t>Form of Incentive Stock Option Grant Notice and Incentive Stock Option Agreement under 2011 Stock Incentive Plan (incorporated</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60" w:type="dxa"/>
            <w:vAlign w:val="bottom"/>
            <w:tcBorders>
              <w:top w:val="single" w:sz="8" w:color="0000FF"/>
            </w:tcBorders>
            <w:gridSpan w:val="41"/>
          </w:tcPr>
          <w:p>
            <w:pPr>
              <w:spacing w:after="0" w:line="142" w:lineRule="exact"/>
              <w:rPr>
                <w:rFonts w:ascii="Arial" w:cs="Arial" w:eastAsia="Arial" w:hAnsi="Arial"/>
                <w:sz w:val="16"/>
                <w:szCs w:val="16"/>
                <w:color w:val="0000FF"/>
                <w:w w:val="96"/>
              </w:rPr>
            </w:pPr>
            <w:hyperlink r:id="rId330">
              <w:r>
                <w:rPr>
                  <w:rFonts w:ascii="Arial" w:cs="Arial" w:eastAsia="Arial" w:hAnsi="Arial"/>
                  <w:sz w:val="16"/>
                  <w:szCs w:val="16"/>
                  <w:color w:val="0000FF"/>
                  <w:w w:val="96"/>
                </w:rPr>
                <w:t>herein by reference to Exhibit 10.4 to the Registrant’s Registration Statement on Form S-1 (File No. 333-208916), filed with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0"/>
              </w:rPr>
            </w:pPr>
            <w:hyperlink r:id="rId330">
              <w:r>
                <w:rPr>
                  <w:rFonts w:ascii="Arial" w:cs="Arial" w:eastAsia="Arial" w:hAnsi="Arial"/>
                  <w:sz w:val="16"/>
                  <w:szCs w:val="16"/>
                  <w:color w:val="0000FF"/>
                  <w:w w:val="90"/>
                </w:rPr>
                <w:t>Commission on January 8, 2016).</w:t>
              </w:r>
            </w:hyperlink>
          </w:p>
        </w:tc>
        <w:tc>
          <w:tcPr>
            <w:tcW w:w="20" w:type="dxa"/>
            <w:vAlign w:val="bottom"/>
            <w:tcBorders>
              <w:top w:val="single" w:sz="8" w:color="0000FF"/>
              <w:bottom w:val="single" w:sz="8" w:color="0000EE"/>
            </w:tcBorders>
          </w:tcPr>
          <w:p>
            <w:pPr>
              <w:spacing w:after="0"/>
              <w:rPr>
                <w:sz w:val="12"/>
                <w:szCs w:val="12"/>
                <w:color w:val="auto"/>
              </w:rPr>
            </w:pPr>
          </w:p>
        </w:tc>
        <w:tc>
          <w:tcPr>
            <w:tcW w:w="61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10.4</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w w:val="98"/>
              </w:rPr>
            </w:pPr>
            <w:hyperlink r:id="rId331">
              <w:r>
                <w:rPr>
                  <w:rFonts w:ascii="Arial" w:cs="Arial" w:eastAsia="Arial" w:hAnsi="Arial"/>
                  <w:sz w:val="16"/>
                  <w:szCs w:val="16"/>
                  <w:color w:val="0000FF"/>
                  <w:w w:val="98"/>
                </w:rPr>
                <w:t>Form of Nonqualified Stock Option Grant Notice and Nonqualified Stock Option Agreement under 2011 Stock Incentive Plan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2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w w:val="90"/>
              </w:rPr>
            </w:pPr>
            <w:hyperlink r:id="rId331">
              <w:r>
                <w:rPr>
                  <w:rFonts w:ascii="Arial" w:cs="Arial" w:eastAsia="Arial" w:hAnsi="Arial"/>
                  <w:sz w:val="16"/>
                  <w:szCs w:val="16"/>
                  <w:color w:val="0000FF"/>
                  <w:w w:val="90"/>
                </w:rPr>
                <w:t>(incorporated herein by reference to Exhibit 10.5 to the Registrant’s Registration Statement on Form S-1 (File No. 333-208916),</w:t>
              </w:r>
            </w:hyperlink>
          </w:p>
        </w:tc>
        <w:tc>
          <w:tcPr>
            <w:tcW w:w="140" w:type="dxa"/>
            <w:vAlign w:val="bottom"/>
            <w:tcBorders>
              <w:bottom w:val="single" w:sz="8" w:color="0000FF"/>
            </w:tcBorders>
            <w:gridSpan w:val="5"/>
          </w:tcPr>
          <w:p>
            <w:pPr>
              <w:spacing w:after="0"/>
              <w:rPr>
                <w:sz w:val="12"/>
                <w:szCs w:val="12"/>
                <w:color w:val="auto"/>
              </w:rPr>
            </w:pPr>
          </w:p>
        </w:tc>
        <w:tc>
          <w:tcPr>
            <w:tcW w:w="1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80" w:type="dxa"/>
            <w:vAlign w:val="bottom"/>
            <w:tcBorders>
              <w:bottom w:val="single" w:sz="8" w:color="0000FF"/>
            </w:tcBorders>
            <w:gridSpan w:val="8"/>
          </w:tcPr>
          <w:p>
            <w:pPr>
              <w:spacing w:after="0" w:line="142" w:lineRule="exact"/>
              <w:rPr>
                <w:rFonts w:ascii="Arial" w:cs="Arial" w:eastAsia="Arial" w:hAnsi="Arial"/>
                <w:sz w:val="16"/>
                <w:szCs w:val="16"/>
                <w:color w:val="0000FF"/>
                <w:w w:val="91"/>
              </w:rPr>
            </w:pPr>
            <w:hyperlink r:id="rId331">
              <w:r>
                <w:rPr>
                  <w:rFonts w:ascii="Arial" w:cs="Arial" w:eastAsia="Arial" w:hAnsi="Arial"/>
                  <w:sz w:val="16"/>
                  <w:szCs w:val="16"/>
                  <w:color w:val="0000FF"/>
                  <w:w w:val="91"/>
                </w:rPr>
                <w:t>filed with the Commission on January 8, 2016).</w:t>
              </w:r>
            </w:hyperlink>
          </w:p>
        </w:tc>
        <w:tc>
          <w:tcPr>
            <w:tcW w:w="20" w:type="dxa"/>
            <w:vAlign w:val="bottom"/>
            <w:tcBorders>
              <w:bottom w:val="single" w:sz="8" w:color="0000EE"/>
            </w:tcBorders>
          </w:tcPr>
          <w:p>
            <w:pPr>
              <w:spacing w:after="0"/>
              <w:rPr>
                <w:sz w:val="12"/>
                <w:szCs w:val="12"/>
                <w:color w:val="auto"/>
              </w:rPr>
            </w:pPr>
          </w:p>
        </w:tc>
        <w:tc>
          <w:tcPr>
            <w:tcW w:w="5260" w:type="dxa"/>
            <w:vAlign w:val="bottom"/>
            <w:gridSpan w:val="21"/>
          </w:tcPr>
          <w:p>
            <w:pPr>
              <w:spacing w:after="0"/>
              <w:rPr>
                <w:sz w:val="12"/>
                <w:szCs w:val="12"/>
                <w:color w:val="auto"/>
              </w:rPr>
            </w:pPr>
          </w:p>
        </w:tc>
        <w:tc>
          <w:tcPr>
            <w:tcW w:w="1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10.5</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w w:val="94"/>
              </w:rPr>
            </w:pPr>
            <w:hyperlink r:id="rId332">
              <w:r>
                <w:rPr>
                  <w:rFonts w:ascii="Arial" w:cs="Arial" w:eastAsia="Arial" w:hAnsi="Arial"/>
                  <w:sz w:val="16"/>
                  <w:szCs w:val="16"/>
                  <w:color w:val="0000FF"/>
                  <w:w w:val="94"/>
                </w:rPr>
                <w:t>2016 Equity Incentive Plan (incorporated herein by reference to Exhibit 4.7 to the Registrant’s Registration Statement on Form S-8</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2"/>
              </w:rPr>
            </w:pPr>
            <w:hyperlink r:id="rId332">
              <w:r>
                <w:rPr>
                  <w:rFonts w:ascii="Arial" w:cs="Arial" w:eastAsia="Arial" w:hAnsi="Arial"/>
                  <w:sz w:val="16"/>
                  <w:szCs w:val="16"/>
                  <w:color w:val="0000FF"/>
                  <w:w w:val="92"/>
                </w:rPr>
                <w:t>(File No. 333-212014), file with the Commission on June 14, 2016).</w:t>
              </w:r>
            </w:hyperlink>
          </w:p>
        </w:tc>
        <w:tc>
          <w:tcPr>
            <w:tcW w:w="20" w:type="dxa"/>
            <w:vAlign w:val="bottom"/>
            <w:tcBorders>
              <w:top w:val="single" w:sz="8" w:color="0000FF"/>
              <w:bottom w:val="single" w:sz="8" w:color="0000EE"/>
            </w:tcBorders>
          </w:tcPr>
          <w:p>
            <w:pPr>
              <w:spacing w:after="0"/>
              <w:rPr>
                <w:sz w:val="12"/>
                <w:szCs w:val="12"/>
                <w:color w:val="auto"/>
              </w:rPr>
            </w:pPr>
          </w:p>
        </w:tc>
        <w:tc>
          <w:tcPr>
            <w:tcW w:w="41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10.6</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rPr>
            </w:pPr>
            <w:hyperlink r:id="rId333">
              <w:r>
                <w:rPr>
                  <w:rFonts w:ascii="Arial" w:cs="Arial" w:eastAsia="Arial" w:hAnsi="Arial"/>
                  <w:sz w:val="16"/>
                  <w:szCs w:val="16"/>
                  <w:color w:val="0000FF"/>
                </w:rPr>
                <w:t>Form of Stock Option Grant Notice and Stock Option Agreement under 2016 Equity Incentive Plan (incorporated herein by</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40" w:type="dxa"/>
            <w:vAlign w:val="bottom"/>
            <w:tcBorders>
              <w:top w:val="single" w:sz="8" w:color="0000FF"/>
            </w:tcBorders>
            <w:gridSpan w:val="23"/>
          </w:tcPr>
          <w:p>
            <w:pPr>
              <w:spacing w:after="0" w:line="142" w:lineRule="exact"/>
              <w:rPr>
                <w:rFonts w:ascii="Arial" w:cs="Arial" w:eastAsia="Arial" w:hAnsi="Arial"/>
                <w:sz w:val="16"/>
                <w:szCs w:val="16"/>
                <w:color w:val="0000FF"/>
                <w:w w:val="90"/>
              </w:rPr>
            </w:pPr>
            <w:hyperlink r:id="rId333">
              <w:r>
                <w:rPr>
                  <w:rFonts w:ascii="Arial" w:cs="Arial" w:eastAsia="Arial" w:hAnsi="Arial"/>
                  <w:sz w:val="16"/>
                  <w:szCs w:val="16"/>
                  <w:color w:val="0000FF"/>
                  <w:w w:val="90"/>
                </w:rPr>
                <w:t>reference to Exhibit 10.7 to Amendment No. 1 to the Registrant’s Registration Statement on Form S-1 (File No. 333-208916),</w:t>
              </w:r>
            </w:hyperlink>
          </w:p>
        </w:tc>
        <w:tc>
          <w:tcPr>
            <w:tcW w:w="660" w:type="dxa"/>
            <w:vAlign w:val="bottom"/>
            <w:gridSpan w:val="20"/>
          </w:tcPr>
          <w:p>
            <w:pPr>
              <w:ind w:left="140"/>
              <w:spacing w:after="0" w:line="142" w:lineRule="exact"/>
              <w:rPr>
                <w:rFonts w:ascii="Arial" w:cs="Arial" w:eastAsia="Arial" w:hAnsi="Arial"/>
                <w:sz w:val="16"/>
                <w:szCs w:val="16"/>
                <w:color w:val="0000FF"/>
              </w:rPr>
            </w:pPr>
            <w:hyperlink r:id="rId333">
              <w:r>
                <w:rPr>
                  <w:rFonts w:ascii="Arial" w:cs="Arial" w:eastAsia="Arial" w:hAnsi="Arial"/>
                  <w:sz w:val="16"/>
                  <w:szCs w:val="16"/>
                  <w:color w:val="0000FF"/>
                </w:rPr>
                <w:t>filed</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333">
              <w:r>
                <w:rPr>
                  <w:rFonts w:ascii="Arial" w:cs="Arial" w:eastAsia="Arial" w:hAnsi="Arial"/>
                  <w:sz w:val="16"/>
                  <w:szCs w:val="16"/>
                  <w:color w:val="0000FF"/>
                  <w:w w:val="92"/>
                </w:rPr>
                <w:t>with the Commission on March 18, 2016).</w:t>
              </w:r>
            </w:hyperlink>
          </w:p>
        </w:tc>
        <w:tc>
          <w:tcPr>
            <w:tcW w:w="20" w:type="dxa"/>
            <w:vAlign w:val="bottom"/>
            <w:tcBorders>
              <w:top w:val="single" w:sz="8" w:color="0000FF"/>
              <w:bottom w:val="single" w:sz="8" w:color="0000EE"/>
            </w:tcBorders>
          </w:tcPr>
          <w:p>
            <w:pPr>
              <w:spacing w:after="0"/>
              <w:rPr>
                <w:sz w:val="12"/>
                <w:szCs w:val="12"/>
                <w:color w:val="auto"/>
              </w:rPr>
            </w:pPr>
          </w:p>
        </w:tc>
        <w:tc>
          <w:tcPr>
            <w:tcW w:w="5800" w:type="dxa"/>
            <w:vAlign w:val="bottom"/>
            <w:tcBorders>
              <w:top w:val="single" w:sz="8" w:color="0000FF"/>
            </w:tcBorders>
            <w:gridSpan w:val="29"/>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20" w:type="dxa"/>
            <w:vAlign w:val="bottom"/>
          </w:tcPr>
          <w:p>
            <w:pPr>
              <w:ind w:left="60"/>
              <w:spacing w:after="0"/>
              <w:rPr>
                <w:sz w:val="20"/>
                <w:szCs w:val="20"/>
                <w:color w:val="auto"/>
              </w:rPr>
            </w:pPr>
            <w:r>
              <w:rPr>
                <w:rFonts w:ascii="Arial" w:cs="Arial" w:eastAsia="Arial" w:hAnsi="Arial"/>
                <w:sz w:val="16"/>
                <w:szCs w:val="16"/>
                <w:color w:val="auto"/>
              </w:rPr>
              <w:t>10.7</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700" w:type="dxa"/>
            <w:vAlign w:val="bottom"/>
            <w:gridSpan w:val="43"/>
          </w:tcPr>
          <w:p>
            <w:pPr>
              <w:spacing w:after="0"/>
              <w:rPr>
                <w:rFonts w:ascii="Arial" w:cs="Arial" w:eastAsia="Arial" w:hAnsi="Arial"/>
                <w:sz w:val="16"/>
                <w:szCs w:val="16"/>
                <w:color w:val="0000FF"/>
              </w:rPr>
            </w:pPr>
            <w:hyperlink r:id="rId334">
              <w:r>
                <w:rPr>
                  <w:rFonts w:ascii="Arial" w:cs="Arial" w:eastAsia="Arial" w:hAnsi="Arial"/>
                  <w:sz w:val="16"/>
                  <w:szCs w:val="16"/>
                  <w:color w:val="0000FF"/>
                </w:rPr>
                <w:t>Form of Restricted Stock Unit Grant Notice and Restricted Stock Unit Award Agreement under 2016 Equity Incentive Plan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20" w:type="dxa"/>
            <w:vAlign w:val="bottom"/>
            <w:tcBorders>
              <w:top w:val="single" w:sz="8" w:color="0000FF"/>
            </w:tcBorders>
            <w:gridSpan w:val="22"/>
          </w:tcPr>
          <w:p>
            <w:pPr>
              <w:spacing w:after="0" w:line="142" w:lineRule="exact"/>
              <w:rPr>
                <w:rFonts w:ascii="Arial" w:cs="Arial" w:eastAsia="Arial" w:hAnsi="Arial"/>
                <w:sz w:val="16"/>
                <w:szCs w:val="16"/>
                <w:color w:val="0000FF"/>
                <w:w w:val="91"/>
              </w:rPr>
            </w:pPr>
            <w:hyperlink r:id="rId334">
              <w:r>
                <w:rPr>
                  <w:rFonts w:ascii="Arial" w:cs="Arial" w:eastAsia="Arial" w:hAnsi="Arial"/>
                  <w:sz w:val="16"/>
                  <w:szCs w:val="16"/>
                  <w:color w:val="0000FF"/>
                  <w:w w:val="91"/>
                </w:rPr>
                <w:t>(incorporated herein by reference to Exhibit 10.8 to Amendment No. 1 to the Registrant’s Registration Statement on Form S</w:t>
              </w:r>
            </w:hyperlink>
          </w:p>
        </w:tc>
        <w:tc>
          <w:tcPr>
            <w:tcW w:w="680" w:type="dxa"/>
            <w:vAlign w:val="bottom"/>
            <w:gridSpan w:val="21"/>
          </w:tcPr>
          <w:p>
            <w:pPr>
              <w:spacing w:after="0" w:line="142" w:lineRule="exact"/>
              <w:rPr>
                <w:rFonts w:ascii="Arial" w:cs="Arial" w:eastAsia="Arial" w:hAnsi="Arial"/>
                <w:sz w:val="16"/>
                <w:szCs w:val="16"/>
                <w:color w:val="0000FF"/>
              </w:rPr>
            </w:pPr>
            <w:hyperlink r:id="rId334">
              <w:r>
                <w:rPr>
                  <w:rFonts w:ascii="Arial" w:cs="Arial" w:eastAsia="Arial" w:hAnsi="Arial"/>
                  <w:sz w:val="16"/>
                  <w:szCs w:val="16"/>
                  <w:color w:val="0000FF"/>
                </w:rPr>
                <w:t>-1 (File</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3"/>
              </w:rPr>
            </w:pPr>
            <w:hyperlink r:id="rId334">
              <w:r>
                <w:rPr>
                  <w:rFonts w:ascii="Arial" w:cs="Arial" w:eastAsia="Arial" w:hAnsi="Arial"/>
                  <w:sz w:val="16"/>
                  <w:szCs w:val="16"/>
                  <w:color w:val="0000FF"/>
                  <w:w w:val="93"/>
                </w:rPr>
                <w:t>No. 333-208916), filed with the Commission on March 18, 2016).</w:t>
              </w:r>
            </w:hyperlink>
          </w:p>
        </w:tc>
        <w:tc>
          <w:tcPr>
            <w:tcW w:w="4320" w:type="dxa"/>
            <w:vAlign w:val="bottom"/>
            <w:tcBorders>
              <w:top w:val="single" w:sz="8" w:color="0000FF"/>
            </w:tcBorders>
            <w:gridSpan w:val="2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641"/>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10"/>
          </w:tcPr>
          <w:p>
            <w:pPr>
              <w:jc w:val="right"/>
              <w:ind w:right="28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Arial" w:cs="Arial" w:eastAsia="Arial" w:hAnsi="Arial"/>
                <w:sz w:val="16"/>
                <w:szCs w:val="16"/>
                <w:color w:val="auto"/>
              </w:rPr>
              <w:t>10.8</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620" w:type="dxa"/>
            <w:vAlign w:val="bottom"/>
            <w:gridSpan w:val="10"/>
          </w:tcPr>
          <w:p>
            <w:pPr>
              <w:spacing w:after="0"/>
              <w:rPr>
                <w:rFonts w:ascii="Arial" w:cs="Arial" w:eastAsia="Arial" w:hAnsi="Arial"/>
                <w:sz w:val="16"/>
                <w:szCs w:val="16"/>
                <w:color w:val="0000FF"/>
              </w:rPr>
            </w:pPr>
            <w:hyperlink r:id="rId338">
              <w:r>
                <w:rPr>
                  <w:rFonts w:ascii="Arial" w:cs="Arial" w:eastAsia="Arial" w:hAnsi="Arial"/>
                  <w:sz w:val="16"/>
                  <w:szCs w:val="16"/>
                  <w:color w:val="0000FF"/>
                </w:rPr>
                <w:t>Form of Indemnification Agreement with non-employee directors (incorporated herein by reference to Exhibit 10.9 to the</w:t>
              </w:r>
            </w:hyperlink>
          </w:p>
        </w:tc>
      </w:tr>
      <w:tr>
        <w:trPr>
          <w:trHeight w:val="142"/>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2"/>
              </w:rPr>
            </w:pPr>
            <w:hyperlink r:id="rId338">
              <w:r>
                <w:rPr>
                  <w:rFonts w:ascii="Arial" w:cs="Arial" w:eastAsia="Arial" w:hAnsi="Arial"/>
                  <w:sz w:val="16"/>
                  <w:szCs w:val="16"/>
                  <w:color w:val="0000FF"/>
                  <w:w w:val="92"/>
                </w:rPr>
                <w:t>Registrant’s Registration Statement on Form S-1 (File No. 333-208916), filed with the Commission on January 8, 2016).</w:t>
              </w:r>
            </w:hyperlink>
          </w:p>
        </w:tc>
        <w:tc>
          <w:tcPr>
            <w:tcW w:w="80" w:type="dxa"/>
            <w:vAlign w:val="bottom"/>
            <w:tcBorders>
              <w:top w:val="single" w:sz="8" w:color="0000FF"/>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6"/>
                <w:szCs w:val="16"/>
                <w:color w:val="auto"/>
              </w:rPr>
              <w:t>10.9</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620" w:type="dxa"/>
            <w:vAlign w:val="bottom"/>
            <w:gridSpan w:val="10"/>
          </w:tcPr>
          <w:p>
            <w:pPr>
              <w:spacing w:after="0"/>
              <w:rPr>
                <w:rFonts w:ascii="Arial" w:cs="Arial" w:eastAsia="Arial" w:hAnsi="Arial"/>
                <w:sz w:val="16"/>
                <w:szCs w:val="16"/>
                <w:color w:val="0000FF"/>
                <w:w w:val="98"/>
              </w:rPr>
            </w:pPr>
            <w:hyperlink r:id="rId339">
              <w:r>
                <w:rPr>
                  <w:rFonts w:ascii="Arial" w:cs="Arial" w:eastAsia="Arial" w:hAnsi="Arial"/>
                  <w:sz w:val="16"/>
                  <w:szCs w:val="16"/>
                  <w:color w:val="0000FF"/>
                  <w:w w:val="98"/>
                </w:rPr>
                <w:t>Form of 2016 Employee Stock Purchase Plan (incorporated herein by reference to Exhibit 10.12 to Amendment No. 1 to the</w:t>
              </w:r>
            </w:hyperlink>
          </w:p>
        </w:tc>
      </w:tr>
      <w:tr>
        <w:trPr>
          <w:trHeight w:val="142"/>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2"/>
              </w:rPr>
            </w:pPr>
            <w:hyperlink r:id="rId339">
              <w:r>
                <w:rPr>
                  <w:rFonts w:ascii="Arial" w:cs="Arial" w:eastAsia="Arial" w:hAnsi="Arial"/>
                  <w:sz w:val="16"/>
                  <w:szCs w:val="16"/>
                  <w:color w:val="0000FF"/>
                  <w:w w:val="92"/>
                </w:rPr>
                <w:t>Registrant’s Registration Statement on Form S-1 (File No. 333-208916), filed with the Commission on March 18, 2016).</w:t>
              </w:r>
            </w:hyperlink>
          </w:p>
        </w:tc>
        <w:tc>
          <w:tcPr>
            <w:tcW w:w="20" w:type="dxa"/>
            <w:vAlign w:val="bottom"/>
            <w:tcBorders>
              <w:top w:val="single" w:sz="8" w:color="0000FF"/>
              <w:bottom w:val="single" w:sz="8" w:color="0000EE"/>
            </w:tcBorders>
          </w:tcPr>
          <w:p>
            <w:pPr>
              <w:spacing w:after="0"/>
              <w:rPr>
                <w:sz w:val="12"/>
                <w:szCs w:val="12"/>
                <w:color w:val="auto"/>
              </w:rPr>
            </w:pPr>
          </w:p>
        </w:tc>
        <w:tc>
          <w:tcPr>
            <w:tcW w:w="24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6"/>
                <w:szCs w:val="16"/>
                <w:color w:val="auto"/>
              </w:rPr>
              <w:t>10.10</w:t>
            </w:r>
          </w:p>
        </w:tc>
        <w:tc>
          <w:tcPr>
            <w:tcW w:w="1340" w:type="dxa"/>
            <w:vAlign w:val="bottom"/>
          </w:tcPr>
          <w:p>
            <w:pPr>
              <w:spacing w:after="0"/>
              <w:rPr>
                <w:sz w:val="24"/>
                <w:szCs w:val="24"/>
                <w:color w:val="auto"/>
              </w:rPr>
            </w:pPr>
          </w:p>
        </w:tc>
        <w:tc>
          <w:tcPr>
            <w:tcW w:w="8620" w:type="dxa"/>
            <w:vAlign w:val="bottom"/>
            <w:gridSpan w:val="10"/>
          </w:tcPr>
          <w:p>
            <w:pPr>
              <w:spacing w:after="0"/>
              <w:rPr>
                <w:rFonts w:ascii="Arial" w:cs="Arial" w:eastAsia="Arial" w:hAnsi="Arial"/>
                <w:sz w:val="16"/>
                <w:szCs w:val="16"/>
                <w:color w:val="0000FF"/>
                <w:w w:val="92"/>
              </w:rPr>
            </w:pPr>
            <w:hyperlink r:id="rId340">
              <w:r>
                <w:rPr>
                  <w:rFonts w:ascii="Arial" w:cs="Arial" w:eastAsia="Arial" w:hAnsi="Arial"/>
                  <w:sz w:val="16"/>
                  <w:szCs w:val="16"/>
                  <w:color w:val="0000FF"/>
                  <w:w w:val="92"/>
                </w:rPr>
                <w:t>Office Lease Agreement, dated November 21, 2016, by and between the Registrant and BRE/COH GA LLC (incorporated herein by</w:t>
              </w:r>
            </w:hyperlink>
          </w:p>
        </w:tc>
      </w:tr>
      <w:tr>
        <w:trPr>
          <w:trHeight w:val="142"/>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20" w:type="dxa"/>
            <w:vAlign w:val="bottom"/>
            <w:tcBorders>
              <w:top w:val="single" w:sz="8" w:color="0000FF"/>
            </w:tcBorders>
            <w:gridSpan w:val="10"/>
          </w:tcPr>
          <w:p>
            <w:pPr>
              <w:spacing w:after="0" w:line="142" w:lineRule="exact"/>
              <w:rPr>
                <w:rFonts w:ascii="Arial" w:cs="Arial" w:eastAsia="Arial" w:hAnsi="Arial"/>
                <w:sz w:val="16"/>
                <w:szCs w:val="16"/>
                <w:color w:val="0000FF"/>
                <w:w w:val="98"/>
              </w:rPr>
            </w:pPr>
            <w:hyperlink r:id="rId340">
              <w:r>
                <w:rPr>
                  <w:rFonts w:ascii="Arial" w:cs="Arial" w:eastAsia="Arial" w:hAnsi="Arial"/>
                  <w:sz w:val="16"/>
                  <w:szCs w:val="16"/>
                  <w:color w:val="0000FF"/>
                  <w:w w:val="98"/>
                </w:rPr>
                <w:t>reference to Exhibit 10.1 to the Registrant’s Current Report on Form 8-K (File No. 001-37783), filed with the Commission on</w:t>
              </w:r>
            </w:hyperlink>
          </w:p>
        </w:tc>
      </w:tr>
      <w:tr>
        <w:trPr>
          <w:trHeight w:val="142"/>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1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340">
              <w:r>
                <w:rPr>
                  <w:rFonts w:ascii="Arial" w:cs="Arial" w:eastAsia="Arial" w:hAnsi="Arial"/>
                  <w:sz w:val="16"/>
                  <w:szCs w:val="16"/>
                  <w:color w:val="0000FF"/>
                </w:rPr>
                <w:t>November 23, 2016).</w:t>
              </w:r>
            </w:hyperlink>
          </w:p>
        </w:tc>
        <w:tc>
          <w:tcPr>
            <w:tcW w:w="44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6"/>
                <w:szCs w:val="16"/>
                <w:color w:val="auto"/>
              </w:rPr>
              <w:t>10.11</w:t>
            </w:r>
          </w:p>
        </w:tc>
        <w:tc>
          <w:tcPr>
            <w:tcW w:w="1340" w:type="dxa"/>
            <w:vAlign w:val="bottom"/>
          </w:tcPr>
          <w:p>
            <w:pPr>
              <w:spacing w:after="0"/>
              <w:rPr>
                <w:sz w:val="24"/>
                <w:szCs w:val="24"/>
                <w:color w:val="auto"/>
              </w:rPr>
            </w:pPr>
          </w:p>
        </w:tc>
        <w:tc>
          <w:tcPr>
            <w:tcW w:w="8620" w:type="dxa"/>
            <w:vAlign w:val="bottom"/>
            <w:gridSpan w:val="10"/>
          </w:tcPr>
          <w:p>
            <w:pPr>
              <w:spacing w:after="0"/>
              <w:rPr>
                <w:rFonts w:ascii="Arial" w:cs="Arial" w:eastAsia="Arial" w:hAnsi="Arial"/>
                <w:sz w:val="16"/>
                <w:szCs w:val="16"/>
                <w:color w:val="0000FF"/>
                <w:w w:val="96"/>
              </w:rPr>
            </w:pPr>
            <w:hyperlink r:id="rId341">
              <w:r>
                <w:rPr>
                  <w:rFonts w:ascii="Arial" w:cs="Arial" w:eastAsia="Arial" w:hAnsi="Arial"/>
                  <w:sz w:val="16"/>
                  <w:szCs w:val="16"/>
                  <w:color w:val="0000FF"/>
                  <w:w w:val="96"/>
                </w:rPr>
                <w:t>Second Amendment to License Agreement, by and among the Registrant, Emory University and The Georgia Tech Research</w:t>
              </w:r>
            </w:hyperlink>
          </w:p>
        </w:tc>
      </w:tr>
      <w:tr>
        <w:trPr>
          <w:trHeight w:val="20"/>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20" w:type="dxa"/>
            <w:vAlign w:val="bottom"/>
            <w:tcBorders>
              <w:bottom w:val="single" w:sz="8" w:color="0000FF"/>
            </w:tcBorders>
            <w:gridSpan w:val="10"/>
          </w:tcPr>
          <w:p>
            <w:pPr>
              <w:spacing w:after="0" w:line="142" w:lineRule="exact"/>
              <w:rPr>
                <w:rFonts w:ascii="Arial" w:cs="Arial" w:eastAsia="Arial" w:hAnsi="Arial"/>
                <w:sz w:val="16"/>
                <w:szCs w:val="16"/>
                <w:color w:val="0000FF"/>
                <w:w w:val="91"/>
              </w:rPr>
            </w:pPr>
            <w:hyperlink r:id="rId341">
              <w:r>
                <w:rPr>
                  <w:rFonts w:ascii="Arial" w:cs="Arial" w:eastAsia="Arial" w:hAnsi="Arial"/>
                  <w:sz w:val="16"/>
                  <w:szCs w:val="16"/>
                  <w:color w:val="0000FF"/>
                  <w:w w:val="91"/>
                </w:rPr>
                <w:t>Corporation, dated December 12, 2016 (incorporated herein by reference to Exhibit 10.21 to the Registrant’s Annual Report on Form</w:t>
              </w:r>
            </w:hyperlink>
          </w:p>
        </w:tc>
      </w:tr>
      <w:tr>
        <w:trPr>
          <w:trHeight w:val="142"/>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920" w:type="dxa"/>
            <w:vAlign w:val="bottom"/>
            <w:tcBorders>
              <w:bottom w:val="single" w:sz="8" w:color="0000FF"/>
            </w:tcBorders>
            <w:gridSpan w:val="2"/>
          </w:tcPr>
          <w:p>
            <w:pPr>
              <w:spacing w:after="0" w:line="142" w:lineRule="exact"/>
              <w:rPr>
                <w:rFonts w:ascii="Arial" w:cs="Arial" w:eastAsia="Arial" w:hAnsi="Arial"/>
                <w:sz w:val="16"/>
                <w:szCs w:val="16"/>
                <w:color w:val="0000FF"/>
                <w:w w:val="93"/>
              </w:rPr>
            </w:pPr>
            <w:hyperlink r:id="rId341">
              <w:r>
                <w:rPr>
                  <w:rFonts w:ascii="Arial" w:cs="Arial" w:eastAsia="Arial" w:hAnsi="Arial"/>
                  <w:sz w:val="16"/>
                  <w:szCs w:val="16"/>
                  <w:color w:val="0000FF"/>
                  <w:w w:val="93"/>
                </w:rPr>
                <w:t>10-K (File No. 001-37783), filed with the Commission on March 16, 2017).</w:t>
              </w:r>
            </w:hyperlink>
          </w:p>
        </w:tc>
        <w:tc>
          <w:tcPr>
            <w:tcW w:w="20" w:type="dxa"/>
            <w:vAlign w:val="bottom"/>
            <w:tcBorders>
              <w:bottom w:val="single" w:sz="8" w:color="0000EE"/>
            </w:tcBorders>
          </w:tcPr>
          <w:p>
            <w:pPr>
              <w:spacing w:after="0"/>
              <w:rPr>
                <w:sz w:val="12"/>
                <w:szCs w:val="12"/>
                <w:color w:val="auto"/>
              </w:rPr>
            </w:pPr>
          </w:p>
        </w:tc>
        <w:tc>
          <w:tcPr>
            <w:tcW w:w="3680" w:type="dxa"/>
            <w:vAlign w:val="bottom"/>
            <w:gridSpan w:val="7"/>
          </w:tcPr>
          <w:p>
            <w:pPr>
              <w:spacing w:after="0"/>
              <w:rPr>
                <w:sz w:val="12"/>
                <w:szCs w:val="12"/>
                <w:color w:val="auto"/>
              </w:rPr>
            </w:pPr>
          </w:p>
        </w:tc>
      </w:tr>
    </w:tbl>
    <w:p>
      <w:pPr>
        <w:spacing w:after="0" w:line="112" w:lineRule="exact"/>
        <w:rPr>
          <w:sz w:val="20"/>
          <w:szCs w:val="20"/>
          <w:color w:val="auto"/>
        </w:rPr>
      </w:pPr>
    </w:p>
    <w:p>
      <w:pPr>
        <w:sectPr>
          <w:pgSz w:w="11900" w:h="16838" w:orient="portrait"/>
          <w:cols w:equalWidth="0" w:num="1">
            <w:col w:w="11180"/>
          </w:cols>
          <w:pgMar w:left="320" w:top="125" w:right="399" w:bottom="1440" w:gutter="0" w:footer="0" w:header="0"/>
        </w:sectPr>
      </w:pPr>
    </w:p>
    <w:p>
      <w:pPr>
        <w:ind w:left="60"/>
        <w:spacing w:after="0"/>
        <w:rPr>
          <w:sz w:val="20"/>
          <w:szCs w:val="20"/>
          <w:color w:val="auto"/>
        </w:rPr>
      </w:pPr>
      <w:r>
        <w:rPr>
          <w:rFonts w:ascii="Arial" w:cs="Arial" w:eastAsia="Arial" w:hAnsi="Arial"/>
          <w:sz w:val="16"/>
          <w:szCs w:val="16"/>
          <w:color w:val="auto"/>
        </w:rPr>
        <w:t>10.12</w:t>
      </w:r>
    </w:p>
    <w:p>
      <w:pPr>
        <w:spacing w:after="0" w:line="275" w:lineRule="exact"/>
        <w:rPr>
          <w:sz w:val="20"/>
          <w:szCs w:val="20"/>
          <w:color w:val="auto"/>
        </w:rPr>
      </w:pPr>
    </w:p>
    <w:p>
      <w:pPr>
        <w:ind w:left="60"/>
        <w:spacing w:after="0"/>
        <w:tabs>
          <w:tab w:leader="none" w:pos="200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10.14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10.15</w:t>
            </w: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tabs>
          <w:tab w:leader="none" w:pos="200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ind w:right="100"/>
        <w:spacing w:after="0" w:line="309" w:lineRule="auto"/>
        <w:rPr>
          <w:rFonts w:ascii="Arial" w:cs="Arial" w:eastAsia="Arial" w:hAnsi="Arial"/>
          <w:sz w:val="14"/>
          <w:szCs w:val="14"/>
          <w:u w:val="single" w:color="auto"/>
          <w:color w:val="0000FF"/>
        </w:rPr>
      </w:pPr>
      <w:hyperlink r:id="rId342">
        <w:r>
          <w:rPr>
            <w:rFonts w:ascii="Arial" w:cs="Arial" w:eastAsia="Arial" w:hAnsi="Arial"/>
            <w:sz w:val="14"/>
            <w:szCs w:val="14"/>
            <w:u w:val="single" w:color="auto"/>
            <w:color w:val="0000FF"/>
          </w:rPr>
          <w:t>Sales Agreement, dated June 30, 2017, by and between the Registrant and Cowen and Company, LLC (incorporated by reference to</w:t>
        </w:r>
      </w:hyperlink>
      <w:r>
        <w:rPr>
          <w:rFonts w:ascii="Arial" w:cs="Arial" w:eastAsia="Arial" w:hAnsi="Arial"/>
          <w:sz w:val="14"/>
          <w:szCs w:val="14"/>
          <w:u w:val="single" w:color="auto"/>
          <w:color w:val="0000FF"/>
        </w:rPr>
        <w:t xml:space="preserve"> </w:t>
      </w:r>
      <w:hyperlink r:id="rId342">
        <w:r>
          <w:rPr>
            <w:rFonts w:ascii="Arial" w:cs="Arial" w:eastAsia="Arial" w:hAnsi="Arial"/>
            <w:sz w:val="14"/>
            <w:szCs w:val="14"/>
            <w:u w:val="single" w:color="auto"/>
            <w:color w:val="0000FF"/>
          </w:rPr>
          <w:t>Exhibit 10.1 to the Registrant’s Current Report on Form 8-K (File No. 001-37783), filed with the SEC on July 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54495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544957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wp:posOffset>
            </wp:positionV>
            <wp:extent cx="49288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24" w:lineRule="exact"/>
        <w:rPr>
          <w:sz w:val="20"/>
          <w:szCs w:val="20"/>
          <w:color w:val="auto"/>
        </w:rPr>
      </w:pPr>
    </w:p>
    <w:p>
      <w:pPr>
        <w:ind w:right="20"/>
        <w:spacing w:after="0" w:line="230" w:lineRule="auto"/>
        <w:rPr>
          <w:rFonts w:ascii="Arial" w:cs="Arial" w:eastAsia="Arial" w:hAnsi="Arial"/>
          <w:sz w:val="16"/>
          <w:szCs w:val="16"/>
          <w:u w:val="single" w:color="auto"/>
          <w:color w:val="0000FF"/>
        </w:rPr>
      </w:pPr>
      <w:hyperlink r:id="rId345">
        <w:r>
          <w:rPr>
            <w:rFonts w:ascii="Arial" w:cs="Arial" w:eastAsia="Arial" w:hAnsi="Arial"/>
            <w:sz w:val="16"/>
            <w:szCs w:val="16"/>
            <w:u w:val="single" w:color="auto"/>
            <w:color w:val="0000FF"/>
          </w:rPr>
          <w:t>Amended and Restated Executive Employment Agreement, by and between Clearside Biomedical, Inc. and Charles A. Deignan,</w:t>
        </w:r>
      </w:hyperlink>
      <w:r>
        <w:rPr>
          <w:rFonts w:ascii="Arial" w:cs="Arial" w:eastAsia="Arial" w:hAnsi="Arial"/>
          <w:sz w:val="16"/>
          <w:szCs w:val="16"/>
          <w:u w:val="single" w:color="auto"/>
          <w:color w:val="0000FF"/>
        </w:rPr>
        <w:t xml:space="preserve"> </w:t>
      </w:r>
      <w:hyperlink r:id="rId345">
        <w:r>
          <w:rPr>
            <w:rFonts w:ascii="Arial" w:cs="Arial" w:eastAsia="Arial" w:hAnsi="Arial"/>
            <w:sz w:val="16"/>
            <w:szCs w:val="16"/>
            <w:u w:val="single" w:color="auto"/>
            <w:color w:val="0000FF"/>
          </w:rPr>
          <w:t>dated as of August 3, 2017 (incorporated herein by reference to Exhibit 10.2 to the Registrant’s Quarterly Report on Form 10-Q (File</w:t>
        </w:r>
      </w:hyperlink>
      <w:r>
        <w:rPr>
          <w:rFonts w:ascii="Arial" w:cs="Arial" w:eastAsia="Arial" w:hAnsi="Arial"/>
          <w:sz w:val="16"/>
          <w:szCs w:val="16"/>
          <w:u w:val="single" w:color="auto"/>
          <w:color w:val="0000FF"/>
        </w:rPr>
        <w:t xml:space="preserve"> </w:t>
      </w:r>
      <w:hyperlink r:id="rId345">
        <w:r>
          <w:rPr>
            <w:rFonts w:ascii="Arial" w:cs="Arial" w:eastAsia="Arial" w:hAnsi="Arial"/>
            <w:sz w:val="16"/>
            <w:szCs w:val="16"/>
            <w:u w:val="single" w:color="auto"/>
            <w:color w:val="0000FF"/>
          </w:rPr>
          <w:t>No. 001-37783), filed with the Commission on November 9, 2017).</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-226060</wp:posOffset>
            </wp:positionV>
            <wp:extent cx="53162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531622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-123190</wp:posOffset>
            </wp:positionV>
            <wp:extent cx="54895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54895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-20320</wp:posOffset>
            </wp:positionV>
            <wp:extent cx="27857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8"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Third Amended and Restated Non-Employee Director Compensation Policy</w:t>
        </w:r>
        <w:r>
          <w:rPr>
            <w:rFonts w:ascii="Arial" w:cs="Arial" w:eastAsia="Arial" w:hAnsi="Arial"/>
            <w:sz w:val="16"/>
            <w:szCs w:val="16"/>
            <w:u w:val="single" w:color="auto"/>
            <w:color w:val="0000FF"/>
          </w:rPr>
          <w: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-10160</wp:posOffset>
            </wp:positionV>
            <wp:extent cx="35128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3512820" cy="8255"/>
                    </a:xfrm>
                    <a:prstGeom prst="rect">
                      <a:avLst/>
                    </a:prstGeom>
                    <a:noFill/>
                  </pic:spPr>
                </pic:pic>
              </a:graphicData>
            </a:graphic>
          </wp:anchor>
        </w:drawing>
      </w:r>
    </w:p>
    <w:p>
      <w:pPr>
        <w:spacing w:after="0" w:line="88" w:lineRule="exact"/>
        <w:rPr>
          <w:rFonts w:ascii="Arial" w:cs="Arial" w:eastAsia="Arial" w:hAnsi="Arial"/>
          <w:sz w:val="16"/>
          <w:szCs w:val="16"/>
          <w:u w:val="single" w:color="auto"/>
          <w:color w:val="0000FF"/>
        </w:rPr>
      </w:pPr>
    </w:p>
    <w:p>
      <w:pPr>
        <w:ind w:right="420"/>
        <w:spacing w:after="0" w:line="230" w:lineRule="auto"/>
        <w:rPr>
          <w:rFonts w:ascii="Arial" w:cs="Arial" w:eastAsia="Arial" w:hAnsi="Arial"/>
          <w:sz w:val="16"/>
          <w:szCs w:val="16"/>
          <w:u w:val="single" w:color="auto"/>
          <w:color w:val="0000FF"/>
        </w:rPr>
      </w:pPr>
      <w:hyperlink r:id="rId350">
        <w:r>
          <w:rPr>
            <w:rFonts w:ascii="Arial" w:cs="Arial" w:eastAsia="Arial" w:hAnsi="Arial"/>
            <w:sz w:val="16"/>
            <w:szCs w:val="16"/>
            <w:u w:val="single" w:color="auto"/>
            <w:color w:val="0000FF"/>
          </w:rPr>
          <w:t>Supply Agreement, by and among the Registrant and Gerresheimer Regensburg GmbH, dated as of May 8, 2018 (incorporated</w:t>
        </w:r>
      </w:hyperlink>
      <w:r>
        <w:rPr>
          <w:rFonts w:ascii="Arial" w:cs="Arial" w:eastAsia="Arial" w:hAnsi="Arial"/>
          <w:sz w:val="16"/>
          <w:szCs w:val="16"/>
          <w:u w:val="single" w:color="auto"/>
          <w:color w:val="0000FF"/>
        </w:rPr>
        <w:t xml:space="preserve"> </w:t>
      </w:r>
      <w:hyperlink r:id="rId350">
        <w:r>
          <w:rPr>
            <w:rFonts w:ascii="Arial" w:cs="Arial" w:eastAsia="Arial" w:hAnsi="Arial"/>
            <w:sz w:val="16"/>
            <w:szCs w:val="16"/>
            <w:u w:val="single" w:color="auto"/>
            <w:color w:val="0000FF"/>
          </w:rPr>
          <w:t>herein by reference to Exhibit 10.1 to the Registrant’s Quarterly Report on Form 10-Q (File No. 001-37783), filed with the</w:t>
        </w:r>
      </w:hyperlink>
      <w:r>
        <w:rPr>
          <w:rFonts w:ascii="Arial" w:cs="Arial" w:eastAsia="Arial" w:hAnsi="Arial"/>
          <w:sz w:val="16"/>
          <w:szCs w:val="16"/>
          <w:u w:val="single" w:color="auto"/>
          <w:color w:val="0000FF"/>
        </w:rPr>
        <w:t xml:space="preserve"> </w:t>
      </w:r>
      <w:hyperlink r:id="rId350">
        <w:r>
          <w:rPr>
            <w:rFonts w:ascii="Arial" w:cs="Arial" w:eastAsia="Arial" w:hAnsi="Arial"/>
            <w:sz w:val="16"/>
            <w:szCs w:val="16"/>
            <w:u w:val="single" w:color="auto"/>
            <w:color w:val="0000FF"/>
          </w:rPr>
          <w:t>Commission on August 8, 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-226060</wp:posOffset>
            </wp:positionV>
            <wp:extent cx="52400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-123190</wp:posOffset>
            </wp:positionV>
            <wp:extent cx="50768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50768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-20320</wp:posOffset>
            </wp:positionV>
            <wp:extent cx="13658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331" w:lineRule="exact"/>
        <w:rPr>
          <w:rFonts w:ascii="Arial" w:cs="Arial" w:eastAsia="Arial" w:hAnsi="Arial"/>
          <w:sz w:val="16"/>
          <w:szCs w:val="16"/>
          <w:u w:val="single" w:color="auto"/>
          <w:color w:val="0000FF"/>
        </w:rPr>
      </w:pPr>
    </w:p>
    <w:p>
      <w:pPr>
        <w:ind w:right="260"/>
        <w:spacing w:after="0" w:line="230" w:lineRule="auto"/>
        <w:rPr>
          <w:rFonts w:ascii="Arial" w:cs="Arial" w:eastAsia="Arial" w:hAnsi="Arial"/>
          <w:sz w:val="16"/>
          <w:szCs w:val="16"/>
          <w:u w:val="single" w:color="auto"/>
          <w:color w:val="0000FF"/>
        </w:rPr>
      </w:pPr>
      <w:hyperlink r:id="rId354">
        <w:r>
          <w:rPr>
            <w:rFonts w:ascii="Arial" w:cs="Arial" w:eastAsia="Arial" w:hAnsi="Arial"/>
            <w:sz w:val="16"/>
            <w:szCs w:val="16"/>
            <w:u w:val="single" w:color="auto"/>
            <w:color w:val="0000FF"/>
          </w:rPr>
          <w:t>Change in Control Equity Acceleration Plan, amending the Registrant’s 2016 Equity Incentive Plan (incorporated herein by</w:t>
        </w:r>
      </w:hyperlink>
      <w:r>
        <w:rPr>
          <w:rFonts w:ascii="Arial" w:cs="Arial" w:eastAsia="Arial" w:hAnsi="Arial"/>
          <w:sz w:val="16"/>
          <w:szCs w:val="16"/>
          <w:u w:val="single" w:color="auto"/>
          <w:color w:val="0000FF"/>
        </w:rPr>
        <w:t xml:space="preserve"> </w:t>
      </w:r>
      <w:hyperlink r:id="rId354">
        <w:r>
          <w:rPr>
            <w:rFonts w:ascii="Arial" w:cs="Arial" w:eastAsia="Arial" w:hAnsi="Arial"/>
            <w:sz w:val="16"/>
            <w:szCs w:val="16"/>
            <w:u w:val="single" w:color="auto"/>
            <w:color w:val="0000FF"/>
          </w:rPr>
          <w:t>reference to Exhibit 10.2 to the Registrant’s Quarterly Report on Form 10-Q (File No. 001-37783), filed with the Commission on</w:t>
        </w:r>
      </w:hyperlink>
      <w:r>
        <w:rPr>
          <w:rFonts w:ascii="Arial" w:cs="Arial" w:eastAsia="Arial" w:hAnsi="Arial"/>
          <w:sz w:val="16"/>
          <w:szCs w:val="16"/>
          <w:u w:val="single" w:color="auto"/>
          <w:color w:val="0000FF"/>
        </w:rPr>
        <w:t xml:space="preserve"> </w:t>
      </w:r>
      <w:hyperlink r:id="rId354">
        <w:r>
          <w:rPr>
            <w:rFonts w:ascii="Arial" w:cs="Arial" w:eastAsia="Arial" w:hAnsi="Arial"/>
            <w:sz w:val="16"/>
            <w:szCs w:val="16"/>
            <w:u w:val="single" w:color="auto"/>
            <w:color w:val="0000FF"/>
          </w:rPr>
          <w:t>August 8, 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-226060</wp:posOffset>
            </wp:positionV>
            <wp:extent cx="51104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51104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-123190</wp:posOffset>
            </wp:positionV>
            <wp:extent cx="53397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53397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-20320</wp:posOffset>
            </wp:positionV>
            <wp:extent cx="6311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80" w:lineRule="exact"/>
        <w:rPr>
          <w:rFonts w:ascii="Arial" w:cs="Arial" w:eastAsia="Arial" w:hAnsi="Arial"/>
          <w:sz w:val="16"/>
          <w:szCs w:val="16"/>
          <w:u w:val="single" w:color="auto"/>
          <w:color w:val="0000FF"/>
        </w:rPr>
      </w:pPr>
    </w:p>
    <w:p>
      <w:pPr>
        <w:sectPr>
          <w:pgSz w:w="11900" w:h="16838" w:orient="portrait"/>
          <w:cols w:equalWidth="0" w:num="2">
            <w:col w:w="2100" w:space="440"/>
            <w:col w:w="8640"/>
          </w:cols>
          <w:pgMar w:left="320" w:top="125" w:right="39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10.17</w:t>
            </w:r>
          </w:p>
        </w:tc>
        <w:tc>
          <w:tcPr>
            <w:tcW w:w="1380" w:type="dxa"/>
            <w:vAlign w:val="bottom"/>
          </w:tcPr>
          <w:p>
            <w:pPr>
              <w:spacing w:after="0"/>
              <w:rPr>
                <w:sz w:val="16"/>
                <w:szCs w:val="16"/>
                <w:color w:val="auto"/>
              </w:rPr>
            </w:pPr>
          </w:p>
        </w:tc>
        <w:tc>
          <w:tcPr>
            <w:tcW w:w="8620" w:type="dxa"/>
            <w:vAlign w:val="bottom"/>
            <w:gridSpan w:val="20"/>
          </w:tcPr>
          <w:p>
            <w:pPr>
              <w:spacing w:after="0"/>
              <w:rPr>
                <w:rFonts w:ascii="Arial" w:cs="Arial" w:eastAsia="Arial" w:hAnsi="Arial"/>
                <w:sz w:val="16"/>
                <w:szCs w:val="16"/>
                <w:color w:val="0000FF"/>
                <w:w w:val="98"/>
              </w:rPr>
            </w:pPr>
            <w:hyperlink r:id="rId358">
              <w:r>
                <w:rPr>
                  <w:rFonts w:ascii="Arial" w:cs="Arial" w:eastAsia="Arial" w:hAnsi="Arial"/>
                  <w:sz w:val="16"/>
                  <w:szCs w:val="16"/>
                  <w:color w:val="0000FF"/>
                  <w:w w:val="98"/>
                </w:rPr>
                <w:t>Third Amendment to License Agreement, by and among the Registrant, Emory University and The Georgia Tech Research</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3"/>
              </w:rPr>
            </w:pPr>
            <w:hyperlink r:id="rId358">
              <w:r>
                <w:rPr>
                  <w:rFonts w:ascii="Arial" w:cs="Arial" w:eastAsia="Arial" w:hAnsi="Arial"/>
                  <w:sz w:val="16"/>
                  <w:szCs w:val="16"/>
                  <w:color w:val="0000FF"/>
                  <w:w w:val="93"/>
                </w:rPr>
                <w:t>Corporation, dated April 1, 2018 (incorporated herein by reference to Exhibit 10.1 to the Registrant’s Quarterly Report on</w:t>
              </w:r>
            </w:hyperlink>
          </w:p>
        </w:tc>
        <w:tc>
          <w:tcPr>
            <w:tcW w:w="540" w:type="dxa"/>
            <w:vAlign w:val="bottom"/>
            <w:tcBorders>
              <w:bottom w:val="single" w:sz="8" w:color="0000FF"/>
            </w:tcBorders>
            <w:gridSpan w:val="8"/>
          </w:tcPr>
          <w:p>
            <w:pPr>
              <w:spacing w:after="0" w:line="142" w:lineRule="exact"/>
              <w:rPr>
                <w:rFonts w:ascii="Arial" w:cs="Arial" w:eastAsia="Arial" w:hAnsi="Arial"/>
                <w:sz w:val="16"/>
                <w:szCs w:val="16"/>
                <w:color w:val="0000FF"/>
                <w:w w:val="80"/>
              </w:rPr>
            </w:pPr>
            <w:hyperlink r:id="rId358">
              <w:r>
                <w:rPr>
                  <w:rFonts w:ascii="Arial" w:cs="Arial" w:eastAsia="Arial" w:hAnsi="Arial"/>
                  <w:sz w:val="16"/>
                  <w:szCs w:val="16"/>
                  <w:color w:val="0000FF"/>
                  <w:w w:val="80"/>
                </w:rPr>
                <w:t>Form 10-</w:t>
              </w:r>
            </w:hyperlink>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540" w:type="dxa"/>
            <w:vAlign w:val="bottom"/>
            <w:gridSpan w:val="19"/>
          </w:tcPr>
          <w:p>
            <w:pPr>
              <w:spacing w:after="0" w:line="142" w:lineRule="exact"/>
              <w:rPr>
                <w:rFonts w:ascii="Arial" w:cs="Arial" w:eastAsia="Arial" w:hAnsi="Arial"/>
                <w:sz w:val="16"/>
                <w:szCs w:val="16"/>
                <w:color w:val="0000FF"/>
              </w:rPr>
            </w:pPr>
            <w:hyperlink r:id="rId358">
              <w:r>
                <w:rPr>
                  <w:rFonts w:ascii="Arial" w:cs="Arial" w:eastAsia="Arial" w:hAnsi="Arial"/>
                  <w:sz w:val="16"/>
                  <w:szCs w:val="16"/>
                  <w:color w:val="0000FF"/>
                </w:rPr>
                <w:t>Q (File No. 001-37783), filed with the Commission on August 8, 2019).</w:t>
              </w:r>
            </w:hyperlink>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EE"/>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10.18</w:t>
            </w:r>
          </w:p>
        </w:tc>
        <w:tc>
          <w:tcPr>
            <w:tcW w:w="1380" w:type="dxa"/>
            <w:vAlign w:val="bottom"/>
          </w:tcPr>
          <w:p>
            <w:pPr>
              <w:jc w:val="right"/>
              <w:ind w:right="377"/>
              <w:spacing w:after="0"/>
              <w:rPr>
                <w:sz w:val="20"/>
                <w:szCs w:val="20"/>
                <w:color w:val="auto"/>
              </w:rPr>
            </w:pPr>
            <w:r>
              <w:rPr>
                <w:rFonts w:ascii="Arial" w:cs="Arial" w:eastAsia="Arial" w:hAnsi="Arial"/>
                <w:sz w:val="16"/>
                <w:szCs w:val="16"/>
                <w:color w:val="auto"/>
              </w:rPr>
              <w:t>##</w:t>
            </w:r>
          </w:p>
        </w:tc>
        <w:tc>
          <w:tcPr>
            <w:tcW w:w="8620" w:type="dxa"/>
            <w:vAlign w:val="bottom"/>
            <w:gridSpan w:val="20"/>
          </w:tcPr>
          <w:p>
            <w:pPr>
              <w:spacing w:after="0"/>
              <w:rPr>
                <w:rFonts w:ascii="Arial" w:cs="Arial" w:eastAsia="Arial" w:hAnsi="Arial"/>
                <w:sz w:val="16"/>
                <w:szCs w:val="16"/>
                <w:color w:val="0000FF"/>
                <w:w w:val="92"/>
              </w:rPr>
            </w:pPr>
            <w:hyperlink r:id="rId359">
              <w:r>
                <w:rPr>
                  <w:rFonts w:ascii="Arial" w:cs="Arial" w:eastAsia="Arial" w:hAnsi="Arial"/>
                  <w:sz w:val="16"/>
                  <w:szCs w:val="16"/>
                  <w:color w:val="0000FF"/>
                  <w:w w:val="92"/>
                </w:rPr>
                <w:t>License Agreement, by and between the Registrant and Bausch Health Ireland Limited, dated as of October 22, 2019 (incorporated</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5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359">
              <w:r>
                <w:rPr>
                  <w:rFonts w:ascii="Arial" w:cs="Arial" w:eastAsia="Arial" w:hAnsi="Arial"/>
                  <w:sz w:val="16"/>
                  <w:szCs w:val="16"/>
                  <w:color w:val="0000FF"/>
                </w:rPr>
                <w:t>herein by reference to Exhibit 10.26 to the Registrant’s Annual Report on Form 10-K (File No. 001-37783), filed with the</w:t>
              </w:r>
            </w:hyperlink>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1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359">
              <w:r>
                <w:rPr>
                  <w:rFonts w:ascii="Arial" w:cs="Arial" w:eastAsia="Arial" w:hAnsi="Arial"/>
                  <w:sz w:val="16"/>
                  <w:szCs w:val="16"/>
                  <w:color w:val="0000FF"/>
                  <w:w w:val="91"/>
                </w:rPr>
                <w:t>Commission on March 13, 2020).</w:t>
              </w:r>
            </w:hyperlink>
          </w:p>
        </w:tc>
        <w:tc>
          <w:tcPr>
            <w:tcW w:w="574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10.19</w:t>
            </w:r>
          </w:p>
        </w:tc>
        <w:tc>
          <w:tcPr>
            <w:tcW w:w="1380" w:type="dxa"/>
            <w:vAlign w:val="bottom"/>
          </w:tcPr>
          <w:p>
            <w:pPr>
              <w:jc w:val="right"/>
              <w:ind w:right="377"/>
              <w:spacing w:after="0"/>
              <w:rPr>
                <w:sz w:val="20"/>
                <w:szCs w:val="20"/>
                <w:color w:val="auto"/>
              </w:rPr>
            </w:pPr>
            <w:r>
              <w:rPr>
                <w:rFonts w:ascii="Arial" w:cs="Arial" w:eastAsia="Arial" w:hAnsi="Arial"/>
                <w:sz w:val="16"/>
                <w:szCs w:val="16"/>
                <w:color w:val="auto"/>
              </w:rPr>
              <w:t>##</w:t>
            </w:r>
          </w:p>
        </w:tc>
        <w:tc>
          <w:tcPr>
            <w:tcW w:w="8620" w:type="dxa"/>
            <w:vAlign w:val="bottom"/>
            <w:gridSpan w:val="20"/>
            <w:vMerge w:val="restart"/>
          </w:tcPr>
          <w:p>
            <w:pPr>
              <w:spacing w:after="0"/>
              <w:rPr>
                <w:rFonts w:ascii="Arial" w:cs="Arial" w:eastAsia="Arial" w:hAnsi="Arial"/>
                <w:sz w:val="16"/>
                <w:szCs w:val="16"/>
                <w:color w:val="0000FF"/>
                <w:w w:val="94"/>
              </w:rPr>
            </w:pPr>
            <w:hyperlink r:id="rId360">
              <w:r>
                <w:rPr>
                  <w:rFonts w:ascii="Arial" w:cs="Arial" w:eastAsia="Arial" w:hAnsi="Arial"/>
                  <w:sz w:val="16"/>
                  <w:szCs w:val="16"/>
                  <w:color w:val="0000FF"/>
                  <w:w w:val="94"/>
                </w:rPr>
                <w:t>First Amendment to License Agreement, by and between the Registrant and Bausch Health Ireland Limited, dated as of April 27,</w:t>
              </w:r>
            </w:hyperlink>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620" w:type="dxa"/>
            <w:vAlign w:val="bottom"/>
            <w:gridSpan w:val="2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20" w:type="dxa"/>
            <w:vAlign w:val="bottom"/>
            <w:tcBorders>
              <w:top w:val="single" w:sz="8" w:color="0000FF"/>
            </w:tcBorders>
            <w:gridSpan w:val="14"/>
          </w:tcPr>
          <w:p>
            <w:pPr>
              <w:spacing w:after="0" w:line="142" w:lineRule="exact"/>
              <w:rPr>
                <w:rFonts w:ascii="Arial" w:cs="Arial" w:eastAsia="Arial" w:hAnsi="Arial"/>
                <w:sz w:val="16"/>
                <w:szCs w:val="16"/>
                <w:color w:val="0000FF"/>
                <w:w w:val="93"/>
              </w:rPr>
            </w:pPr>
            <w:hyperlink r:id="rId360">
              <w:r>
                <w:rPr>
                  <w:rFonts w:ascii="Arial" w:cs="Arial" w:eastAsia="Arial" w:hAnsi="Arial"/>
                  <w:sz w:val="16"/>
                  <w:szCs w:val="16"/>
                  <w:color w:val="0000FF"/>
                  <w:w w:val="93"/>
                </w:rPr>
                <w:t>2020. (incorporated herein by reference to Exhibit 10.1 to the Registrant’s Quarterly Report on Form 10-Q (File No. 001-37783),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360">
              <w:r>
                <w:rPr>
                  <w:rFonts w:ascii="Arial" w:cs="Arial" w:eastAsia="Arial" w:hAnsi="Arial"/>
                  <w:sz w:val="16"/>
                  <w:szCs w:val="16"/>
                  <w:color w:val="0000FF"/>
                </w:rPr>
                <w:t>filed with the Commission on August 10,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EE"/>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10.20</w:t>
            </w:r>
          </w:p>
        </w:tc>
        <w:tc>
          <w:tcPr>
            <w:tcW w:w="1380" w:type="dxa"/>
            <w:vAlign w:val="bottom"/>
          </w:tcPr>
          <w:p>
            <w:pPr>
              <w:jc w:val="right"/>
              <w:ind w:right="377"/>
              <w:spacing w:after="0"/>
              <w:rPr>
                <w:sz w:val="20"/>
                <w:szCs w:val="20"/>
                <w:color w:val="auto"/>
              </w:rPr>
            </w:pPr>
            <w:r>
              <w:rPr>
                <w:rFonts w:ascii="Arial" w:cs="Arial" w:eastAsia="Arial" w:hAnsi="Arial"/>
                <w:sz w:val="16"/>
                <w:szCs w:val="16"/>
                <w:color w:val="auto"/>
              </w:rPr>
              <w:t>+</w:t>
            </w:r>
          </w:p>
        </w:tc>
        <w:tc>
          <w:tcPr>
            <w:tcW w:w="8620" w:type="dxa"/>
            <w:vAlign w:val="bottom"/>
            <w:gridSpan w:val="20"/>
          </w:tcPr>
          <w:p>
            <w:pPr>
              <w:spacing w:after="0"/>
              <w:rPr>
                <w:rFonts w:ascii="Arial" w:cs="Arial" w:eastAsia="Arial" w:hAnsi="Arial"/>
                <w:sz w:val="16"/>
                <w:szCs w:val="16"/>
                <w:color w:val="0000FF"/>
                <w:w w:val="93"/>
              </w:rPr>
            </w:pPr>
            <w:hyperlink r:id="rId361">
              <w:r>
                <w:rPr>
                  <w:rFonts w:ascii="Arial" w:cs="Arial" w:eastAsia="Arial" w:hAnsi="Arial"/>
                  <w:sz w:val="16"/>
                  <w:szCs w:val="16"/>
                  <w:color w:val="0000FF"/>
                  <w:w w:val="93"/>
                </w:rPr>
                <w:t>Letter Agreement, by and between the Registrant and George Lasezkay, dated April 16, 2019 (incorporated herein by reference to</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4"/>
              </w:rPr>
            </w:pPr>
            <w:hyperlink r:id="rId361">
              <w:r>
                <w:rPr>
                  <w:rFonts w:ascii="Arial" w:cs="Arial" w:eastAsia="Arial" w:hAnsi="Arial"/>
                  <w:sz w:val="16"/>
                  <w:szCs w:val="16"/>
                  <w:color w:val="0000FF"/>
                  <w:w w:val="94"/>
                </w:rPr>
                <w:t>Exhibit 10.1 to the Registrant’s Current Report on Form 8-K (File No. 001-37783), filed with the Commission on April 17, 2019).</w:t>
              </w:r>
            </w:hyperlink>
          </w:p>
        </w:tc>
        <w:tc>
          <w:tcPr>
            <w:tcW w:w="20" w:type="dxa"/>
            <w:vAlign w:val="bottom"/>
            <w:tcBorders>
              <w:top w:val="single" w:sz="8" w:color="0000FF"/>
            </w:tcBorders>
          </w:tcPr>
          <w:p>
            <w:pPr>
              <w:spacing w:after="0"/>
              <w:rPr>
                <w:sz w:val="12"/>
                <w:szCs w:val="12"/>
                <w:color w:val="auto"/>
              </w:rPr>
            </w:pP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10.21</w:t>
            </w:r>
          </w:p>
        </w:tc>
        <w:tc>
          <w:tcPr>
            <w:tcW w:w="1380" w:type="dxa"/>
            <w:vAlign w:val="bottom"/>
          </w:tcPr>
          <w:p>
            <w:pPr>
              <w:jc w:val="right"/>
              <w:ind w:right="377"/>
              <w:spacing w:after="0"/>
              <w:rPr>
                <w:sz w:val="20"/>
                <w:szCs w:val="20"/>
                <w:color w:val="auto"/>
              </w:rPr>
            </w:pPr>
            <w:r>
              <w:rPr>
                <w:rFonts w:ascii="Arial" w:cs="Arial" w:eastAsia="Arial" w:hAnsi="Arial"/>
                <w:sz w:val="16"/>
                <w:szCs w:val="16"/>
                <w:color w:val="auto"/>
              </w:rPr>
              <w:t>+</w:t>
            </w:r>
          </w:p>
        </w:tc>
        <w:tc>
          <w:tcPr>
            <w:tcW w:w="8620" w:type="dxa"/>
            <w:vAlign w:val="bottom"/>
            <w:gridSpan w:val="20"/>
          </w:tcPr>
          <w:p>
            <w:pPr>
              <w:spacing w:after="0"/>
              <w:rPr>
                <w:rFonts w:ascii="Arial" w:cs="Arial" w:eastAsia="Arial" w:hAnsi="Arial"/>
                <w:sz w:val="16"/>
                <w:szCs w:val="16"/>
                <w:color w:val="0000FF"/>
              </w:rPr>
            </w:pPr>
            <w:hyperlink r:id="rId362">
              <w:r>
                <w:rPr>
                  <w:rFonts w:ascii="Arial" w:cs="Arial" w:eastAsia="Arial" w:hAnsi="Arial"/>
                  <w:sz w:val="16"/>
                  <w:szCs w:val="16"/>
                  <w:color w:val="0000FF"/>
                </w:rPr>
                <w:t>Amendment to Offer Letter Agreement, by and between the Registrant and George Lasezkay, dated as of August 6, 2019</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1"/>
              </w:rPr>
            </w:pPr>
            <w:hyperlink r:id="rId362">
              <w:r>
                <w:rPr>
                  <w:rFonts w:ascii="Arial" w:cs="Arial" w:eastAsia="Arial" w:hAnsi="Arial"/>
                  <w:sz w:val="16"/>
                  <w:szCs w:val="16"/>
                  <w:color w:val="0000FF"/>
                  <w:w w:val="91"/>
                </w:rPr>
                <w:t>(incorporated herein by reference to Exhibit 10.3 to the Registrant’s Quarterly Report on Form 10-Q (File No. 001-37783),</w:t>
              </w:r>
            </w:hyperlink>
          </w:p>
        </w:tc>
        <w:tc>
          <w:tcPr>
            <w:tcW w:w="120" w:type="dxa"/>
            <w:vAlign w:val="bottom"/>
            <w:tcBorders>
              <w:bottom w:val="single" w:sz="8" w:color="0000FF"/>
            </w:tcBorders>
            <w:gridSpan w:val="2"/>
          </w:tcPr>
          <w:p>
            <w:pPr>
              <w:spacing w:after="0"/>
              <w:rPr>
                <w:sz w:val="12"/>
                <w:szCs w:val="12"/>
                <w:color w:val="auto"/>
              </w:rPr>
            </w:pPr>
          </w:p>
        </w:tc>
        <w:tc>
          <w:tcPr>
            <w:tcW w:w="640" w:type="dxa"/>
            <w:vAlign w:val="bottom"/>
            <w:tcBorders>
              <w:bottom w:val="single" w:sz="8" w:color="0000FF"/>
            </w:tcBorders>
            <w:gridSpan w:val="10"/>
          </w:tcPr>
          <w:p>
            <w:pPr>
              <w:spacing w:after="0" w:line="142" w:lineRule="exact"/>
              <w:rPr>
                <w:rFonts w:ascii="Arial" w:cs="Arial" w:eastAsia="Arial" w:hAnsi="Arial"/>
                <w:sz w:val="16"/>
                <w:szCs w:val="16"/>
                <w:color w:val="0000FF"/>
                <w:w w:val="99"/>
              </w:rPr>
            </w:pPr>
            <w:hyperlink r:id="rId362">
              <w:r>
                <w:rPr>
                  <w:rFonts w:ascii="Arial" w:cs="Arial" w:eastAsia="Arial" w:hAnsi="Arial"/>
                  <w:sz w:val="16"/>
                  <w:szCs w:val="16"/>
                  <w:color w:val="0000FF"/>
                  <w:w w:val="99"/>
                </w:rPr>
                <w:t>filed with</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80" w:type="dxa"/>
            <w:vAlign w:val="bottom"/>
            <w:tcBorders>
              <w:bottom w:val="single" w:sz="8" w:color="0000FF"/>
            </w:tcBorders>
            <w:gridSpan w:val="3"/>
          </w:tcPr>
          <w:p>
            <w:pPr>
              <w:spacing w:after="0" w:line="142" w:lineRule="exact"/>
              <w:rPr>
                <w:rFonts w:ascii="Arial" w:cs="Arial" w:eastAsia="Arial" w:hAnsi="Arial"/>
                <w:sz w:val="16"/>
                <w:szCs w:val="16"/>
                <w:color w:val="0000FF"/>
                <w:w w:val="91"/>
              </w:rPr>
            </w:pPr>
            <w:hyperlink r:id="rId362">
              <w:r>
                <w:rPr>
                  <w:rFonts w:ascii="Arial" w:cs="Arial" w:eastAsia="Arial" w:hAnsi="Arial"/>
                  <w:sz w:val="16"/>
                  <w:szCs w:val="16"/>
                  <w:color w:val="0000FF"/>
                  <w:w w:val="91"/>
                </w:rPr>
                <w:t>the Commission on August 8, 2019).</w:t>
              </w:r>
            </w:hyperlink>
          </w:p>
        </w:tc>
        <w:tc>
          <w:tcPr>
            <w:tcW w:w="20" w:type="dxa"/>
            <w:vAlign w:val="bottom"/>
            <w:tcBorders>
              <w:bottom w:val="single" w:sz="8" w:color="0000EE"/>
            </w:tcBorders>
          </w:tcPr>
          <w:p>
            <w:pPr>
              <w:spacing w:after="0"/>
              <w:rPr>
                <w:sz w:val="12"/>
                <w:szCs w:val="12"/>
                <w:color w:val="auto"/>
              </w:rPr>
            </w:pPr>
          </w:p>
        </w:tc>
        <w:tc>
          <w:tcPr>
            <w:tcW w:w="62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10.22</w:t>
            </w:r>
          </w:p>
        </w:tc>
        <w:tc>
          <w:tcPr>
            <w:tcW w:w="1380" w:type="dxa"/>
            <w:vAlign w:val="bottom"/>
          </w:tcPr>
          <w:p>
            <w:pPr>
              <w:jc w:val="right"/>
              <w:ind w:right="377"/>
              <w:spacing w:after="0"/>
              <w:rPr>
                <w:sz w:val="20"/>
                <w:szCs w:val="20"/>
                <w:color w:val="auto"/>
              </w:rPr>
            </w:pPr>
            <w:r>
              <w:rPr>
                <w:rFonts w:ascii="Arial" w:cs="Arial" w:eastAsia="Arial" w:hAnsi="Arial"/>
                <w:sz w:val="16"/>
                <w:szCs w:val="16"/>
                <w:color w:val="auto"/>
              </w:rPr>
              <w:t>##</w:t>
            </w:r>
          </w:p>
        </w:tc>
        <w:tc>
          <w:tcPr>
            <w:tcW w:w="8620" w:type="dxa"/>
            <w:vAlign w:val="bottom"/>
            <w:gridSpan w:val="20"/>
          </w:tcPr>
          <w:p>
            <w:pPr>
              <w:spacing w:after="0"/>
              <w:rPr>
                <w:rFonts w:ascii="Arial" w:cs="Arial" w:eastAsia="Arial" w:hAnsi="Arial"/>
                <w:sz w:val="16"/>
                <w:szCs w:val="16"/>
                <w:color w:val="0000FF"/>
                <w:w w:val="94"/>
              </w:rPr>
            </w:pPr>
            <w:hyperlink r:id="rId363">
              <w:r>
                <w:rPr>
                  <w:rFonts w:ascii="Arial" w:cs="Arial" w:eastAsia="Arial" w:hAnsi="Arial"/>
                  <w:sz w:val="16"/>
                  <w:szCs w:val="16"/>
                  <w:color w:val="0000FF"/>
                  <w:w w:val="94"/>
                </w:rPr>
                <w:t>Option and License Agreement by and between the Registrant and REGENXBIO Inc., dated as of August 29, 2019 (incorporated</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40" w:type="dxa"/>
            <w:vAlign w:val="bottom"/>
            <w:tcBorders>
              <w:top w:val="single" w:sz="8" w:color="0000FF"/>
            </w:tcBorders>
            <w:gridSpan w:val="15"/>
          </w:tcPr>
          <w:p>
            <w:pPr>
              <w:spacing w:after="0" w:line="142" w:lineRule="exact"/>
              <w:rPr>
                <w:rFonts w:ascii="Arial" w:cs="Arial" w:eastAsia="Arial" w:hAnsi="Arial"/>
                <w:sz w:val="16"/>
                <w:szCs w:val="16"/>
                <w:color w:val="0000FF"/>
                <w:w w:val="99"/>
              </w:rPr>
            </w:pPr>
            <w:hyperlink r:id="rId363">
              <w:r>
                <w:rPr>
                  <w:rFonts w:ascii="Arial" w:cs="Arial" w:eastAsia="Arial" w:hAnsi="Arial"/>
                  <w:sz w:val="16"/>
                  <w:szCs w:val="16"/>
                  <w:color w:val="0000FF"/>
                  <w:w w:val="99"/>
                </w:rPr>
                <w:t>herein by reference to Exhibit 10.30 to the Registrant’s Annual Report on Form 10-K (File No. 001-37783), filed with the</w:t>
              </w:r>
            </w:hyperlink>
          </w:p>
        </w:tc>
        <w:tc>
          <w:tcPr>
            <w:tcW w:w="1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1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363">
              <w:r>
                <w:rPr>
                  <w:rFonts w:ascii="Arial" w:cs="Arial" w:eastAsia="Arial" w:hAnsi="Arial"/>
                  <w:sz w:val="16"/>
                  <w:szCs w:val="16"/>
                  <w:color w:val="0000FF"/>
                  <w:w w:val="91"/>
                </w:rPr>
                <w:t>Commission on March 13, 2020).</w:t>
              </w:r>
            </w:hyperlink>
          </w:p>
        </w:tc>
        <w:tc>
          <w:tcPr>
            <w:tcW w:w="40" w:type="dxa"/>
            <w:vAlign w:val="bottom"/>
            <w:tcBorders>
              <w:top w:val="single" w:sz="8" w:color="0000FF"/>
              <w:bottom w:val="single" w:sz="8" w:color="0000EE"/>
            </w:tcBorders>
          </w:tcPr>
          <w:p>
            <w:pPr>
              <w:spacing w:after="0"/>
              <w:rPr>
                <w:sz w:val="12"/>
                <w:szCs w:val="12"/>
                <w:color w:val="auto"/>
              </w:rPr>
            </w:pPr>
          </w:p>
        </w:tc>
        <w:tc>
          <w:tcPr>
            <w:tcW w:w="570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3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10.23</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8620" w:type="dxa"/>
            <w:vAlign w:val="bottom"/>
            <w:gridSpan w:val="20"/>
          </w:tcPr>
          <w:p>
            <w:pPr>
              <w:spacing w:after="0"/>
              <w:rPr>
                <w:rFonts w:ascii="Arial" w:cs="Arial" w:eastAsia="Arial" w:hAnsi="Arial"/>
                <w:sz w:val="16"/>
                <w:szCs w:val="16"/>
                <w:color w:val="0000FF"/>
              </w:rPr>
            </w:pPr>
            <w:hyperlink r:id="rId364">
              <w:r>
                <w:rPr>
                  <w:rFonts w:ascii="Arial" w:cs="Arial" w:eastAsia="Arial" w:hAnsi="Arial"/>
                  <w:sz w:val="16"/>
                  <w:szCs w:val="16"/>
                  <w:color w:val="0000FF"/>
                </w:rPr>
                <w:t>License Agreement by and between the Registrant and Arctic Vision (Hong Kong) Limited, dated as of March 20, 2020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5"/>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20" w:type="dxa"/>
            <w:vAlign w:val="bottom"/>
            <w:tcBorders>
              <w:bottom w:val="single" w:sz="8" w:color="0000FF"/>
            </w:tcBorders>
            <w:gridSpan w:val="20"/>
          </w:tcPr>
          <w:p>
            <w:pPr>
              <w:spacing w:after="0" w:line="142" w:lineRule="exact"/>
              <w:rPr>
                <w:rFonts w:ascii="Arial" w:cs="Arial" w:eastAsia="Arial" w:hAnsi="Arial"/>
                <w:sz w:val="16"/>
                <w:szCs w:val="16"/>
                <w:color w:val="0000FF"/>
                <w:w w:val="92"/>
              </w:rPr>
            </w:pPr>
            <w:hyperlink r:id="rId364">
              <w:r>
                <w:rPr>
                  <w:rFonts w:ascii="Arial" w:cs="Arial" w:eastAsia="Arial" w:hAnsi="Arial"/>
                  <w:sz w:val="16"/>
                  <w:szCs w:val="16"/>
                  <w:color w:val="0000FF"/>
                  <w:w w:val="92"/>
                </w:rPr>
                <w:t>(incorporated herein by reference to Exhibit 10.2 to the Registrant’s Quarterly Report on Form 10-Q (File No. 001-37783), filed with</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20" w:type="dxa"/>
            <w:vAlign w:val="bottom"/>
            <w:gridSpan w:val="20"/>
          </w:tcPr>
          <w:p>
            <w:pPr>
              <w:spacing w:after="0" w:line="142" w:lineRule="exact"/>
              <w:rPr>
                <w:rFonts w:ascii="Arial" w:cs="Arial" w:eastAsia="Arial" w:hAnsi="Arial"/>
                <w:sz w:val="16"/>
                <w:szCs w:val="16"/>
                <w:color w:val="0000FF"/>
              </w:rPr>
            </w:pPr>
            <w:hyperlink r:id="rId364">
              <w:r>
                <w:rPr>
                  <w:rFonts w:ascii="Arial" w:cs="Arial" w:eastAsia="Arial" w:hAnsi="Arial"/>
                  <w:sz w:val="16"/>
                  <w:szCs w:val="16"/>
                  <w:color w:val="0000FF"/>
                </w:rPr>
                <w:t>the Commission on May 8, 2020).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10.24</w:t>
            </w:r>
          </w:p>
        </w:tc>
        <w:tc>
          <w:tcPr>
            <w:tcW w:w="1380" w:type="dxa"/>
            <w:vAlign w:val="bottom"/>
          </w:tcPr>
          <w:p>
            <w:pPr>
              <w:jc w:val="right"/>
              <w:ind w:right="377"/>
              <w:spacing w:after="0"/>
              <w:rPr>
                <w:sz w:val="20"/>
                <w:szCs w:val="20"/>
                <w:color w:val="auto"/>
              </w:rPr>
            </w:pPr>
            <w:r>
              <w:rPr>
                <w:rFonts w:ascii="Arial" w:cs="Arial" w:eastAsia="Arial" w:hAnsi="Arial"/>
                <w:sz w:val="16"/>
                <w:szCs w:val="16"/>
                <w:color w:val="auto"/>
              </w:rPr>
              <w:t>+</w:t>
            </w:r>
          </w:p>
        </w:tc>
        <w:tc>
          <w:tcPr>
            <w:tcW w:w="8620" w:type="dxa"/>
            <w:vAlign w:val="bottom"/>
            <w:gridSpan w:val="20"/>
          </w:tcPr>
          <w:p>
            <w:pPr>
              <w:spacing w:after="0"/>
              <w:rPr>
                <w:rFonts w:ascii="Arial" w:cs="Arial" w:eastAsia="Arial" w:hAnsi="Arial"/>
                <w:sz w:val="16"/>
                <w:szCs w:val="16"/>
                <w:color w:val="0000FF"/>
                <w:w w:val="95"/>
              </w:rPr>
            </w:pPr>
            <w:hyperlink r:id="rId365">
              <w:r>
                <w:rPr>
                  <w:rFonts w:ascii="Arial" w:cs="Arial" w:eastAsia="Arial" w:hAnsi="Arial"/>
                  <w:sz w:val="16"/>
                  <w:szCs w:val="16"/>
                  <w:color w:val="0000FF"/>
                  <w:w w:val="95"/>
                </w:rPr>
                <w:t>Executive Employment Agreement, by and between the Registrant and Thomas Ciulla, dated as of June 24, 2019 (incorporated</w:t>
              </w:r>
            </w:hyperlink>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60" w:type="dxa"/>
            <w:vAlign w:val="bottom"/>
            <w:tcBorders>
              <w:top w:val="single" w:sz="8" w:color="0000FF"/>
            </w:tcBorders>
            <w:gridSpan w:val="12"/>
          </w:tcPr>
          <w:p>
            <w:pPr>
              <w:spacing w:after="0" w:line="142" w:lineRule="exact"/>
              <w:rPr>
                <w:rFonts w:ascii="Arial" w:cs="Arial" w:eastAsia="Arial" w:hAnsi="Arial"/>
                <w:sz w:val="16"/>
                <w:szCs w:val="16"/>
                <w:color w:val="0000FF"/>
                <w:w w:val="96"/>
              </w:rPr>
            </w:pPr>
            <w:hyperlink r:id="rId365">
              <w:r>
                <w:rPr>
                  <w:rFonts w:ascii="Arial" w:cs="Arial" w:eastAsia="Arial" w:hAnsi="Arial"/>
                  <w:sz w:val="16"/>
                  <w:szCs w:val="16"/>
                  <w:color w:val="0000FF"/>
                  <w:w w:val="96"/>
                </w:rPr>
                <w:t>herein by reference to Exhibit 10.2 to the Registrant’s Quarterly Report on Form 10-Q (File No. 001-37783), filed with the</w:t>
              </w:r>
            </w:hyperlink>
          </w:p>
        </w:tc>
        <w:tc>
          <w:tcPr>
            <w:tcW w:w="3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0"/>
              </w:rPr>
            </w:pPr>
            <w:hyperlink r:id="rId365">
              <w:r>
                <w:rPr>
                  <w:rFonts w:ascii="Arial" w:cs="Arial" w:eastAsia="Arial" w:hAnsi="Arial"/>
                  <w:sz w:val="16"/>
                  <w:szCs w:val="16"/>
                  <w:color w:val="0000FF"/>
                  <w:w w:val="90"/>
                </w:rPr>
                <w:t>Commission on August 10, 2020).</w:t>
              </w:r>
            </w:hyperlink>
          </w:p>
        </w:tc>
        <w:tc>
          <w:tcPr>
            <w:tcW w:w="5760" w:type="dxa"/>
            <w:vAlign w:val="bottom"/>
            <w:tcBorders>
              <w:top w:val="single" w:sz="8" w:color="0000FF"/>
            </w:tcBorders>
            <w:gridSpan w:val="8"/>
          </w:tcPr>
          <w:p>
            <w:pPr>
              <w:spacing w:after="0"/>
              <w:rPr>
                <w:sz w:val="12"/>
                <w:szCs w:val="12"/>
                <w:color w:val="auto"/>
              </w:rPr>
            </w:pPr>
          </w:p>
        </w:tc>
        <w:tc>
          <w:tcPr>
            <w:tcW w:w="6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120" w:type="dxa"/>
            <w:vAlign w:val="bottom"/>
          </w:tcPr>
          <w:p>
            <w:pPr>
              <w:jc w:val="right"/>
              <w:ind w:right="679"/>
              <w:spacing w:after="0"/>
              <w:rPr>
                <w:sz w:val="20"/>
                <w:szCs w:val="20"/>
                <w:color w:val="auto"/>
              </w:rPr>
            </w:pPr>
            <w:r>
              <w:rPr>
                <w:rFonts w:ascii="Arial" w:cs="Arial" w:eastAsia="Arial" w:hAnsi="Arial"/>
                <w:sz w:val="16"/>
                <w:szCs w:val="16"/>
                <w:color w:val="auto"/>
                <w:w w:val="84"/>
              </w:rPr>
              <w:t>10.25</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8620" w:type="dxa"/>
            <w:vAlign w:val="bottom"/>
            <w:gridSpan w:val="20"/>
          </w:tcPr>
          <w:p>
            <w:pPr>
              <w:spacing w:after="0"/>
              <w:rPr>
                <w:rFonts w:ascii="Arial" w:cs="Arial" w:eastAsia="Arial" w:hAnsi="Arial"/>
                <w:sz w:val="16"/>
                <w:szCs w:val="16"/>
                <w:u w:val="single" w:color="auto"/>
                <w:color w:val="0000FF"/>
                <w:w w:val="95"/>
              </w:rPr>
            </w:pPr>
            <w:hyperlink r:id="rId366">
              <w:r>
                <w:rPr>
                  <w:rFonts w:ascii="Arial" w:cs="Arial" w:eastAsia="Arial" w:hAnsi="Arial"/>
                  <w:sz w:val="16"/>
                  <w:szCs w:val="16"/>
                  <w:u w:val="single" w:color="auto"/>
                  <w:color w:val="0000FF"/>
                  <w:w w:val="95"/>
                </w:rPr>
                <w:t>First Amendment to the License Agreement, by and between the Registrant and Arctic Vision (Hong Kong) Limited, dated as of</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-1905</wp:posOffset>
            </wp:positionV>
            <wp:extent cx="53073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5307330" cy="8255"/>
                    </a:xfrm>
                    <a:prstGeom prst="rect">
                      <a:avLst/>
                    </a:prstGeom>
                    <a:noFill/>
                  </pic:spPr>
                </pic:pic>
              </a:graphicData>
            </a:graphic>
          </wp:anchor>
        </w:drawing>
      </w:r>
    </w:p>
    <w:p>
      <w:pPr>
        <w:ind w:left="2540" w:right="220"/>
        <w:spacing w:after="0" w:line="231" w:lineRule="auto"/>
        <w:rPr>
          <w:rFonts w:ascii="Arial" w:cs="Arial" w:eastAsia="Arial" w:hAnsi="Arial"/>
          <w:sz w:val="16"/>
          <w:szCs w:val="16"/>
          <w:u w:val="single" w:color="auto"/>
          <w:color w:val="0000FF"/>
        </w:rPr>
      </w:pPr>
      <w:hyperlink r:id="rId366">
        <w:r>
          <w:rPr>
            <w:rFonts w:ascii="Arial" w:cs="Arial" w:eastAsia="Arial" w:hAnsi="Arial"/>
            <w:sz w:val="16"/>
            <w:szCs w:val="16"/>
            <w:u w:val="single" w:color="auto"/>
            <w:color w:val="0000FF"/>
          </w:rPr>
          <w:t>August 15, 2021 (incorporated herein by reference to Exhibit 10.1 to the Registrant's Quarterly Report on Form-10 (File No. 001-</w:t>
        </w:r>
      </w:hyperlink>
      <w:hyperlink r:id="rId366">
        <w:r>
          <w:rPr>
            <w:rFonts w:ascii="Arial" w:cs="Arial" w:eastAsia="Arial" w:hAnsi="Arial"/>
            <w:sz w:val="16"/>
            <w:szCs w:val="16"/>
            <w:u w:val="single" w:color="auto"/>
            <w:color w:val="0000FF"/>
          </w:rPr>
          <w:t>37783), filed with the Commission on November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-123825</wp:posOffset>
            </wp:positionV>
            <wp:extent cx="53378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533781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-20955</wp:posOffset>
            </wp:positionV>
            <wp:extent cx="243713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2437130" cy="8890"/>
                    </a:xfrm>
                    <a:prstGeom prst="rect">
                      <a:avLst/>
                    </a:prstGeom>
                    <a:noFill/>
                  </pic:spPr>
                </pic:pic>
              </a:graphicData>
            </a:graphic>
          </wp:anchor>
        </w:drawing>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93" w:name="page94"/>
    <w:bookmarkEnd w:id="93"/>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40" w:type="dxa"/>
            <w:vAlign w:val="bottom"/>
          </w:tcPr>
          <w:p>
            <w:pPr>
              <w:spacing w:after="0"/>
              <w:rPr>
                <w:sz w:val="20"/>
                <w:szCs w:val="20"/>
                <w:color w:val="auto"/>
              </w:rPr>
            </w:pPr>
            <w:r>
              <w:rPr>
                <w:rFonts w:ascii="Arial" w:cs="Arial" w:eastAsia="Arial" w:hAnsi="Arial"/>
                <w:sz w:val="16"/>
                <w:szCs w:val="16"/>
                <w:color w:val="auto"/>
              </w:rPr>
              <w:t>10.26</w:t>
            </w:r>
          </w:p>
        </w:tc>
        <w:tc>
          <w:tcPr>
            <w:tcW w:w="126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8640" w:type="dxa"/>
            <w:vAlign w:val="bottom"/>
            <w:gridSpan w:val="16"/>
          </w:tcPr>
          <w:p>
            <w:pPr>
              <w:spacing w:after="0"/>
              <w:rPr>
                <w:rFonts w:ascii="Arial" w:cs="Arial" w:eastAsia="Arial" w:hAnsi="Arial"/>
                <w:sz w:val="16"/>
                <w:szCs w:val="16"/>
                <w:color w:val="0000FF"/>
                <w:w w:val="93"/>
              </w:rPr>
            </w:pPr>
            <w:hyperlink r:id="rId372">
              <w:r>
                <w:rPr>
                  <w:rFonts w:ascii="Arial" w:cs="Arial" w:eastAsia="Arial" w:hAnsi="Arial"/>
                  <w:sz w:val="16"/>
                  <w:szCs w:val="16"/>
                  <w:color w:val="0000FF"/>
                  <w:w w:val="93"/>
                </w:rPr>
                <w:t>Second Amendment to the License Agreement, by and between the Registrant and Arctic Vision (Hong Kong) Limited, dated as of</w:t>
              </w:r>
            </w:hyperlink>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5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2"/>
              </w:rPr>
            </w:pPr>
            <w:hyperlink r:id="rId372">
              <w:r>
                <w:rPr>
                  <w:rFonts w:ascii="Arial" w:cs="Arial" w:eastAsia="Arial" w:hAnsi="Arial"/>
                  <w:sz w:val="16"/>
                  <w:szCs w:val="16"/>
                  <w:color w:val="0000FF"/>
                  <w:w w:val="92"/>
                </w:rPr>
                <w:t>September 9, 2021 (incorporated herein by reference to Exhibit 10.2 to the Registrant's Quarterly Report on Form-10 (File No. 001-</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580" w:type="dxa"/>
            <w:vAlign w:val="bottom"/>
            <w:gridSpan w:val="13"/>
          </w:tcPr>
          <w:p>
            <w:pPr>
              <w:spacing w:after="0" w:line="142" w:lineRule="exact"/>
              <w:rPr>
                <w:rFonts w:ascii="Arial" w:cs="Arial" w:eastAsia="Arial" w:hAnsi="Arial"/>
                <w:sz w:val="16"/>
                <w:szCs w:val="16"/>
                <w:color w:val="0000FF"/>
              </w:rPr>
            </w:pPr>
            <w:hyperlink r:id="rId372">
              <w:r>
                <w:rPr>
                  <w:rFonts w:ascii="Arial" w:cs="Arial" w:eastAsia="Arial" w:hAnsi="Arial"/>
                  <w:sz w:val="16"/>
                  <w:szCs w:val="16"/>
                  <w:color w:val="0000FF"/>
                </w:rPr>
                <w:t>37783)</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filed with the Commission on November 10,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6"/>
                <w:szCs w:val="16"/>
                <w:color w:val="auto"/>
              </w:rPr>
              <w:t>10.27</w:t>
            </w:r>
          </w:p>
        </w:tc>
        <w:tc>
          <w:tcPr>
            <w:tcW w:w="1260" w:type="dxa"/>
            <w:vAlign w:val="bottom"/>
          </w:tcPr>
          <w:p>
            <w:pPr>
              <w:spacing w:after="0"/>
              <w:rPr>
                <w:sz w:val="24"/>
                <w:szCs w:val="24"/>
                <w:color w:val="auto"/>
              </w:rPr>
            </w:pPr>
          </w:p>
        </w:tc>
        <w:tc>
          <w:tcPr>
            <w:tcW w:w="8640" w:type="dxa"/>
            <w:vAlign w:val="bottom"/>
            <w:gridSpan w:val="16"/>
          </w:tcPr>
          <w:p>
            <w:pPr>
              <w:spacing w:after="0"/>
              <w:rPr>
                <w:rFonts w:ascii="Arial" w:cs="Arial" w:eastAsia="Arial" w:hAnsi="Arial"/>
                <w:sz w:val="16"/>
                <w:szCs w:val="16"/>
                <w:color w:val="0000FF"/>
                <w:w w:val="92"/>
              </w:rPr>
            </w:pPr>
            <w:hyperlink r:id="rId373">
              <w:r>
                <w:rPr>
                  <w:rFonts w:ascii="Arial" w:cs="Arial" w:eastAsia="Arial" w:hAnsi="Arial"/>
                  <w:sz w:val="16"/>
                  <w:szCs w:val="16"/>
                  <w:color w:val="0000FF"/>
                  <w:w w:val="92"/>
                </w:rPr>
                <w:t>Second Amendment to the License Agreement, by and between the Registrant and Bausch + Lomb Ireland Limited (as assignee of</w:t>
              </w:r>
            </w:hyperlink>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0"/>
              </w:rPr>
            </w:pPr>
            <w:hyperlink r:id="rId373">
              <w:r>
                <w:rPr>
                  <w:rFonts w:ascii="Arial" w:cs="Arial" w:eastAsia="Arial" w:hAnsi="Arial"/>
                  <w:sz w:val="16"/>
                  <w:szCs w:val="16"/>
                  <w:color w:val="0000FF"/>
                  <w:w w:val="90"/>
                </w:rPr>
                <w:t>Bausch Health Ireland Limited), dated as of September 27, 2021 (incorporated herein by reference to Exhibit 10.3 to the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700" w:type="dxa"/>
            <w:vAlign w:val="bottom"/>
            <w:tcBorders>
              <w:bottom w:val="single" w:sz="8" w:color="0000FF"/>
            </w:tcBorders>
            <w:gridSpan w:val="7"/>
          </w:tcPr>
          <w:p>
            <w:pPr>
              <w:spacing w:after="0" w:line="142" w:lineRule="exact"/>
              <w:rPr>
                <w:rFonts w:ascii="Arial" w:cs="Arial" w:eastAsia="Arial" w:hAnsi="Arial"/>
                <w:sz w:val="16"/>
                <w:szCs w:val="16"/>
                <w:color w:val="0000FF"/>
                <w:w w:val="92"/>
              </w:rPr>
            </w:pPr>
            <w:hyperlink r:id="rId373">
              <w:r>
                <w:rPr>
                  <w:rFonts w:ascii="Arial" w:cs="Arial" w:eastAsia="Arial" w:hAnsi="Arial"/>
                  <w:sz w:val="16"/>
                  <w:szCs w:val="16"/>
                  <w:color w:val="0000FF"/>
                  <w:w w:val="92"/>
                </w:rPr>
                <w:t>Quarterly Report on Form-10 (File No. 001-37783), filed with the Commission on November 10, 2021.</w:t>
              </w:r>
            </w:hyperlink>
          </w:p>
        </w:tc>
        <w:tc>
          <w:tcPr>
            <w:tcW w:w="19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6"/>
                <w:szCs w:val="16"/>
                <w:color w:val="auto"/>
              </w:rPr>
              <w:t>23.1</w:t>
            </w:r>
          </w:p>
        </w:tc>
        <w:tc>
          <w:tcPr>
            <w:tcW w:w="126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8640" w:type="dxa"/>
            <w:vAlign w:val="bottom"/>
            <w:gridSpan w:val="16"/>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Consent of Ernst &amp; Young LLP, independent registered public accounting firm.</w:t>
              </w:r>
            </w:hyperlink>
          </w:p>
        </w:tc>
      </w:tr>
      <w:tr>
        <w:trPr>
          <w:trHeight w:val="20"/>
        </w:trPr>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6"/>
                <w:szCs w:val="16"/>
                <w:color w:val="auto"/>
              </w:rPr>
              <w:t>24.1</w:t>
            </w:r>
          </w:p>
        </w:tc>
        <w:tc>
          <w:tcPr>
            <w:tcW w:w="126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8640" w:type="dxa"/>
            <w:vAlign w:val="bottom"/>
            <w:gridSpan w:val="16"/>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Power of Attorney (included on signature page).</w:t>
              </w:r>
            </w:hyperlink>
          </w:p>
        </w:tc>
      </w:tr>
      <w:tr>
        <w:trPr>
          <w:trHeight w:val="20"/>
        </w:trPr>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31.1</w:t>
            </w:r>
          </w:p>
        </w:tc>
        <w:tc>
          <w:tcPr>
            <w:tcW w:w="126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8640" w:type="dxa"/>
            <w:vAlign w:val="bottom"/>
            <w:gridSpan w:val="16"/>
          </w:tcPr>
          <w:p>
            <w:pPr>
              <w:spacing w:after="0"/>
              <w:rPr>
                <w:rFonts w:ascii="Arial" w:cs="Arial" w:eastAsia="Arial" w:hAnsi="Arial"/>
                <w:sz w:val="16"/>
                <w:szCs w:val="16"/>
                <w:color w:val="0000FF"/>
                <w:w w:val="93"/>
              </w:rPr>
            </w:pPr>
            <w:hyperlink w:anchor="page100">
              <w:r>
                <w:rPr>
                  <w:rFonts w:ascii="Arial" w:cs="Arial" w:eastAsia="Arial" w:hAnsi="Arial"/>
                  <w:sz w:val="16"/>
                  <w:szCs w:val="16"/>
                  <w:color w:val="0000FF"/>
                  <w:w w:val="93"/>
                </w:rPr>
                <w:t>Certification of Principal Executive Officer pursuant to Rules 13a-14(a) and 15d-14(a) promulgated under the Securities Exchange</w:t>
              </w:r>
            </w:hyperlink>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5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100">
              <w:r>
                <w:rPr>
                  <w:rFonts w:ascii="Arial" w:cs="Arial" w:eastAsia="Arial" w:hAnsi="Arial"/>
                  <w:sz w:val="16"/>
                  <w:szCs w:val="16"/>
                  <w:color w:val="0000FF"/>
                </w:rPr>
                <w:t>Act of 1934, as adopted pursuant to Section 302 of the Sarbanes-Oxley Act of 2002.</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40" w:type="dxa"/>
            <w:vAlign w:val="bottom"/>
            <w:tcBorders>
              <w:right w:val="single" w:sz="8" w:color="0000EE"/>
            </w:tcBorders>
            <w:gridSpan w:val="4"/>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6"/>
                <w:szCs w:val="16"/>
                <w:color w:val="auto"/>
              </w:rPr>
              <w:t>31.2</w:t>
            </w:r>
          </w:p>
        </w:tc>
        <w:tc>
          <w:tcPr>
            <w:tcW w:w="126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8640" w:type="dxa"/>
            <w:vAlign w:val="bottom"/>
            <w:gridSpan w:val="16"/>
          </w:tcPr>
          <w:p>
            <w:pPr>
              <w:spacing w:after="0"/>
              <w:rPr>
                <w:rFonts w:ascii="Arial" w:cs="Arial" w:eastAsia="Arial" w:hAnsi="Arial"/>
                <w:sz w:val="16"/>
                <w:szCs w:val="16"/>
                <w:color w:val="0000FF"/>
                <w:w w:val="94"/>
              </w:rPr>
            </w:pPr>
            <w:hyperlink w:anchor="page101">
              <w:r>
                <w:rPr>
                  <w:rFonts w:ascii="Arial" w:cs="Arial" w:eastAsia="Arial" w:hAnsi="Arial"/>
                  <w:sz w:val="16"/>
                  <w:szCs w:val="16"/>
                  <w:color w:val="0000FF"/>
                  <w:w w:val="94"/>
                </w:rPr>
                <w:t>Certification of Principal Financial Officer pursuant to Rules 13a-14(a) and 15d-14(a) promulgated under the Securities Exchange</w:t>
              </w:r>
            </w:hyperlink>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1"/>
              </w:rPr>
            </w:pPr>
            <w:hyperlink w:anchor="page101">
              <w:r>
                <w:rPr>
                  <w:rFonts w:ascii="Arial" w:cs="Arial" w:eastAsia="Arial" w:hAnsi="Arial"/>
                  <w:sz w:val="16"/>
                  <w:szCs w:val="16"/>
                  <w:color w:val="0000FF"/>
                  <w:w w:val="91"/>
                </w:rPr>
                <w:t>Act of 1934, as adopted pursuant to section 302 of the Sarbanes-Oxley Act of 2002.</w:t>
              </w:r>
            </w:hyperlink>
          </w:p>
        </w:tc>
        <w:tc>
          <w:tcPr>
            <w:tcW w:w="3000" w:type="dxa"/>
            <w:vAlign w:val="bottom"/>
            <w:tcBorders>
              <w:top w:val="single" w:sz="8" w:color="0000FF"/>
            </w:tcBorders>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16"/>
                <w:szCs w:val="16"/>
                <w:color w:val="auto"/>
              </w:rPr>
              <w:t>32.1</w:t>
            </w:r>
          </w:p>
        </w:tc>
        <w:tc>
          <w:tcPr>
            <w:tcW w:w="1260" w:type="dxa"/>
            <w:vAlign w:val="bottom"/>
          </w:tcPr>
          <w:p>
            <w:pPr>
              <w:jc w:val="right"/>
              <w:ind w:right="378"/>
              <w:spacing w:after="0"/>
              <w:rPr>
                <w:sz w:val="20"/>
                <w:szCs w:val="20"/>
                <w:color w:val="auto"/>
              </w:rPr>
            </w:pPr>
            <w:r>
              <w:rPr>
                <w:rFonts w:ascii="Arial" w:cs="Arial" w:eastAsia="Arial" w:hAnsi="Arial"/>
                <w:sz w:val="16"/>
                <w:szCs w:val="16"/>
                <w:color w:val="auto"/>
              </w:rPr>
              <w:t>*^</w:t>
            </w:r>
          </w:p>
        </w:tc>
        <w:tc>
          <w:tcPr>
            <w:tcW w:w="8640" w:type="dxa"/>
            <w:vAlign w:val="bottom"/>
            <w:gridSpan w:val="16"/>
          </w:tcPr>
          <w:p>
            <w:pPr>
              <w:spacing w:after="0"/>
              <w:rPr>
                <w:rFonts w:ascii="Arial" w:cs="Arial" w:eastAsia="Arial" w:hAnsi="Arial"/>
                <w:sz w:val="16"/>
                <w:szCs w:val="16"/>
                <w:color w:val="0000FF"/>
                <w:w w:val="94"/>
              </w:rPr>
            </w:pPr>
            <w:hyperlink w:anchor="page102">
              <w:r>
                <w:rPr>
                  <w:rFonts w:ascii="Arial" w:cs="Arial" w:eastAsia="Arial" w:hAnsi="Arial"/>
                  <w:sz w:val="16"/>
                  <w:szCs w:val="16"/>
                  <w:color w:val="0000FF"/>
                  <w:w w:val="94"/>
                </w:rPr>
                <w:t>Certification of Principal Executive Officer and Principal Financial Officer pursuant to Rules 13a-14(b) and 15d-14(b) promulgated</w:t>
              </w:r>
            </w:hyperlink>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0" w:type="dxa"/>
            <w:vAlign w:val="bottom"/>
            <w:tcBorders>
              <w:top w:val="single" w:sz="8" w:color="0000FF"/>
            </w:tcBorders>
            <w:gridSpan w:val="14"/>
          </w:tcPr>
          <w:p>
            <w:pPr>
              <w:spacing w:after="0" w:line="142" w:lineRule="exact"/>
              <w:rPr>
                <w:rFonts w:ascii="Arial" w:cs="Arial" w:eastAsia="Arial" w:hAnsi="Arial"/>
                <w:sz w:val="16"/>
                <w:szCs w:val="16"/>
                <w:color w:val="0000FF"/>
                <w:w w:val="91"/>
              </w:rPr>
            </w:pPr>
            <w:hyperlink w:anchor="page102">
              <w:r>
                <w:rPr>
                  <w:rFonts w:ascii="Arial" w:cs="Arial" w:eastAsia="Arial" w:hAnsi="Arial"/>
                  <w:sz w:val="16"/>
                  <w:szCs w:val="16"/>
                  <w:color w:val="0000FF"/>
                  <w:w w:val="91"/>
                </w:rPr>
                <w:t>under the Securities Exchange Act of 1934 and 18 U.S.C. Section 1350, as adopted pursuant to section 906 of The Sarbanes-Oxley</w:t>
              </w:r>
            </w:hyperlink>
          </w:p>
        </w:tc>
        <w:tc>
          <w:tcPr>
            <w:tcW w:w="40" w:type="dxa"/>
            <w:vAlign w:val="bottom"/>
            <w:gridSpan w:val="2"/>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w:anchor="page102">
              <w:r>
                <w:rPr>
                  <w:rFonts w:ascii="Arial" w:cs="Arial" w:eastAsia="Arial" w:hAnsi="Arial"/>
                  <w:sz w:val="16"/>
                  <w:szCs w:val="16"/>
                  <w:color w:val="0000FF"/>
                  <w:w w:val="91"/>
                </w:rPr>
                <w:t>Act of 2002.</w:t>
              </w:r>
            </w:hyperlink>
          </w:p>
        </w:tc>
        <w:tc>
          <w:tcPr>
            <w:tcW w:w="20" w:type="dxa"/>
            <w:vAlign w:val="bottom"/>
            <w:tcBorders>
              <w:top w:val="single" w:sz="8" w:color="0000FF"/>
              <w:bottom w:val="single" w:sz="8" w:color="0000EE"/>
            </w:tcBorders>
          </w:tcPr>
          <w:p>
            <w:pPr>
              <w:spacing w:after="0"/>
              <w:rPr>
                <w:sz w:val="12"/>
                <w:szCs w:val="12"/>
                <w:color w:val="auto"/>
              </w:rPr>
            </w:pPr>
          </w:p>
        </w:tc>
        <w:tc>
          <w:tcPr>
            <w:tcW w:w="7720" w:type="dxa"/>
            <w:vAlign w:val="bottom"/>
            <w:tcBorders>
              <w:top w:val="single" w:sz="8" w:color="0000FF"/>
            </w:tcBorders>
            <w:gridSpan w:val="9"/>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6"/>
                <w:szCs w:val="16"/>
                <w:color w:val="auto"/>
              </w:rPr>
              <w:t>101.INS</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XBRL Instance Document</w:t>
            </w:r>
          </w:p>
        </w:tc>
      </w:tr>
      <w:tr>
        <w:trPr>
          <w:trHeight w:val="297"/>
        </w:trPr>
        <w:tc>
          <w:tcPr>
            <w:tcW w:w="1240" w:type="dxa"/>
            <w:vAlign w:val="bottom"/>
          </w:tcPr>
          <w:p>
            <w:pPr>
              <w:spacing w:after="0"/>
              <w:rPr>
                <w:sz w:val="20"/>
                <w:szCs w:val="20"/>
                <w:color w:val="auto"/>
              </w:rPr>
            </w:pPr>
            <w:r>
              <w:rPr>
                <w:rFonts w:ascii="Arial" w:cs="Arial" w:eastAsia="Arial" w:hAnsi="Arial"/>
                <w:sz w:val="16"/>
                <w:szCs w:val="16"/>
                <w:color w:val="auto"/>
              </w:rPr>
              <w:t>101.SCH</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97"/>
        </w:trPr>
        <w:tc>
          <w:tcPr>
            <w:tcW w:w="1240" w:type="dxa"/>
            <w:vAlign w:val="bottom"/>
          </w:tcPr>
          <w:p>
            <w:pPr>
              <w:spacing w:after="0"/>
              <w:rPr>
                <w:sz w:val="20"/>
                <w:szCs w:val="20"/>
                <w:color w:val="auto"/>
              </w:rPr>
            </w:pPr>
            <w:r>
              <w:rPr>
                <w:rFonts w:ascii="Arial" w:cs="Arial" w:eastAsia="Arial" w:hAnsi="Arial"/>
                <w:sz w:val="16"/>
                <w:szCs w:val="16"/>
                <w:color w:val="auto"/>
              </w:rPr>
              <w:t>101.CAL</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97"/>
        </w:trPr>
        <w:tc>
          <w:tcPr>
            <w:tcW w:w="1240" w:type="dxa"/>
            <w:vAlign w:val="bottom"/>
          </w:tcPr>
          <w:p>
            <w:pPr>
              <w:spacing w:after="0"/>
              <w:rPr>
                <w:sz w:val="20"/>
                <w:szCs w:val="20"/>
                <w:color w:val="auto"/>
              </w:rPr>
            </w:pPr>
            <w:r>
              <w:rPr>
                <w:rFonts w:ascii="Arial" w:cs="Arial" w:eastAsia="Arial" w:hAnsi="Arial"/>
                <w:sz w:val="16"/>
                <w:szCs w:val="16"/>
                <w:color w:val="auto"/>
              </w:rPr>
              <w:t>101.DEF</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97"/>
        </w:trPr>
        <w:tc>
          <w:tcPr>
            <w:tcW w:w="1240" w:type="dxa"/>
            <w:vAlign w:val="bottom"/>
          </w:tcPr>
          <w:p>
            <w:pPr>
              <w:spacing w:after="0"/>
              <w:rPr>
                <w:sz w:val="20"/>
                <w:szCs w:val="20"/>
                <w:color w:val="auto"/>
              </w:rPr>
            </w:pPr>
            <w:r>
              <w:rPr>
                <w:rFonts w:ascii="Arial" w:cs="Arial" w:eastAsia="Arial" w:hAnsi="Arial"/>
                <w:sz w:val="16"/>
                <w:szCs w:val="16"/>
                <w:color w:val="auto"/>
              </w:rPr>
              <w:t>101.LAB</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97"/>
        </w:trPr>
        <w:tc>
          <w:tcPr>
            <w:tcW w:w="1240" w:type="dxa"/>
            <w:vAlign w:val="bottom"/>
          </w:tcPr>
          <w:p>
            <w:pPr>
              <w:spacing w:after="0"/>
              <w:rPr>
                <w:sz w:val="20"/>
                <w:szCs w:val="20"/>
                <w:color w:val="auto"/>
              </w:rPr>
            </w:pPr>
            <w:r>
              <w:rPr>
                <w:rFonts w:ascii="Arial" w:cs="Arial" w:eastAsia="Arial" w:hAnsi="Arial"/>
                <w:sz w:val="16"/>
                <w:szCs w:val="16"/>
                <w:color w:val="auto"/>
              </w:rPr>
              <w:t>101.PRE</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97"/>
        </w:trPr>
        <w:tc>
          <w:tcPr>
            <w:tcW w:w="1240" w:type="dxa"/>
            <w:vAlign w:val="bottom"/>
          </w:tcPr>
          <w:p>
            <w:pPr>
              <w:spacing w:after="0"/>
              <w:rPr>
                <w:sz w:val="20"/>
                <w:szCs w:val="20"/>
                <w:color w:val="auto"/>
              </w:rPr>
            </w:pPr>
            <w:r>
              <w:rPr>
                <w:rFonts w:ascii="Arial" w:cs="Arial" w:eastAsia="Arial" w:hAnsi="Arial"/>
                <w:sz w:val="16"/>
                <w:szCs w:val="16"/>
                <w:color w:val="auto"/>
              </w:rPr>
              <w:t>104</w:t>
            </w:r>
          </w:p>
        </w:tc>
        <w:tc>
          <w:tcPr>
            <w:tcW w:w="1260" w:type="dxa"/>
            <w:vAlign w:val="bottom"/>
          </w:tcPr>
          <w:p>
            <w:pPr>
              <w:spacing w:after="0"/>
              <w:rPr>
                <w:sz w:val="24"/>
                <w:szCs w:val="24"/>
                <w:color w:val="auto"/>
              </w:rPr>
            </w:pPr>
          </w:p>
        </w:tc>
        <w:tc>
          <w:tcPr>
            <w:tcW w:w="8640" w:type="dxa"/>
            <w:vAlign w:val="bottom"/>
            <w:gridSpan w:val="16"/>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168"/>
        </w:trPr>
        <w:tc>
          <w:tcPr>
            <w:tcW w:w="1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9" w:lineRule="exact"/>
        <w:rPr>
          <w:sz w:val="20"/>
          <w:szCs w:val="20"/>
          <w:color w:val="auto"/>
        </w:rPr>
      </w:pPr>
    </w:p>
    <w:p>
      <w:pPr>
        <w:ind w:left="560" w:hanging="498"/>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60" w:hanging="498"/>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53" w:lineRule="exact"/>
        <w:rPr>
          <w:sz w:val="20"/>
          <w:szCs w:val="20"/>
          <w:color w:val="auto"/>
        </w:rPr>
      </w:pPr>
    </w:p>
    <w:p>
      <w:pPr>
        <w:ind w:left="560" w:right="460" w:hanging="498"/>
        <w:spacing w:after="0" w:line="238" w:lineRule="auto"/>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(indicated by asterisks) and those portions have been separately filed with the Securities and Exchange Commission.</w:t>
      </w:r>
    </w:p>
    <w:p>
      <w:pPr>
        <w:ind w:left="560" w:right="100" w:hanging="498"/>
        <w:spacing w:after="0" w:line="223" w:lineRule="auto"/>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ind w:left="560" w:right="120" w:hanging="498"/>
        <w:spacing w:after="0" w:line="224" w:lineRule="auto"/>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Item 601(b)(10)(iv) of Regulation S-K promulgated by the Securities and Exchange Commission, certain portions of this exhibit (indicated by asterisks) have been omitted.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4" w:name="page95"/>
    <w:bookmarkEnd w:id="94"/>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5" w:name="page96"/>
    <w:bookmarkEnd w:id="95"/>
    <w:p>
      <w:pPr>
        <w:spacing w:after="0"/>
        <w:rPr>
          <w:rFonts w:ascii="Arial" w:cs="Arial" w:eastAsia="Arial" w:hAnsi="Arial"/>
          <w:sz w:val="18"/>
          <w:szCs w:val="18"/>
          <w:color w:val="auto"/>
        </w:rPr>
      </w:pPr>
      <w:hyperlink w:anchor="page4">
        <w:r>
          <w:rPr>
            <w:rFonts w:ascii="Arial" w:cs="Arial" w:eastAsia="Arial" w:hAnsi="Arial"/>
            <w:sz w:val="18"/>
            <w:szCs w:val="18"/>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1"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CLEARSIDE BIOMEDICAL, INC.</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460" w:type="dxa"/>
            <w:vAlign w:val="bottom"/>
          </w:tcPr>
          <w:p>
            <w:pPr>
              <w:ind w:left="6660"/>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 xml:space="preserve">/s/ </w:t>
            </w:r>
            <w:r>
              <w:rPr>
                <w:rFonts w:ascii="Arial" w:cs="Arial" w:eastAsia="Arial" w:hAnsi="Arial"/>
                <w:sz w:val="16"/>
                <w:szCs w:val="16"/>
                <w:i w:val="1"/>
                <w:iCs w:val="1"/>
                <w:color w:val="auto"/>
                <w:w w:val="91"/>
              </w:rPr>
              <w:t>George Lasezkay, Pharm.D., J.D.</w:t>
            </w:r>
          </w:p>
        </w:tc>
        <w:tc>
          <w:tcPr>
            <w:tcW w:w="0" w:type="dxa"/>
            <w:vAlign w:val="bottom"/>
          </w:tcPr>
          <w:p>
            <w:pPr>
              <w:spacing w:after="0"/>
              <w:rPr>
                <w:sz w:val="1"/>
                <w:szCs w:val="1"/>
                <w:color w:val="auto"/>
              </w:rPr>
            </w:pPr>
          </w:p>
        </w:tc>
      </w:tr>
      <w:tr>
        <w:trPr>
          <w:trHeight w:val="173"/>
        </w:trPr>
        <w:tc>
          <w:tcPr>
            <w:tcW w:w="7460" w:type="dxa"/>
            <w:vAlign w:val="bottom"/>
            <w:vMerge w:val="restart"/>
          </w:tcPr>
          <w:p>
            <w:pPr>
              <w:spacing w:after="0"/>
              <w:rPr>
                <w:sz w:val="20"/>
                <w:szCs w:val="20"/>
                <w:color w:val="auto"/>
              </w:rPr>
            </w:pPr>
            <w:r>
              <w:rPr>
                <w:rFonts w:ascii="Arial" w:cs="Arial" w:eastAsia="Arial" w:hAnsi="Arial"/>
                <w:sz w:val="16"/>
                <w:szCs w:val="16"/>
                <w:color w:val="auto"/>
              </w:rPr>
              <w:t>March 11, 2022</w:t>
            </w:r>
          </w:p>
        </w:tc>
        <w:tc>
          <w:tcPr>
            <w:tcW w:w="3660" w:type="dxa"/>
            <w:vAlign w:val="bottom"/>
          </w:tcPr>
          <w:p>
            <w:pPr>
              <w:jc w:val="center"/>
              <w:spacing w:after="0" w:line="173" w:lineRule="exact"/>
              <w:rPr>
                <w:sz w:val="20"/>
                <w:szCs w:val="20"/>
                <w:color w:val="auto"/>
              </w:rPr>
            </w:pPr>
            <w:r>
              <w:rPr>
                <w:rFonts w:ascii="Arial" w:cs="Arial" w:eastAsia="Arial" w:hAnsi="Arial"/>
                <w:sz w:val="16"/>
                <w:szCs w:val="16"/>
                <w:color w:val="auto"/>
                <w:w w:val="89"/>
              </w:rPr>
              <w:t>George Lasezkay, Pharm.D., J.D.</w:t>
            </w:r>
          </w:p>
        </w:tc>
        <w:tc>
          <w:tcPr>
            <w:tcW w:w="0" w:type="dxa"/>
            <w:vAlign w:val="bottom"/>
          </w:tcPr>
          <w:p>
            <w:pPr>
              <w:spacing w:after="0"/>
              <w:rPr>
                <w:sz w:val="1"/>
                <w:szCs w:val="1"/>
                <w:color w:val="auto"/>
              </w:rPr>
            </w:pPr>
          </w:p>
        </w:tc>
      </w:tr>
      <w:tr>
        <w:trPr>
          <w:trHeight w:val="206"/>
        </w:trPr>
        <w:tc>
          <w:tcPr>
            <w:tcW w:w="7460" w:type="dxa"/>
            <w:vAlign w:val="bottom"/>
            <w:vMerge w:val="continue"/>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6"/>
                <w:szCs w:val="16"/>
                <w:i w:val="1"/>
                <w:iCs w:val="1"/>
                <w:color w:val="auto"/>
                <w:w w:val="92"/>
              </w:rPr>
              <w:t>President and Chief Executive Officer</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George Lasezkay, Charles A. Deignan and Leslie Zacks,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60" w:type="dxa"/>
            <w:vAlign w:val="bottom"/>
            <w:tcBorders>
              <w:top w:val="single" w:sz="8" w:color="auto"/>
              <w:bottom w:val="single" w:sz="8" w:color="auto"/>
            </w:tcBorders>
          </w:tcPr>
          <w:p>
            <w:pPr>
              <w:spacing w:after="0"/>
              <w:rPr>
                <w:sz w:val="19"/>
                <w:szCs w:val="19"/>
                <w:color w:val="auto"/>
              </w:rPr>
            </w:pPr>
          </w:p>
        </w:tc>
        <w:tc>
          <w:tcPr>
            <w:tcW w:w="4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680" w:type="dxa"/>
            <w:vAlign w:val="bottom"/>
            <w:tcBorders>
              <w:top w:val="single" w:sz="8" w:color="auto"/>
              <w:bottom w:val="single" w:sz="8" w:color="auto"/>
            </w:tcBorders>
          </w:tcPr>
          <w:p>
            <w:pPr>
              <w:ind w:left="1920"/>
              <w:spacing w:after="0"/>
              <w:rPr>
                <w:sz w:val="20"/>
                <w:szCs w:val="20"/>
                <w:color w:val="auto"/>
              </w:rPr>
            </w:pPr>
            <w:r>
              <w:rPr>
                <w:rFonts w:ascii="Arial" w:cs="Arial" w:eastAsia="Arial" w:hAnsi="Arial"/>
                <w:sz w:val="16"/>
                <w:szCs w:val="16"/>
                <w:b w:val="1"/>
                <w:bCs w:val="1"/>
                <w:color w:val="auto"/>
              </w:rPr>
              <w:t>Title</w:t>
            </w:r>
          </w:p>
        </w:tc>
        <w:tc>
          <w:tcPr>
            <w:tcW w:w="298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6"/>
                <w:szCs w:val="16"/>
                <w:i w:val="1"/>
                <w:iCs w:val="1"/>
                <w:color w:val="auto"/>
                <w:w w:val="91"/>
              </w:rPr>
              <w:t>/s/ George Lasezkay, Pharm.D., J.D.</w:t>
            </w:r>
          </w:p>
        </w:tc>
        <w:tc>
          <w:tcPr>
            <w:tcW w:w="3680" w:type="dxa"/>
            <w:vAlign w:val="bottom"/>
          </w:tcPr>
          <w:p>
            <w:pPr>
              <w:ind w:left="440"/>
              <w:spacing w:after="0"/>
              <w:rPr>
                <w:sz w:val="20"/>
                <w:szCs w:val="20"/>
                <w:color w:val="auto"/>
              </w:rPr>
            </w:pPr>
            <w:r>
              <w:rPr>
                <w:rFonts w:ascii="Arial" w:cs="Arial" w:eastAsia="Arial" w:hAnsi="Arial"/>
                <w:sz w:val="16"/>
                <w:szCs w:val="16"/>
                <w:color w:val="auto"/>
                <w:w w:val="97"/>
              </w:rPr>
              <w:t>President, Chief Executive Officer and Director</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680" w:type="dxa"/>
            <w:vAlign w:val="bottom"/>
            <w:vMerge w:val="restart"/>
          </w:tcPr>
          <w:p>
            <w:pPr>
              <w:ind w:left="440"/>
              <w:spacing w:after="0"/>
              <w:rPr>
                <w:sz w:val="20"/>
                <w:szCs w:val="20"/>
                <w:color w:val="auto"/>
              </w:rPr>
            </w:pPr>
            <w:r>
              <w:rPr>
                <w:rFonts w:ascii="Arial" w:cs="Arial" w:eastAsia="Arial" w:hAnsi="Arial"/>
                <w:sz w:val="16"/>
                <w:szCs w:val="16"/>
                <w:i w:val="1"/>
                <w:iCs w:val="1"/>
                <w:color w:val="auto"/>
              </w:rPr>
              <w:t>(Principal Executive Officer)</w:t>
            </w: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89"/>
              </w:rPr>
              <w:t>George Lasezkay, Pharm.D., J.D.</w:t>
            </w:r>
          </w:p>
        </w:tc>
        <w:tc>
          <w:tcPr>
            <w:tcW w:w="3680" w:type="dxa"/>
            <w:vAlign w:val="bottom"/>
            <w:vMerge w:val="continue"/>
          </w:tcPr>
          <w:p>
            <w:pPr>
              <w:spacing w:after="0"/>
              <w:rPr>
                <w:sz w:val="17"/>
                <w:szCs w:val="17"/>
                <w:color w:val="auto"/>
              </w:rPr>
            </w:pPr>
          </w:p>
        </w:tc>
        <w:tc>
          <w:tcPr>
            <w:tcW w:w="2980" w:type="dxa"/>
            <w:vAlign w:val="bottom"/>
            <w:vMerge w:val="restart"/>
          </w:tcPr>
          <w:p>
            <w:pPr>
              <w:ind w:left="14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6"/>
                <w:szCs w:val="16"/>
                <w:i w:val="1"/>
                <w:iCs w:val="1"/>
                <w:color w:val="auto"/>
                <w:w w:val="93"/>
              </w:rPr>
              <w:t>/s/ Charles A. Deignan</w:t>
            </w:r>
          </w:p>
        </w:tc>
        <w:tc>
          <w:tcPr>
            <w:tcW w:w="3680" w:type="dxa"/>
            <w:vAlign w:val="bottom"/>
          </w:tcPr>
          <w:p>
            <w:pPr>
              <w:ind w:left="440"/>
              <w:spacing w:after="0"/>
              <w:rPr>
                <w:sz w:val="20"/>
                <w:szCs w:val="20"/>
                <w:color w:val="auto"/>
              </w:rPr>
            </w:pPr>
            <w:r>
              <w:rPr>
                <w:rFonts w:ascii="Arial" w:cs="Arial" w:eastAsia="Arial" w:hAnsi="Arial"/>
                <w:sz w:val="16"/>
                <w:szCs w:val="16"/>
                <w:color w:val="auto"/>
              </w:rPr>
              <w:t>Chief Financial Officer</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680" w:type="dxa"/>
            <w:vAlign w:val="bottom"/>
            <w:vMerge w:val="restart"/>
          </w:tcPr>
          <w:p>
            <w:pPr>
              <w:ind w:left="440"/>
              <w:spacing w:after="0" w:line="172" w:lineRule="exact"/>
              <w:rPr>
                <w:sz w:val="20"/>
                <w:szCs w:val="20"/>
                <w:color w:val="auto"/>
              </w:rPr>
            </w:pPr>
            <w:r>
              <w:rPr>
                <w:rFonts w:ascii="Arial" w:cs="Arial" w:eastAsia="Arial" w:hAnsi="Arial"/>
                <w:sz w:val="16"/>
                <w:szCs w:val="16"/>
                <w:i w:val="1"/>
                <w:iCs w:val="1"/>
                <w:color w:val="auto"/>
              </w:rPr>
              <w:t>(Principal Financial Officer and Principal</w:t>
            </w: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4300" w:type="dxa"/>
            <w:vAlign w:val="bottom"/>
          </w:tcPr>
          <w:p>
            <w:pPr>
              <w:jc w:val="center"/>
              <w:spacing w:after="0" w:line="129" w:lineRule="exact"/>
              <w:rPr>
                <w:sz w:val="20"/>
                <w:szCs w:val="20"/>
                <w:color w:val="auto"/>
              </w:rPr>
            </w:pPr>
            <w:r>
              <w:rPr>
                <w:rFonts w:ascii="Arial" w:cs="Arial" w:eastAsia="Arial" w:hAnsi="Arial"/>
                <w:sz w:val="14"/>
                <w:szCs w:val="14"/>
                <w:color w:val="auto"/>
              </w:rPr>
              <w:t>Charles A. Deignan</w:t>
            </w:r>
          </w:p>
        </w:tc>
        <w:tc>
          <w:tcPr>
            <w:tcW w:w="3680" w:type="dxa"/>
            <w:vAlign w:val="bottom"/>
            <w:vMerge w:val="continue"/>
          </w:tcPr>
          <w:p>
            <w:pPr>
              <w:spacing w:after="0"/>
              <w:rPr>
                <w:sz w:val="11"/>
                <w:szCs w:val="11"/>
                <w:color w:val="auto"/>
              </w:rPr>
            </w:pPr>
          </w:p>
        </w:tc>
        <w:tc>
          <w:tcPr>
            <w:tcW w:w="2980" w:type="dxa"/>
            <w:vAlign w:val="bottom"/>
            <w:vMerge w:val="restart"/>
          </w:tcPr>
          <w:p>
            <w:pPr>
              <w:ind w:left="14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680" w:type="dxa"/>
            <w:vAlign w:val="bottom"/>
          </w:tcPr>
          <w:p>
            <w:pPr>
              <w:ind w:left="440"/>
              <w:spacing w:after="0"/>
              <w:rPr>
                <w:sz w:val="20"/>
                <w:szCs w:val="20"/>
                <w:color w:val="auto"/>
              </w:rPr>
            </w:pPr>
            <w:r>
              <w:rPr>
                <w:rFonts w:ascii="Arial" w:cs="Arial" w:eastAsia="Arial" w:hAnsi="Arial"/>
                <w:sz w:val="16"/>
                <w:szCs w:val="16"/>
                <w:i w:val="1"/>
                <w:iCs w:val="1"/>
                <w:color w:val="auto"/>
              </w:rPr>
              <w:t>Accounting Officer)</w:t>
            </w: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William D. Humphries</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8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7"/>
              </w:rPr>
              <w:t>William D. Humphries</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Richard Croarkin</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8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4"/>
              </w:rPr>
              <w:t>Richard Croarkin</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Jeffrey L. Edwards</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4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2"/>
              </w:rPr>
              <w:t>Jeffrey L. Edwards</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0"/>
              </w:rPr>
              <w:t>/s/ Nancy J. Hutson</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8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0"/>
              </w:rPr>
              <w:t>Nancy J. Hutson</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 Christy L. Shaffer, Ph.D.</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8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3"/>
              </w:rPr>
              <w:t>Christy L. Shaffer, Ph.D.</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/s/Clay B. Thorp</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4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6"/>
              </w:rPr>
              <w:t>Clay B. Thorp</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6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/s/Benjamin R. Yerxa</w:t>
            </w:r>
          </w:p>
        </w:tc>
        <w:tc>
          <w:tcPr>
            <w:tcW w:w="3680" w:type="dxa"/>
            <w:vAlign w:val="bottom"/>
            <w:vMerge w:val="restart"/>
          </w:tcPr>
          <w:p>
            <w:pPr>
              <w:ind w:left="440"/>
              <w:spacing w:after="0"/>
              <w:rPr>
                <w:sz w:val="20"/>
                <w:szCs w:val="20"/>
                <w:color w:val="auto"/>
              </w:rPr>
            </w:pPr>
            <w:r>
              <w:rPr>
                <w:rFonts w:ascii="Arial" w:cs="Arial" w:eastAsia="Arial" w:hAnsi="Arial"/>
                <w:sz w:val="16"/>
                <w:szCs w:val="16"/>
                <w:color w:val="auto"/>
              </w:rPr>
              <w:t>Director</w:t>
            </w:r>
          </w:p>
        </w:tc>
        <w:tc>
          <w:tcPr>
            <w:tcW w:w="2980" w:type="dxa"/>
            <w:vAlign w:val="bottom"/>
            <w:vMerge w:val="restart"/>
          </w:tcPr>
          <w:p>
            <w:pPr>
              <w:ind w:left="140"/>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w w:val="91"/>
              </w:rPr>
              <w:t>Benjamin R. Yerxa</w:t>
            </w:r>
          </w:p>
        </w:tc>
        <w:tc>
          <w:tcPr>
            <w:tcW w:w="368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t>Exhibit 10.14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LEARSIDE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IOMEDICAL</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June 18, 2020</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Each member of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who is not also serving as an employee of Clearside Biomedical,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or any of its subsidiaries (each such member, an “</w:t>
      </w:r>
      <w:r>
        <w:rPr>
          <w:rFonts w:ascii="Arial" w:cs="Arial" w:eastAsia="Arial" w:hAnsi="Arial"/>
          <w:sz w:val="22"/>
          <w:szCs w:val="22"/>
          <w:b w:val="1"/>
          <w:bCs w:val="1"/>
          <w:i w:val="1"/>
          <w:iCs w:val="1"/>
          <w:color w:val="auto"/>
        </w:rPr>
        <w:t>Eligible Director</w:t>
      </w:r>
      <w:r>
        <w:rPr>
          <w:rFonts w:ascii="Arial" w:cs="Arial" w:eastAsia="Arial" w:hAnsi="Arial"/>
          <w:sz w:val="22"/>
          <w:szCs w:val="22"/>
          <w:color w:val="auto"/>
        </w:rPr>
        <w:t>”) will receive the compensation described in this Non-Employee Director Compensation Policy for his or her Board service. A Non-Employee Director may decline all or any portion of his or her compensation by giving notice to the Company prior to the date cash is to be paid or equity awards are to be granted, as the case may be. This policy may be amended at any time in the sole discretion of the Board or the Compensation Committee of the Board.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annual cash compensation amount set forth below is payable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74"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Annual Board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All Eligible Directors: $40,000</w:t>
      </w:r>
    </w:p>
    <w:p>
      <w:pPr>
        <w:ind w:left="820"/>
        <w:spacing w:after="0"/>
        <w:rPr>
          <w:rFonts w:ascii="Arial" w:cs="Arial" w:eastAsia="Arial" w:hAnsi="Arial"/>
          <w:sz w:val="22"/>
          <w:szCs w:val="22"/>
          <w:color w:val="auto"/>
        </w:rPr>
      </w:pPr>
      <w:r>
        <w:rPr>
          <w:rFonts w:ascii="Arial" w:cs="Arial" w:eastAsia="Arial" w:hAnsi="Arial"/>
          <w:sz w:val="22"/>
          <w:szCs w:val="22"/>
          <w:color w:val="auto"/>
        </w:rPr>
        <w:t>b.   Chairman of the Board Service Retainer (in addition to Eligible Director Service Retainer): $35,000</w:t>
      </w:r>
    </w:p>
    <w:p>
      <w:pPr>
        <w:spacing w:after="0" w:line="215" w:lineRule="exact"/>
        <w:rPr>
          <w:rFonts w:ascii="Arial" w:cs="Arial" w:eastAsia="Arial" w:hAnsi="Arial"/>
          <w:sz w:val="22"/>
          <w:szCs w:val="22"/>
          <w:color w:val="auto"/>
        </w:rPr>
      </w:pPr>
    </w:p>
    <w:p>
      <w:pPr>
        <w:ind w:left="440" w:hanging="432"/>
        <w:spacing w:after="0"/>
        <w:tabs>
          <w:tab w:leader="none" w:pos="44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Annual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Member of the Audit Committee: $8,000</w:t>
      </w: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Member of the Compensation Committee: $6,000</w:t>
      </w:r>
    </w:p>
    <w:p>
      <w:pPr>
        <w:ind w:left="1180" w:hanging="423"/>
        <w:spacing w:after="0"/>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Member of the Nominating and Corporate Governance Committee: $4,000</w:t>
      </w:r>
    </w:p>
    <w:p>
      <w:pPr>
        <w:spacing w:after="0" w:line="215" w:lineRule="exact"/>
        <w:rPr>
          <w:rFonts w:ascii="Arial" w:cs="Arial" w:eastAsia="Arial" w:hAnsi="Arial"/>
          <w:sz w:val="22"/>
          <w:szCs w:val="22"/>
          <w:color w:val="auto"/>
        </w:rPr>
      </w:pPr>
    </w:p>
    <w:p>
      <w:pPr>
        <w:ind w:left="440" w:hanging="432"/>
        <w:spacing w:after="0"/>
        <w:tabs>
          <w:tab w:leader="none" w:pos="44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Annual Committee Chair Service Retainer (in addition to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Chairman of the Audit Committee: $8,000</w:t>
      </w:r>
    </w:p>
    <w:p>
      <w:pPr>
        <w:ind w:left="1180" w:hanging="423"/>
        <w:spacing w:after="0" w:line="230" w:lineRule="auto"/>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Chairman of the Compensation Committee: $6,000</w:t>
      </w:r>
    </w:p>
    <w:p>
      <w:pPr>
        <w:ind w:left="1180" w:hanging="423"/>
        <w:spacing w:after="0"/>
        <w:tabs>
          <w:tab w:leader="none" w:pos="11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Chairman of the Nominating and Corporate Governance Committee: $4,000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201662413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auto"/>
        </w:rPr>
        <w:t>Equity Compensation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equity compensation set forth below will be granted under the Company’s 2016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70" w:lineRule="exact"/>
        <w:rPr>
          <w:sz w:val="20"/>
          <w:szCs w:val="20"/>
          <w:color w:val="auto"/>
        </w:rPr>
      </w:pPr>
    </w:p>
    <w:p>
      <w:pPr>
        <w:jc w:val="both"/>
        <w:ind w:firstLine="8"/>
        <w:spacing w:after="0" w:line="248" w:lineRule="auto"/>
        <w:tabs>
          <w:tab w:leader="none" w:pos="43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Initial Grant</w:t>
      </w:r>
      <w:r>
        <w:rPr>
          <w:rFonts w:ascii="Arial" w:cs="Arial" w:eastAsia="Arial" w:hAnsi="Arial"/>
          <w:sz w:val="21"/>
          <w:szCs w:val="21"/>
          <w:color w:val="auto"/>
        </w:rPr>
        <w:t>: For each Eligible Director who is first elected or appointed to the Board following the date hereof,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for 30,000 shares of common stock. The shares subject to each such stock option will vest in 36 equal monthly installments on the last day of each month, subject to the Eligible Director’s Continuous Service (as defined in the Plan) through such vesting date.</w:t>
      </w:r>
    </w:p>
    <w:p>
      <w:pPr>
        <w:spacing w:after="0" w:line="203" w:lineRule="exact"/>
        <w:rPr>
          <w:rFonts w:ascii="Arial" w:cs="Arial" w:eastAsia="Arial" w:hAnsi="Arial"/>
          <w:sz w:val="21"/>
          <w:szCs w:val="21"/>
          <w:color w:val="auto"/>
        </w:rPr>
      </w:pPr>
    </w:p>
    <w:p>
      <w:pPr>
        <w:jc w:val="both"/>
        <w:ind w:firstLine="8"/>
        <w:spacing w:after="0" w:line="244" w:lineRule="auto"/>
        <w:tabs>
          <w:tab w:leader="none" w:pos="445"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Annual Grant</w:t>
      </w:r>
      <w:r>
        <w:rPr>
          <w:rFonts w:ascii="Arial" w:cs="Arial" w:eastAsia="Arial" w:hAnsi="Arial"/>
          <w:sz w:val="21"/>
          <w:szCs w:val="21"/>
          <w:color w:val="auto"/>
        </w:rPr>
        <w:t>: On the date of each annual stockholders meeting of the Company held after the date hereof, each Eligible Director who continues to serve as a member of the Board following such stockholders meeting will be automatically, and without further action by the Board or Compensation Committee of the Board, granted a stock option for 25,000 shares of common stock. The shares subject to each such stock option will vest in full on the earlier of (a) the date immediately prior to the next following annual stockholder meeting and (b) the date that is 12 months after the grant date, subject to the Eligible Director’s Continuous Service (as defined in the Plan) through such vesting date.</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201662413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23.1</w:t>
      </w:r>
    </w:p>
    <w:p>
      <w:pPr>
        <w:spacing w:after="0" w:line="260" w:lineRule="exact"/>
        <w:rPr>
          <w:sz w:val="20"/>
          <w:szCs w:val="20"/>
          <w:color w:val="auto"/>
        </w:rPr>
      </w:pPr>
    </w:p>
    <w:p>
      <w:pPr>
        <w:ind w:right="3260" w:firstLine="3251"/>
        <w:spacing w:after="0" w:line="481"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88" w:lineRule="exact"/>
        <w:rPr>
          <w:sz w:val="20"/>
          <w:szCs w:val="20"/>
          <w:color w:val="auto"/>
        </w:rPr>
      </w:pPr>
    </w:p>
    <w:p>
      <w:pPr>
        <w:ind w:left="1020" w:right="44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333-212014) pertaining to the 2011 Stock Incentive Plan, as amended, Stock Option Awards, 2016 Equity Incentive Plan, and 2016 Employee Stock Purchase Plan of Clearside Biomedical, Inc.,</w:t>
      </w:r>
    </w:p>
    <w:p>
      <w:pPr>
        <w:spacing w:after="0" w:line="183"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333-216750) pertaining to the 2016 Equity Incentive Plan and 2016 Employee Stock Purchase Plan of Clearside Biomedical, Inc.,</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 No. 333-238128) of Clearside Biomedical, Inc.,</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 No. 333-235880) of Clearside Biomedical, Inc.,</w:t>
      </w:r>
    </w:p>
    <w:p>
      <w:pPr>
        <w:spacing w:after="0" w:line="198"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333-224826) pertaining to the 2016 Equity Incentive Plan and 2016 Employee Stock Purchase Plan of Clearside Biomedical, Inc.,</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333-231383) pertaining to the 2016 Equity Incentive Plan of Clearside Biomedical, Inc.,</w:t>
      </w:r>
    </w:p>
    <w:p>
      <w:pPr>
        <w:spacing w:after="0" w:line="198"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333-238133) pertaining to the 2016 Equity Incentive Plan of Clearside Biomedical, Inc., and</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333-256212) pertaining to the 2016 Equity Incentive Plan of Clearside Biomedical, Inc.</w:t>
      </w:r>
    </w:p>
    <w:p>
      <w:pPr>
        <w:spacing w:after="0" w:line="200" w:lineRule="exact"/>
        <w:rPr>
          <w:sz w:val="20"/>
          <w:szCs w:val="20"/>
          <w:color w:val="auto"/>
        </w:rPr>
      </w:pPr>
    </w:p>
    <w:p>
      <w:pPr>
        <w:spacing w:after="0" w:line="20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of our report dated March 11, 2022, with respect to the financial statements of Clearside Biomedical, Inc. included in this Annual Report (Form 10-K) of Clearside Biomedical, Inc. for the year ended December 31, 2021.</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/s/Ernst &amp; Young LLP</w:t>
      </w:r>
    </w:p>
    <w:p>
      <w:pPr>
        <w:spacing w:after="0" w:line="234" w:lineRule="auto"/>
        <w:rPr>
          <w:sz w:val="20"/>
          <w:szCs w:val="20"/>
          <w:color w:val="auto"/>
        </w:rPr>
      </w:pPr>
      <w:r>
        <w:rPr>
          <w:rFonts w:ascii="Arial" w:cs="Arial" w:eastAsia="Arial" w:hAnsi="Arial"/>
          <w:sz w:val="18"/>
          <w:szCs w:val="18"/>
          <w:color w:val="auto"/>
        </w:rPr>
        <w:t>Atlanta, Georgia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04"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2021 of Clearside Biomedical, Inc. (the “registrant”);</w:t>
      </w:r>
    </w:p>
    <w:p>
      <w:pPr>
        <w:spacing w:after="0" w:line="115"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George Lasezkay, Pharm.D., J.D.</w:t>
      </w:r>
    </w:p>
    <w:p>
      <w:pPr>
        <w:ind w:left="6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04"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2021 of Clearside Biomedical, Inc. (the “registrant”);</w:t>
      </w:r>
    </w:p>
    <w:p>
      <w:pPr>
        <w:spacing w:after="0" w:line="115"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A. Deignan</w:t>
      </w:r>
    </w:p>
    <w:p>
      <w:pPr>
        <w:ind w:left="67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 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340" w:hanging="512"/>
        <w:spacing w:after="0" w:line="291" w:lineRule="auto"/>
        <w:tabs>
          <w:tab w:leader="none" w:pos="5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for the year ended December 31, 2021,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420" w:hanging="512"/>
        <w:spacing w:after="0" w:line="261" w:lineRule="auto"/>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11th day of March,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Lasezkay, Pharm.D., J.D.</w:t>
            </w:r>
          </w:p>
        </w:tc>
        <w:tc>
          <w:tcPr>
            <w:tcW w:w="2260" w:type="dxa"/>
            <w:vAlign w:val="bottom"/>
          </w:tcPr>
          <w:p>
            <w:pPr>
              <w:spacing w:after="0"/>
              <w:rPr>
                <w:sz w:val="18"/>
                <w:szCs w:val="18"/>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A. Deignan</w:t>
            </w:r>
          </w:p>
        </w:tc>
      </w:tr>
      <w:tr>
        <w:trPr>
          <w:trHeight w:val="182"/>
        </w:trPr>
        <w:tc>
          <w:tcPr>
            <w:tcW w:w="4500" w:type="dxa"/>
            <w:vAlign w:val="bottom"/>
          </w:tcPr>
          <w:p>
            <w:pPr>
              <w:ind w:left="20"/>
              <w:spacing w:after="0" w:line="182" w:lineRule="exact"/>
              <w:rPr>
                <w:sz w:val="20"/>
                <w:szCs w:val="20"/>
                <w:color w:val="auto"/>
              </w:rPr>
            </w:pPr>
            <w:r>
              <w:rPr>
                <w:rFonts w:ascii="Arial" w:cs="Arial" w:eastAsia="Arial" w:hAnsi="Arial"/>
                <w:sz w:val="18"/>
                <w:szCs w:val="18"/>
                <w:color w:val="auto"/>
              </w:rPr>
              <w:t>George Lasezkay, Pharm.D., J.D.</w:t>
            </w:r>
          </w:p>
        </w:tc>
        <w:tc>
          <w:tcPr>
            <w:tcW w:w="2260" w:type="dxa"/>
            <w:vAlign w:val="bottom"/>
          </w:tcPr>
          <w:p>
            <w:pPr>
              <w:spacing w:after="0"/>
              <w:rPr>
                <w:sz w:val="15"/>
                <w:szCs w:val="15"/>
                <w:color w:val="auto"/>
              </w:rPr>
            </w:pPr>
          </w:p>
        </w:tc>
        <w:tc>
          <w:tcPr>
            <w:tcW w:w="4480" w:type="dxa"/>
            <w:vAlign w:val="bottom"/>
          </w:tcPr>
          <w:p>
            <w:pPr>
              <w:ind w:left="20"/>
              <w:spacing w:after="0" w:line="182" w:lineRule="exact"/>
              <w:rPr>
                <w:sz w:val="20"/>
                <w:szCs w:val="20"/>
                <w:color w:val="auto"/>
              </w:rPr>
            </w:pPr>
            <w:r>
              <w:rPr>
                <w:rFonts w:ascii="Arial" w:cs="Arial" w:eastAsia="Arial" w:hAnsi="Arial"/>
                <w:sz w:val="18"/>
                <w:szCs w:val="18"/>
                <w:color w:val="auto"/>
              </w:rPr>
              <w:t>Charles A. Deignan</w:t>
            </w:r>
          </w:p>
        </w:tc>
      </w:tr>
      <w:tr>
        <w:trPr>
          <w:trHeight w:val="176"/>
        </w:trPr>
        <w:tc>
          <w:tcPr>
            <w:tcW w:w="4500" w:type="dxa"/>
            <w:vAlign w:val="bottom"/>
          </w:tcPr>
          <w:p>
            <w:pPr>
              <w:ind w:left="20"/>
              <w:spacing w:after="0" w:line="176" w:lineRule="exact"/>
              <w:rPr>
                <w:sz w:val="20"/>
                <w:szCs w:val="20"/>
                <w:color w:val="auto"/>
              </w:rPr>
            </w:pPr>
            <w:r>
              <w:rPr>
                <w:rFonts w:ascii="Arial" w:cs="Arial" w:eastAsia="Arial" w:hAnsi="Arial"/>
                <w:sz w:val="18"/>
                <w:szCs w:val="18"/>
                <w:color w:val="auto"/>
              </w:rPr>
              <w:t>President and Chief Executive Officer</w:t>
            </w:r>
          </w:p>
        </w:tc>
        <w:tc>
          <w:tcPr>
            <w:tcW w:w="2260" w:type="dxa"/>
            <w:vAlign w:val="bottom"/>
          </w:tcPr>
          <w:p>
            <w:pPr>
              <w:spacing w:after="0"/>
              <w:rPr>
                <w:sz w:val="15"/>
                <w:szCs w:val="15"/>
                <w:color w:val="auto"/>
              </w:rPr>
            </w:pPr>
          </w:p>
        </w:tc>
        <w:tc>
          <w:tcPr>
            <w:tcW w:w="44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14" w:lineRule="exact"/>
        <w:rPr>
          <w:sz w:val="20"/>
          <w:szCs w:val="20"/>
          <w:color w:val="auto"/>
        </w:rPr>
      </w:pPr>
    </w:p>
    <w:p>
      <w:pPr>
        <w:ind w:right="40" w:firstLine="8"/>
        <w:spacing w:after="0" w:line="248" w:lineRule="auto"/>
        <w:tabs>
          <w:tab w:leader="none" w:pos="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50"/>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lvl w:ilvl="1">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lvl w:ilvl="1">
      <w:lvlJc w:val="left"/>
      <w:lvlText w:val="•"/>
      <w:numFmt w:val="bullet"/>
      <w:start w:val="1"/>
    </w:lvl>
  </w:abstractNum>
  <w:abstractNum w:abstractNumId="24">
    <w:nsid w:val="7724C67E"/>
    <w:multiLevelType w:val="hybridMultilevel"/>
    <w:lvl w:ilvl="0">
      <w:lvlJc w:val="left"/>
      <w:lvlText w:val="•"/>
      <w:numFmt w:val="bullet"/>
      <w:start w:val="1"/>
    </w:lvl>
    <w:lvl w:ilvl="1">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lvl w:ilvl="1">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lvl w:ilvl="1">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upperLetter"/>
      <w:start w:val="68"/>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upperLetter"/>
      <w:start w:val="68"/>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21" Type="http://schemas.openxmlformats.org/officeDocument/2006/relationships/hyperlink" Target="https://www.sec.gov/Archives/edgar/data/1539029/000119312516615374/d208521dex31.htm" TargetMode="External"/><Relationship Id="rId322" Type="http://schemas.openxmlformats.org/officeDocument/2006/relationships/hyperlink" Target="https://www.sec.gov/Archives/edgar/data/1539029/000119312516615374/d208521dex32.htm" TargetMode="External"/><Relationship Id="rId323" Type="http://schemas.openxmlformats.org/officeDocument/2006/relationships/hyperlink" Target="https://www.sec.gov/Archives/edgar/data/1539029/000119312516510413/d742552dex41.htm" TargetMode="External"/><Relationship Id="rId324" Type="http://schemas.openxmlformats.org/officeDocument/2006/relationships/hyperlink" Target="https://www.sec.gov/Archives/edgar/data/1539029/000119312516424684/d742552dex42.htm" TargetMode="External"/><Relationship Id="rId325" Type="http://schemas.openxmlformats.org/officeDocument/2006/relationships/hyperlink" Target="https://www.sec.gov/Archives/edgar/data/1539029/000119312516730463/d280787dex41.htm" TargetMode="External"/><Relationship Id="rId326" Type="http://schemas.openxmlformats.org/officeDocument/2006/relationships/hyperlink" Target="https://www.sec.gov/Archives/edgar/data/1539029/000156459020010810/clsd-ex44_474.htm" TargetMode="External"/><Relationship Id="rId327" Type="http://schemas.openxmlformats.org/officeDocument/2006/relationships/hyperlink" Target="https://www.sec.gov/Archives/edgar/data/1539029/000156459019044288/clsd-ex102_6.htm" TargetMode="External"/><Relationship Id="rId328" Type="http://schemas.openxmlformats.org/officeDocument/2006/relationships/hyperlink" Target="https://www.sec.gov/Archives/edgar/data/1539029/000119312516424684/d742552dex101.htm" TargetMode="External"/><Relationship Id="rId329" Type="http://schemas.openxmlformats.org/officeDocument/2006/relationships/hyperlink" Target="https://www.sec.gov/Archives/edgar/data/1539029/000119312516424684/d742552dex103.htm" TargetMode="External"/><Relationship Id="rId330" Type="http://schemas.openxmlformats.org/officeDocument/2006/relationships/hyperlink" Target="https://www.sec.gov/Archives/edgar/data/1539029/000119312516424684/d742552dex104.htm" TargetMode="External"/><Relationship Id="rId331" Type="http://schemas.openxmlformats.org/officeDocument/2006/relationships/hyperlink" Target="https://www.sec.gov/Archives/edgar/data/1539029/000119312516424684/d742552dex105.htm" TargetMode="External"/><Relationship Id="rId332" Type="http://schemas.openxmlformats.org/officeDocument/2006/relationships/hyperlink" Target="https://www.sec.gov/Archives/edgar/data/1539029/000119312516621364/d196989dex47.htm" TargetMode="External"/><Relationship Id="rId333" Type="http://schemas.openxmlformats.org/officeDocument/2006/relationships/hyperlink" Target="https://www.sec.gov/Archives/edgar/data/1539029/000119312516510413/d742552dex107.htm" TargetMode="External"/><Relationship Id="rId334" Type="http://schemas.openxmlformats.org/officeDocument/2006/relationships/hyperlink" Target="https://www.sec.gov/Archives/edgar/data/1539029/000119312516510413/d742552dex108.htm" TargetMode="External"/><Relationship Id="rId338" Type="http://schemas.openxmlformats.org/officeDocument/2006/relationships/hyperlink" Target="https://www.sec.gov/Archives/edgar/data/1539029/000119312516424684/d742552dex109.htm" TargetMode="External"/><Relationship Id="rId339" Type="http://schemas.openxmlformats.org/officeDocument/2006/relationships/hyperlink" Target="https://www.sec.gov/Archives/edgar/data/1539029/000119312516510413/d742552dex1012.htm" TargetMode="External"/><Relationship Id="rId340" Type="http://schemas.openxmlformats.org/officeDocument/2006/relationships/hyperlink" Target="https://www.sec.gov/Archives/edgar/data/1539029/000119312516776461/d299560dex101.htm" TargetMode="External"/><Relationship Id="rId341" Type="http://schemas.openxmlformats.org/officeDocument/2006/relationships/hyperlink" Target="https://www.sec.gov/Archives/edgar/data/1539029/000156459017004643/clsd-ex1021_665.htm" TargetMode="External"/><Relationship Id="rId342" Type="http://schemas.openxmlformats.org/officeDocument/2006/relationships/hyperlink" Target="https://www.sec.gov/Archives/edgar/data/1539029/000119312517220267/d417455dex101.htm" TargetMode="External"/><Relationship Id="rId345" Type="http://schemas.openxmlformats.org/officeDocument/2006/relationships/hyperlink" Target="https://www.sec.gov/Archives/edgar/data/1539029/000156459017023267/clsd-ex102_69.htm" TargetMode="External"/><Relationship Id="rId350" Type="http://schemas.openxmlformats.org/officeDocument/2006/relationships/hyperlink" Target="https://www.sec.gov/Archives/edgar/data/1539029/000156459018020519/clsd-ex101_147.htm" TargetMode="External"/><Relationship Id="rId354" Type="http://schemas.openxmlformats.org/officeDocument/2006/relationships/hyperlink" Target="https://www.sec.gov/Archives/edgar/data/1539029/000156459018020519/clsd-ex102_146.htm" TargetMode="External"/><Relationship Id="rId358" Type="http://schemas.openxmlformats.org/officeDocument/2006/relationships/hyperlink" Target="https://www.sec.gov/Archives/edgar/data/1539029/000156459019030795/clsd-ex101_131.htm" TargetMode="External"/><Relationship Id="rId359" Type="http://schemas.openxmlformats.org/officeDocument/2006/relationships/hyperlink" Target="https://www.sec.gov/Archives/edgar/data/1539029/000156459020010810/clsd-ex1026_501.htm" TargetMode="External"/><Relationship Id="rId360" Type="http://schemas.openxmlformats.org/officeDocument/2006/relationships/hyperlink" Target="https://www.sec.gov/Archives/edgar/data/1539029/000156459020038893/clsd-ex101_237.htm" TargetMode="External"/><Relationship Id="rId361" Type="http://schemas.openxmlformats.org/officeDocument/2006/relationships/hyperlink" Target="https://www.sec.gov/Archives/edgar/data/1539029/000156459019011832/clsd-ex101_6.htm" TargetMode="External"/><Relationship Id="rId362" Type="http://schemas.openxmlformats.org/officeDocument/2006/relationships/hyperlink" Target="https://www.sec.gov/Archives/edgar/data/1539029/000156459019030795/clsd-ex103_296.htm" TargetMode="External"/><Relationship Id="rId363" Type="http://schemas.openxmlformats.org/officeDocument/2006/relationships/hyperlink" Target="https://www.sec.gov/Archives/edgar/data/1539029/000156459020010810/clsd-ex1030_500.htm" TargetMode="External"/><Relationship Id="rId364" Type="http://schemas.openxmlformats.org/officeDocument/2006/relationships/hyperlink" Target="https://www.sec.gov/Archives/edgar/data/1539029/000156459020023620/clsd-ex102_178.htm" TargetMode="External"/><Relationship Id="rId365" Type="http://schemas.openxmlformats.org/officeDocument/2006/relationships/hyperlink" Target="https://www.sec.gov/Archives/edgar/data/1539029/000156459020038893/clsd-ex102_238.htm" TargetMode="External"/><Relationship Id="rId366" Type="http://schemas.openxmlformats.org/officeDocument/2006/relationships/hyperlink" Target="https://www.sec.gov/Archives/edgar/data/1539029/000095017021004115/clsd-ex10_1.htm" TargetMode="External"/><Relationship Id="rId372" Type="http://schemas.openxmlformats.org/officeDocument/2006/relationships/hyperlink" Target="https://www.sec.gov/Archives/edgar/data/1539029/000095017021004115/clsd-ex10_2.htm" TargetMode="External"/><Relationship Id="rId373" Type="http://schemas.openxmlformats.org/officeDocument/2006/relationships/hyperlink" Target="https://www.sec.gov/Archives/edgar/data/1539029/000095017021004115/clsd-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2022-03-11T15:44:47Z</dcterms:created>
  <dcterms:modified xsi:type="dcterms:W3CDTF">2022-03-11T15:44:47Z</dcterms:modified>
</cp:coreProperties>
</file>