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lsd-20250530.htm"/>
      <w:bookmarkStart w:id="1" w:name="ksclsd2025053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30,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Clearside Biomedical,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45-2437375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900 North Point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Alpharetta, Georgia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30005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(678)</w:t>
            </w:r>
            <w:r>
              <w:rPr>
                <w:rFonts w:ascii="Times New Roman" w:hAnsi="Times New Roman"/>
                <w:color w:val="000000"/>
                <w:sz w:val="20"/>
              </w:rPr>
              <w:t xml:space="preserve"> </w:t>
            </w:r>
            <w:r>
              <w:rPr>
                <w:rFonts w:ascii="Times New Roman" w:hAnsi="Times New Roman"/>
                <w:b/>
                <w:color w:val="000000"/>
                <w:sz w:val="20"/>
              </w:rPr>
              <w:t>270-3631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CLSD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5.03 Amendments to Articles of Incorporation or Bylaws; Change in Fiscal Year.</w:t>
      </w:r>
    </w:p>
    <w:p>
      <w:pPr>
        <w:pStyle w:val="TextBody"/>
        <w:bidi w:val="0"/>
        <w:jc w:val="left"/>
        <w:rPr>
          <w:rFonts w:ascii="Times New Roman" w:hAnsi="Times New Roman"/>
          <w:sz w:val="20"/>
        </w:rPr>
      </w:pPr>
      <w:r>
        <w:rPr>
          <w:rFonts w:ascii="Times New Roman" w:hAnsi="Times New Roman"/>
          <w:color w:val="000000"/>
          <w:sz w:val="20"/>
        </w:rPr>
        <w:t>On May 30, 2025, Clearside Biomedical, Inc. (the “</w:t>
      </w:r>
      <w:r>
        <w:rPr>
          <w:rFonts w:ascii="Times New Roman" w:hAnsi="Times New Roman"/>
          <w:b/>
          <w:i/>
          <w:color w:val="000000"/>
          <w:sz w:val="20"/>
        </w:rPr>
        <w:t>Company</w:t>
      </w:r>
      <w:r>
        <w:rPr>
          <w:rFonts w:ascii="Times New Roman" w:hAnsi="Times New Roman"/>
          <w:color w:val="000000"/>
          <w:sz w:val="20"/>
        </w:rPr>
        <w:t>”) held its 2025 annual meeting of stockholders (the “</w:t>
      </w:r>
      <w:r>
        <w:rPr>
          <w:rFonts w:ascii="Times New Roman" w:hAnsi="Times New Roman"/>
          <w:b/>
          <w:i/>
          <w:color w:val="000000"/>
          <w:sz w:val="20"/>
        </w:rPr>
        <w:t>Annual Meeting</w:t>
      </w:r>
      <w:r>
        <w:rPr>
          <w:rFonts w:ascii="Times New Roman" w:hAnsi="Times New Roman"/>
          <w:color w:val="000000"/>
          <w:sz w:val="20"/>
        </w:rPr>
        <w:t>”). At the Annual Meeting, the Company’s stockholders approved an amendment to the Company’s Amended and Restated Certificate of Incorporation (the “</w:t>
      </w:r>
      <w:r>
        <w:rPr>
          <w:rFonts w:ascii="Times New Roman" w:hAnsi="Times New Roman"/>
          <w:b/>
          <w:color w:val="000000"/>
          <w:sz w:val="20"/>
        </w:rPr>
        <w:t>Amendment</w:t>
      </w:r>
      <w:r>
        <w:rPr>
          <w:rFonts w:ascii="Times New Roman" w:hAnsi="Times New Roman"/>
          <w:color w:val="000000"/>
          <w:sz w:val="20"/>
        </w:rPr>
        <w:t>”) to increase the authorized number of shares of common stock from 200,000,000 to 400,000,000. The Amendment, which was filed with the Secretary of State of the State of Delaware on May 30, 2025, is filed as Exhibit 3.1 to this Current Report on Form 8-K.</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both"/>
        <w:rPr>
          <w:rFonts w:ascii="Times New Roman" w:hAnsi="Times New Roman"/>
          <w:sz w:val="20"/>
        </w:rPr>
      </w:pPr>
      <w:r>
        <w:rPr>
          <w:rFonts w:ascii="Times New Roman" w:hAnsi="Times New Roman"/>
          <w:color w:val="000000"/>
          <w:sz w:val="20"/>
        </w:rPr>
        <w:t>At the Annual Meeting, the Company’s stockholders considered four proposals, each of which is described in more detail in the Company’s definitive proxy statement filed with the Securities and Exchange Commission on April 18, 2025 (the “</w:t>
      </w:r>
      <w:r>
        <w:rPr>
          <w:rFonts w:ascii="Times New Roman" w:hAnsi="Times New Roman"/>
          <w:b/>
          <w:i/>
          <w:color w:val="000000"/>
          <w:sz w:val="20"/>
        </w:rPr>
        <w:t>Proxy Statement</w:t>
      </w:r>
      <w:r>
        <w:rPr>
          <w:rFonts w:ascii="Times New Roman" w:hAnsi="Times New Roman"/>
          <w:color w:val="000000"/>
          <w:sz w:val="20"/>
        </w:rPr>
        <w:t xml:space="preserve">”). Of the 77,279,286 shares outstanding as of the record date, 49,766,527 shares, or 64.40%, were present or represented by proxy at the Annual Meeting. Set forth below are the results of the matters submitted for a vote of stockholders at the Annual Meeting. </w:t>
      </w:r>
    </w:p>
    <w:p>
      <w:pPr>
        <w:pStyle w:val="TextBody"/>
        <w:bidi w:val="0"/>
        <w:jc w:val="both"/>
        <w:rPr>
          <w:rFonts w:ascii="Times New Roman" w:hAnsi="Times New Roman"/>
          <w:sz w:val="20"/>
        </w:rPr>
      </w:pPr>
      <w:r>
        <w:rPr>
          <w:rFonts w:ascii="Times New Roman" w:hAnsi="Times New Roman"/>
          <w:b/>
          <w:color w:val="000000"/>
          <w:sz w:val="20"/>
        </w:rPr>
        <w:t>Proposal No. 1</w:t>
      </w:r>
      <w:r>
        <w:rPr>
          <w:rFonts w:ascii="Times New Roman" w:hAnsi="Times New Roman"/>
          <w:color w:val="000000"/>
          <w:sz w:val="20"/>
        </w:rPr>
        <w:t xml:space="preserve">: Election of three nominees to serve as directors until the 2028 annual meeting of stockholders and until their respective successors are elected and qualified. The votes were cast as follows: </w:t>
      </w:r>
    </w:p>
    <w:tbl>
      <w:tblPr>
        <w:tblW w:w="6666" w:type="dxa"/>
        <w:jc w:val="left"/>
        <w:tblInd w:w="0" w:type="dxa"/>
        <w:tblLayout w:type="fixed"/>
        <w:tblCellMar>
          <w:top w:w="28" w:type="dxa"/>
          <w:left w:w="28" w:type="dxa"/>
          <w:bottom w:w="28" w:type="dxa"/>
          <w:right w:w="28" w:type="dxa"/>
        </w:tblCellMar>
      </w:tblPr>
      <w:tblGrid>
        <w:gridCol w:w="1825"/>
        <w:gridCol w:w="146"/>
        <w:gridCol w:w="1036"/>
        <w:gridCol w:w="146"/>
        <w:gridCol w:w="1396"/>
        <w:gridCol w:w="146"/>
        <w:gridCol w:w="1636"/>
        <w:gridCol w:w="335"/>
      </w:tblGrid>
      <w:tr>
        <w:trPr/>
        <w:tc>
          <w:tcPr>
            <w:tcW w:w="1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18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4"/>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82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George Lasezkay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25,944,275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3,150,506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20,671,746</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182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Christy L. Shaffer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25,835,061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3,259,720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20,671,746</w:t>
            </w:r>
          </w:p>
        </w:tc>
        <w:tc>
          <w:tcPr>
            <w:tcW w:w="335"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1825"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Anthony S. Gibney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27,198,239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1,896,542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20,671,746</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All nominees were elected. </w:t>
      </w:r>
    </w:p>
    <w:p>
      <w:pPr>
        <w:pStyle w:val="TextBody"/>
        <w:bidi w:val="0"/>
        <w:jc w:val="both"/>
        <w:rPr>
          <w:rFonts w:ascii="Times New Roman" w:hAnsi="Times New Roman"/>
          <w:sz w:val="20"/>
        </w:rPr>
      </w:pPr>
      <w:r>
        <w:rPr>
          <w:rFonts w:ascii="Times New Roman" w:hAnsi="Times New Roman"/>
          <w:b/>
          <w:color w:val="000000"/>
          <w:sz w:val="20"/>
        </w:rPr>
        <w:t>Proposal No. 2</w:t>
      </w:r>
      <w:r>
        <w:rPr>
          <w:rFonts w:ascii="Times New Roman" w:hAnsi="Times New Roman"/>
          <w:color w:val="000000"/>
          <w:sz w:val="20"/>
        </w:rPr>
        <w:t>: Approval, on an advisory basis, of the compensation paid to the Company’s named executive officers, as disclosed in the Proxy Statement. The votes were cast as follows:</w:t>
      </w:r>
    </w:p>
    <w:tbl>
      <w:tblPr>
        <w:tblW w:w="10205" w:type="dxa"/>
        <w:jc w:val="left"/>
        <w:tblInd w:w="0" w:type="dxa"/>
        <w:tblLayout w:type="fixed"/>
        <w:tblCellMar>
          <w:top w:w="28" w:type="dxa"/>
          <w:left w:w="28" w:type="dxa"/>
          <w:bottom w:w="28" w:type="dxa"/>
          <w:right w:w="28" w:type="dxa"/>
        </w:tblCellMar>
      </w:tblPr>
      <w:tblGrid>
        <w:gridCol w:w="5072"/>
        <w:gridCol w:w="109"/>
        <w:gridCol w:w="1036"/>
        <w:gridCol w:w="109"/>
        <w:gridCol w:w="1061"/>
        <w:gridCol w:w="146"/>
        <w:gridCol w:w="931"/>
        <w:gridCol w:w="146"/>
        <w:gridCol w:w="1318"/>
        <w:gridCol w:w="277"/>
      </w:tblGrid>
      <w:tr>
        <w:trPr/>
        <w:tc>
          <w:tcPr>
            <w:tcW w:w="5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5072"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Abstained</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8"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277"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5072"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Advisory approval of the compensation paid to the named executive officers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18,903,539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3,378,974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6,812,268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20,671,746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b/>
          <w:color w:val="000000"/>
          <w:sz w:val="20"/>
        </w:rPr>
        <w:t>Proposal No. 3</w:t>
      </w:r>
      <w:r>
        <w:rPr>
          <w:rFonts w:ascii="Times New Roman" w:hAnsi="Times New Roman"/>
          <w:color w:val="000000"/>
          <w:sz w:val="20"/>
        </w:rPr>
        <w:t xml:space="preserve">: Ratification of the appointment of Ernst &amp; Young LLP as independent registered public accounting firm for the fiscal year ending December 31, 2025. The votes were cast as follows: </w:t>
      </w:r>
    </w:p>
    <w:tbl>
      <w:tblPr>
        <w:tblW w:w="8039" w:type="dxa"/>
        <w:jc w:val="left"/>
        <w:tblInd w:w="0" w:type="dxa"/>
        <w:tblLayout w:type="fixed"/>
        <w:tblCellMar>
          <w:top w:w="28" w:type="dxa"/>
          <w:left w:w="28" w:type="dxa"/>
          <w:bottom w:w="28" w:type="dxa"/>
          <w:right w:w="28" w:type="dxa"/>
        </w:tblCellMar>
      </w:tblPr>
      <w:tblGrid>
        <w:gridCol w:w="4390"/>
        <w:gridCol w:w="109"/>
        <w:gridCol w:w="1036"/>
        <w:gridCol w:w="146"/>
        <w:gridCol w:w="1111"/>
        <w:gridCol w:w="146"/>
        <w:gridCol w:w="826"/>
        <w:gridCol w:w="275"/>
      </w:tblGrid>
      <w:tr>
        <w:trPr/>
        <w:tc>
          <w:tcPr>
            <w:tcW w:w="4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4390"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Abstained</w:t>
            </w:r>
          </w:p>
        </w:tc>
        <w:tc>
          <w:tcPr>
            <w:tcW w:w="275"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4390"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Ratification of appointment of Ernst &amp; Young LLP</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48,488,134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1,190,112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88,281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b/>
          <w:color w:val="000000"/>
          <w:sz w:val="20"/>
        </w:rPr>
        <w:t>Proposal No. 4</w:t>
      </w:r>
      <w:r>
        <w:rPr>
          <w:rFonts w:ascii="Times New Roman" w:hAnsi="Times New Roman"/>
          <w:color w:val="000000"/>
          <w:sz w:val="20"/>
        </w:rPr>
        <w:t xml:space="preserve">: Approval of an amendment to the Company’s Amended and Restated Certificate of Incorporation to increase the authorized number of shares of common stock from 200,000,000 shares to 400,000,000 shares. The votes were cast as follows: </w:t>
      </w:r>
    </w:p>
    <w:tbl>
      <w:tblPr>
        <w:tblW w:w="10205" w:type="dxa"/>
        <w:jc w:val="left"/>
        <w:tblInd w:w="0" w:type="dxa"/>
        <w:tblLayout w:type="fixed"/>
        <w:tblCellMar>
          <w:top w:w="28" w:type="dxa"/>
          <w:left w:w="28" w:type="dxa"/>
          <w:bottom w:w="28" w:type="dxa"/>
          <w:right w:w="28" w:type="dxa"/>
        </w:tblCellMar>
      </w:tblPr>
      <w:tblGrid>
        <w:gridCol w:w="6595"/>
        <w:gridCol w:w="109"/>
        <w:gridCol w:w="1036"/>
        <w:gridCol w:w="146"/>
        <w:gridCol w:w="1071"/>
        <w:gridCol w:w="146"/>
        <w:gridCol w:w="826"/>
        <w:gridCol w:w="276"/>
      </w:tblGrid>
      <w:tr>
        <w:trPr/>
        <w:tc>
          <w:tcPr>
            <w:tcW w:w="6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6595" w:type="dxa"/>
            <w:tcBorders/>
            <w:shd w:fill="FFFFF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Against</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Abstained</w:t>
            </w:r>
          </w:p>
        </w:tc>
        <w:tc>
          <w:tcPr>
            <w:tcW w:w="276" w:type="dxa"/>
            <w:tcBorders>
              <w:bottom w:val="single" w:sz="8" w:space="0" w:color="000000"/>
            </w:tcBorders>
            <w:shd w:fill="FFFFFF" w:val="clear"/>
            <w:tcMar>
              <w:top w:w="0" w:type="dxa"/>
              <w:left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6595" w:type="dxa"/>
            <w:tcBorders/>
            <w:shd w:fill="CCEEFF" w:val="clear"/>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Approval of amendment to Company’s Amended and Restated Certificate of Incorporation to increase authorized number of shares of common stock</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38,799,887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10,342,176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624,464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0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 xml:space="preserve"> </w:t>
      </w:r>
    </w:p>
    <w:tbl>
      <w:tblPr>
        <w:tblW w:w="9621" w:type="dxa"/>
        <w:jc w:val="left"/>
        <w:tblInd w:w="0" w:type="dxa"/>
        <w:tblLayout w:type="fixed"/>
        <w:tblCellMar>
          <w:top w:w="28" w:type="dxa"/>
          <w:left w:w="28" w:type="dxa"/>
          <w:bottom w:w="28" w:type="dxa"/>
          <w:right w:w="28" w:type="dxa"/>
        </w:tblCellMar>
      </w:tblPr>
      <w:tblGrid>
        <w:gridCol w:w="1426"/>
        <w:gridCol w:w="109"/>
        <w:gridCol w:w="8086"/>
      </w:tblGrid>
      <w:tr>
        <w:trPr/>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tcBorders/>
            <w:tcMar>
              <w:top w:w="0" w:type="dxa"/>
              <w:left w:w="0" w:type="dxa"/>
              <w:bottom w:w="0" w:type="dxa"/>
              <w:right w:w="0" w:type="dxa"/>
            </w:tcMar>
            <w:vAlign w:val="center"/>
          </w:tcPr>
          <w:p>
            <w:pPr>
              <w:pStyle w:val="TableContents"/>
              <w:bidi w:val="0"/>
              <w:spacing w:before="0" w:after="283"/>
              <w:jc w:val="left"/>
              <w:rPr/>
            </w:pPr>
            <w:hyperlink w:anchor="clsd-ex3_1.htm">
              <w:r>
                <w:rPr>
                  <w:rStyle w:val="InternetLink"/>
                  <w:rFonts w:ascii="Times New Roman" w:hAnsi="Times New Roman"/>
                  <w:color w:val="0000FF"/>
                  <w:sz w:val="20"/>
                  <w:u w:val="single"/>
                </w:rPr>
                <w:t>Certificate of Amendment to Amended and Restated Certificate of Incorporation of the Registrant.</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31" w:type="dxa"/>
        <w:jc w:val="left"/>
        <w:tblInd w:w="0" w:type="dxa"/>
        <w:tblLayout w:type="fixed"/>
        <w:tblCellMar>
          <w:top w:w="28" w:type="dxa"/>
          <w:left w:w="28" w:type="dxa"/>
          <w:bottom w:w="28" w:type="dxa"/>
          <w:right w:w="28" w:type="dxa"/>
        </w:tblCellMar>
      </w:tblPr>
      <w:tblGrid>
        <w:gridCol w:w="1741"/>
        <w:gridCol w:w="738"/>
        <w:gridCol w:w="2352"/>
      </w:tblGrid>
      <w:tr>
        <w:trPr/>
        <w:tc>
          <w:tcPr>
            <w:tcW w:w="17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352"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30, 2025</w:t>
            </w:r>
          </w:p>
        </w:tc>
        <w:tc>
          <w:tcPr>
            <w:tcW w:w="30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CLEARSIDE BIOMEDICAL,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5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 w:name="clsd-ex3_1.htm"/>
      <w:bookmarkStart w:id="3" w:name="ksclsdex3_1"/>
      <w:bookmarkEnd w:id="2"/>
      <w:bookmarkEnd w:id="3"/>
      <w:r>
        <w:rPr>
          <w:rFonts w:ascii="Times New Roman" w:hAnsi="Times New Roman"/>
          <w:color w:val="000000"/>
          <w:sz w:val="24"/>
        </w:rPr>
        <w:t>Exhibit 3.1</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CERTIFICATE OF AMENDMENT</w:t>
      </w:r>
    </w:p>
    <w:p>
      <w:pPr>
        <w:pStyle w:val="TextBody"/>
        <w:bidi w:val="0"/>
        <w:jc w:val="center"/>
        <w:rPr>
          <w:rFonts w:ascii="Times New Roman" w:hAnsi="Times New Roman"/>
          <w:b/>
          <w:color w:val="000000"/>
          <w:sz w:val="22"/>
        </w:rPr>
      </w:pPr>
      <w:r>
        <w:rPr>
          <w:rFonts w:ascii="Times New Roman" w:hAnsi="Times New Roman"/>
          <w:b/>
          <w:color w:val="000000"/>
          <w:sz w:val="22"/>
        </w:rPr>
        <w:t>TO</w:t>
      </w:r>
    </w:p>
    <w:p>
      <w:pPr>
        <w:pStyle w:val="TextBody"/>
        <w:bidi w:val="0"/>
        <w:jc w:val="center"/>
        <w:rPr>
          <w:rFonts w:ascii="Times New Roman" w:hAnsi="Times New Roman"/>
          <w:b/>
          <w:color w:val="000000"/>
          <w:sz w:val="22"/>
        </w:rPr>
      </w:pPr>
      <w:r>
        <w:rPr>
          <w:rFonts w:ascii="Times New Roman" w:hAnsi="Times New Roman"/>
          <w:b/>
          <w:color w:val="000000"/>
          <w:sz w:val="22"/>
        </w:rPr>
        <w:t>AMENDED AND RESTATED CERTIFICATE OF INCORPORATION</w:t>
      </w:r>
    </w:p>
    <w:p>
      <w:pPr>
        <w:pStyle w:val="TextBody"/>
        <w:bidi w:val="0"/>
        <w:jc w:val="center"/>
        <w:rPr>
          <w:rFonts w:ascii="Times New Roman" w:hAnsi="Times New Roman"/>
          <w:b/>
          <w:color w:val="000000"/>
          <w:sz w:val="22"/>
        </w:rPr>
      </w:pPr>
      <w:r>
        <w:rPr>
          <w:rFonts w:ascii="Times New Roman" w:hAnsi="Times New Roman"/>
          <w:b/>
          <w:color w:val="000000"/>
          <w:sz w:val="22"/>
        </w:rPr>
        <w:t>OF</w:t>
      </w:r>
    </w:p>
    <w:p>
      <w:pPr>
        <w:pStyle w:val="TextBody"/>
        <w:bidi w:val="0"/>
        <w:jc w:val="center"/>
        <w:rPr>
          <w:rFonts w:ascii="Times New Roman" w:hAnsi="Times New Roman"/>
          <w:b/>
          <w:color w:val="000000"/>
          <w:sz w:val="22"/>
        </w:rPr>
      </w:pPr>
      <w:r>
        <w:rPr>
          <w:rFonts w:ascii="Times New Roman" w:hAnsi="Times New Roman"/>
          <w:b/>
          <w:color w:val="000000"/>
          <w:sz w:val="22"/>
        </w:rPr>
        <w:t>CLEARSIDE BIOMEDICAL, INC.</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2"/>
        </w:rPr>
        <w:t>Clearside Biomedical, Inc.</w:t>
      </w:r>
      <w:r>
        <w:rPr>
          <w:rFonts w:ascii="Times New Roman" w:hAnsi="Times New Roman"/>
          <w:color w:val="000000"/>
          <w:sz w:val="22"/>
        </w:rPr>
        <w:t>, a corporation organized and existing under and by virtue of the General Corporation Law of the State of Delaware (the “</w:t>
      </w:r>
      <w:r>
        <w:rPr>
          <w:rFonts w:ascii="Times New Roman" w:hAnsi="Times New Roman"/>
          <w:b/>
          <w:i/>
          <w:color w:val="000000"/>
          <w:sz w:val="22"/>
        </w:rPr>
        <w:t>DGCL</w:t>
      </w:r>
      <w:r>
        <w:rPr>
          <w:rFonts w:ascii="Times New Roman" w:hAnsi="Times New Roman"/>
          <w:color w:val="000000"/>
          <w:sz w:val="20"/>
        </w:rPr>
        <w:t>”</w:t>
      </w:r>
      <w:r>
        <w:rPr>
          <w:rFonts w:ascii="Times New Roman" w:hAnsi="Times New Roman"/>
          <w:color w:val="000000"/>
          <w:sz w:val="22"/>
        </w:rPr>
        <w:t>), certifies:</w:t>
      </w:r>
    </w:p>
    <w:p>
      <w:pPr>
        <w:pStyle w:val="TextBody"/>
        <w:bidi w:val="0"/>
        <w:spacing w:before="0" w:after="240"/>
        <w:jc w:val="both"/>
        <w:rPr>
          <w:rFonts w:ascii="Times New Roman" w:hAnsi="Times New Roman"/>
          <w:sz w:val="20"/>
        </w:rPr>
      </w:pPr>
      <w:r>
        <w:rPr>
          <w:rFonts w:ascii="Times New Roman" w:hAnsi="Times New Roman"/>
          <w:b/>
          <w:smallCaps/>
          <w:color w:val="000000"/>
          <w:sz w:val="22"/>
        </w:rPr>
        <w:t>FIRST:</w:t>
      </w:r>
      <w:r>
        <w:rPr>
          <w:rFonts w:ascii="Times New Roman" w:hAnsi="Times New Roman"/>
          <w:color w:val="000000"/>
          <w:sz w:val="20"/>
        </w:rPr>
        <w:t xml:space="preserve"> </w:t>
      </w:r>
      <w:r>
        <w:rPr>
          <w:rFonts w:ascii="Times New Roman" w:hAnsi="Times New Roman"/>
          <w:color w:val="000000"/>
          <w:sz w:val="22"/>
        </w:rPr>
        <w:t>The name of the corporation is Clearside Biomedical,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smallCaps/>
          <w:color w:val="000000"/>
          <w:sz w:val="22"/>
        </w:rPr>
        <w:t>SECOND:</w:t>
      </w:r>
      <w:r>
        <w:rPr>
          <w:rFonts w:ascii="Times New Roman" w:hAnsi="Times New Roman"/>
          <w:color w:val="000000"/>
          <w:sz w:val="20"/>
        </w:rPr>
        <w:t xml:space="preserve"> </w:t>
      </w:r>
      <w:r>
        <w:rPr>
          <w:rFonts w:ascii="Times New Roman" w:hAnsi="Times New Roman"/>
          <w:color w:val="000000"/>
          <w:sz w:val="22"/>
        </w:rPr>
        <w:t>The Company’s original Certificate of Incorporation was filed on May 26, 2011. The Certificate of Incorporation was last amended and restated by the Fifth Amended and Restated Certificate of Incorporation on June 7, 2016, and last amended by the Certificate of Amendment to the Amended and Restated Certificate of Incorporation on June 22, 2022 (together, the “</w:t>
      </w:r>
      <w:r>
        <w:rPr>
          <w:rFonts w:ascii="Times New Roman" w:hAnsi="Times New Roman"/>
          <w:b/>
          <w:i/>
          <w:color w:val="000000"/>
          <w:sz w:val="22"/>
        </w:rPr>
        <w:t>Certificate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smallCaps/>
          <w:color w:val="000000"/>
          <w:sz w:val="22"/>
        </w:rPr>
        <w:t>THIRD:</w:t>
      </w:r>
      <w:r>
        <w:rPr>
          <w:rFonts w:ascii="Times New Roman" w:hAnsi="Times New Roman"/>
          <w:color w:val="000000"/>
          <w:sz w:val="20"/>
        </w:rPr>
        <w:t xml:space="preserve"> </w:t>
      </w:r>
      <w:r>
        <w:rPr>
          <w:rFonts w:ascii="Times New Roman" w:hAnsi="Times New Roman"/>
          <w:color w:val="000000"/>
          <w:sz w:val="22"/>
        </w:rPr>
        <w:t>The Company’s Board of Directors and stockholders, acting in accordance with the provisions of Sections 141 and 242 of the DGCL, adopted resolutions approving the following amendments to the Certificate:</w:t>
      </w:r>
    </w:p>
    <w:p>
      <w:pPr>
        <w:pStyle w:val="TextBody"/>
        <w:bidi w:val="0"/>
        <w:jc w:val="both"/>
        <w:rPr>
          <w:rFonts w:ascii="Times New Roman" w:hAnsi="Times New Roman"/>
          <w:color w:val="000000"/>
          <w:sz w:val="22"/>
        </w:rPr>
      </w:pPr>
      <w:r>
        <w:rPr>
          <w:rFonts w:ascii="Times New Roman" w:hAnsi="Times New Roman"/>
          <w:color w:val="000000"/>
          <w:sz w:val="22"/>
        </w:rPr>
        <w:t>The second sentence of Article IV of the Certificate is deleted and replaced in its entirety with:</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2"/>
        </w:rPr>
        <w:t>The total number of shares of all classes of capital stock which the Company shall have authority to issue is four hundred ten million (410,000,000) shares, of which four hundred million (400,000,000) shares shall be Common Stock (the “</w:t>
      </w:r>
      <w:r>
        <w:rPr>
          <w:rFonts w:ascii="Times New Roman" w:hAnsi="Times New Roman"/>
          <w:b/>
          <w:i/>
          <w:color w:val="000000"/>
          <w:sz w:val="22"/>
        </w:rPr>
        <w:t>Common Stock</w:t>
      </w:r>
      <w:r>
        <w:rPr>
          <w:rFonts w:ascii="Times New Roman" w:hAnsi="Times New Roman"/>
          <w:color w:val="000000"/>
          <w:sz w:val="20"/>
        </w:rPr>
        <w:t>”</w:t>
      </w:r>
      <w:r>
        <w:rPr>
          <w:rFonts w:ascii="Times New Roman" w:hAnsi="Times New Roman"/>
          <w:color w:val="000000"/>
          <w:sz w:val="22"/>
        </w:rPr>
        <w:t>), each having a par value of one-tenth of one cent ($0.001), and ten million (10,000,000) shares shall be Preferred Stock (the “</w:t>
      </w:r>
      <w:r>
        <w:rPr>
          <w:rFonts w:ascii="Times New Roman" w:hAnsi="Times New Roman"/>
          <w:b/>
          <w:i/>
          <w:color w:val="000000"/>
          <w:sz w:val="22"/>
        </w:rPr>
        <w:t>Preferred Stock</w:t>
      </w:r>
      <w:r>
        <w:rPr>
          <w:rFonts w:ascii="Times New Roman" w:hAnsi="Times New Roman"/>
          <w:color w:val="000000"/>
          <w:sz w:val="20"/>
        </w:rPr>
        <w:t>”</w:t>
      </w:r>
      <w:r>
        <w:rPr>
          <w:rFonts w:ascii="Times New Roman" w:hAnsi="Times New Roman"/>
          <w:color w:val="000000"/>
          <w:sz w:val="22"/>
        </w:rPr>
        <w:t>), each having a par value of one-tenth of one cent ($0.001).”</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2"/>
        </w:rPr>
        <w:t>FOURTH</w:t>
      </w:r>
      <w:r>
        <w:rPr>
          <w:rFonts w:ascii="Times New Roman" w:hAnsi="Times New Roman"/>
          <w:b/>
          <w:color w:val="000000"/>
          <w:sz w:val="22"/>
        </w:rPr>
        <w:t>:</w:t>
      </w:r>
      <w:r>
        <w:rPr>
          <w:rFonts w:ascii="Times New Roman" w:hAnsi="Times New Roman"/>
          <w:color w:val="000000"/>
          <w:sz w:val="20"/>
        </w:rPr>
        <w:t xml:space="preserve"> </w:t>
      </w:r>
      <w:r>
        <w:rPr>
          <w:rFonts w:ascii="Times New Roman" w:hAnsi="Times New Roman"/>
          <w:color w:val="000000"/>
          <w:sz w:val="22"/>
        </w:rPr>
        <w:t>All other provisions of the Certificate will remain in full force and effect.</w:t>
      </w:r>
    </w:p>
    <w:p>
      <w:pPr>
        <w:pStyle w:val="TextBody"/>
        <w:bidi w:val="0"/>
        <w:spacing w:before="0" w:after="240"/>
        <w:jc w:val="both"/>
        <w:rPr>
          <w:rFonts w:ascii="Times New Roman" w:hAnsi="Times New Roman"/>
          <w:sz w:val="20"/>
        </w:rPr>
      </w:pPr>
      <w:r>
        <w:rPr>
          <w:rFonts w:ascii="Times New Roman" w:hAnsi="Times New Roman"/>
          <w:b/>
          <w:smallCaps/>
          <w:color w:val="000000"/>
          <w:sz w:val="22"/>
        </w:rPr>
        <w:t>FIFTH</w:t>
      </w:r>
      <w:r>
        <w:rPr>
          <w:rFonts w:ascii="Times New Roman" w:hAnsi="Times New Roman"/>
          <w:b/>
          <w:color w:val="000000"/>
          <w:sz w:val="22"/>
        </w:rPr>
        <w:t xml:space="preserve">: </w:t>
      </w:r>
      <w:r>
        <w:rPr>
          <w:rFonts w:ascii="Times New Roman" w:hAnsi="Times New Roman"/>
          <w:color w:val="000000"/>
          <w:sz w:val="22"/>
        </w:rPr>
        <w:t>This Certificate of Amendment has been duly adopted in accordance with the provisions of Section 242 of the DGCL.</w:t>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[Signature Page Follows]</w:t>
      </w:r>
    </w:p>
    <w:p>
      <w:pPr>
        <w:pStyle w:val="TextBody"/>
        <w:bidi w:val="0"/>
        <w:jc w:val="left"/>
        <w:rPr>
          <w:rFonts w:ascii="Times New Roman" w:hAnsi="Times New Roman"/>
          <w:color w:val="000000"/>
          <w:sz w:val="20"/>
        </w:rPr>
      </w:pPr>
      <w:r>
        <w:rPr>
          <w:rFonts w:ascii="Times New Roman" w:hAnsi="Times New Roman"/>
          <w:color w:val="000000"/>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2"/>
        </w:rPr>
        <w:t>IN WITNESS WHEREOF</w:t>
      </w:r>
      <w:r>
        <w:rPr>
          <w:rFonts w:ascii="Times New Roman" w:hAnsi="Times New Roman"/>
          <w:color w:val="000000"/>
          <w:sz w:val="22"/>
        </w:rPr>
        <w:t>, this Certificate of Amendment to Amended and Restated Certificate of Incorporation has been executed by a duly authorized officer of the Company on May 30,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000000"/>
          <w:sz w:val="22"/>
        </w:rPr>
        <w:t>Clearside Biomedical, Inc.</w:t>
      </w:r>
      <w:r>
        <w:rPr>
          <w:rFonts w:ascii="Times New Roman" w:hAnsi="Times New Roman"/>
          <w:smallCaps/>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By: </w:t>
      </w:r>
      <w:r>
        <w:rPr>
          <w:rFonts w:ascii="Times New Roman" w:hAnsi="Times New Roman"/>
          <w:color w:val="000000"/>
          <w:sz w:val="22"/>
          <w:u w:val="single"/>
        </w:rPr>
        <w:t xml:space="preserve">/s/George Lasezkay </w:t>
      </w:r>
    </w:p>
    <w:p>
      <w:pPr>
        <w:pStyle w:val="TextBody"/>
        <w:bidi w:val="0"/>
        <w:jc w:val="left"/>
        <w:rPr>
          <w:rFonts w:ascii="Times New Roman" w:hAnsi="Times New Roman"/>
          <w:color w:val="000000"/>
          <w:sz w:val="22"/>
        </w:rPr>
      </w:pPr>
      <w:r>
        <w:rPr>
          <w:rFonts w:ascii="Times New Roman" w:hAnsi="Times New Roman"/>
          <w:color w:val="000000"/>
          <w:sz w:val="22"/>
        </w:rPr>
        <w:t>Name: George Lasezkay</w:t>
      </w:r>
    </w:p>
    <w:p>
      <w:pPr>
        <w:pStyle w:val="TextBody"/>
        <w:bidi w:val="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1119</Words>
  <Characters>6230</Characters>
  <CharactersWithSpaces>7299</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