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clsd-20230331.htm"/>
      <w:bookmarkStart w:id="1" w:name="ksclsd20230331"/>
      <w:bookmarkEnd w:id="0"/>
      <w:bookmarkEnd w:id="1"/>
      <w:r>
        <w:rPr/>
        <w:t> </w:t>
      </w:r>
    </w:p>
    <w:p>
      <w:pPr>
        <w:pStyle w:val="TextBody"/>
        <w:bidi w:val="0"/>
        <w:spacing w:before="0" w:after="0"/>
        <w:jc w:val="center"/>
        <w:rPr/>
      </w:pPr>
      <w:r>
        <w:rPr/>
        <w:t> </w:t>
      </w:r>
    </w:p>
    <w:p>
      <w:pPr>
        <w:pStyle w:val="TextBody"/>
        <w:bidi w:val="0"/>
        <w:spacing w:before="80" w:after="0"/>
        <w:jc w:val="center"/>
        <w:rPr>
          <w:rFonts w:ascii="Times New Roman;serif" w:hAnsi="Times New Roman;serif"/>
          <w:b/>
          <w:sz w:val="22"/>
        </w:rPr>
      </w:pPr>
      <w:r>
        <w:rPr>
          <w:rFonts w:ascii="Times New Roman;serif" w:hAnsi="Times New Roman;serif"/>
          <w:b/>
          <w:sz w:val="22"/>
        </w:rPr>
        <w:t>UNITED STATES</w:t>
      </w:r>
    </w:p>
    <w:p>
      <w:pPr>
        <w:pStyle w:val="TextBody"/>
        <w:bidi w:val="0"/>
        <w:spacing w:before="0" w:after="0"/>
        <w:jc w:val="center"/>
        <w:rPr>
          <w:rFonts w:ascii="Times New Roman;serif" w:hAnsi="Times New Roman;serif"/>
          <w:b/>
          <w:sz w:val="22"/>
        </w:rPr>
      </w:pPr>
      <w:r>
        <w:rPr>
          <w:rFonts w:ascii="Times New Roman;serif" w:hAnsi="Times New Roman;serif"/>
          <w:b/>
          <w:sz w:val="22"/>
        </w:rPr>
        <w:t>SECURITIES AND EXCHANGE COMMISSION</w:t>
      </w:r>
    </w:p>
    <w:p>
      <w:pPr>
        <w:pStyle w:val="TextBody"/>
        <w:bidi w:val="0"/>
        <w:spacing w:before="0" w:after="0"/>
        <w:jc w:val="center"/>
        <w:rPr>
          <w:rFonts w:ascii="Times New Roman;serif" w:hAnsi="Times New Roman;serif"/>
          <w:b/>
          <w:sz w:val="22"/>
        </w:rPr>
      </w:pPr>
      <w:r>
        <w:rPr>
          <w:rFonts w:ascii="Times New Roman;serif" w:hAnsi="Times New Roman;serif"/>
          <w:b/>
          <w:sz w:val="22"/>
        </w:rPr>
        <w:t>WASHINGTON, DC 20549</w:t>
      </w:r>
    </w:p>
    <w:p>
      <w:pPr>
        <w:pStyle w:val="TextBody"/>
        <w:pBdr>
          <w:bottom w:val="single" w:sz="4" w:space="1" w:color="000000"/>
        </w:pBdr>
        <w:bidi w:val="0"/>
        <w:spacing w:before="0" w:after="0"/>
        <w:jc w:val="center"/>
        <w:rPr/>
      </w:pPr>
      <w:r>
        <w:rPr/>
        <w:t> </w:t>
      </w:r>
    </w:p>
    <w:p>
      <w:pPr>
        <w:pStyle w:val="TextBody"/>
        <w:bidi w:val="0"/>
        <w:spacing w:before="80" w:after="0"/>
        <w:jc w:val="center"/>
        <w:rPr>
          <w:rFonts w:ascii="Times New Roman;serif" w:hAnsi="Times New Roman;serif"/>
          <w:b/>
          <w:sz w:val="26"/>
        </w:rPr>
      </w:pPr>
      <w:r>
        <w:rPr>
          <w:rFonts w:ascii="Times New Roman;serif" w:hAnsi="Times New Roman;serif"/>
          <w:b/>
          <w:sz w:val="26"/>
        </w:rPr>
        <w:t>FORM 10-Q</w:t>
      </w:r>
    </w:p>
    <w:p>
      <w:pPr>
        <w:pStyle w:val="TextBody"/>
        <w:pBdr>
          <w:bottom w:val="single" w:sz="4" w:space="1" w:color="000000"/>
        </w:pBdr>
        <w:bidi w:val="0"/>
        <w:spacing w:before="0" w:after="0"/>
        <w:jc w:val="center"/>
        <w:rPr/>
      </w:pPr>
      <w:r>
        <w:rPr/>
        <w:t> </w:t>
      </w:r>
    </w:p>
    <w:p>
      <w:pPr>
        <w:pStyle w:val="TextBody"/>
        <w:bidi w:val="0"/>
        <w:spacing w:before="80" w:after="0"/>
        <w:jc w:val="left"/>
        <w:rPr>
          <w:rFonts w:ascii="Times New Roman;serif" w:hAnsi="Times New Roman;serif"/>
          <w:b/>
          <w:sz w:val="20"/>
        </w:rPr>
      </w:pPr>
      <w:r>
        <w:rPr>
          <w:rFonts w:ascii="Times New Roman;serif" w:hAnsi="Times New Roman;serif"/>
          <w:b/>
          <w:sz w:val="20"/>
        </w:rPr>
        <w:t>(Mark One)</w:t>
      </w:r>
    </w:p>
    <w:p>
      <w:pPr>
        <w:pStyle w:val="TextBody"/>
        <w:bidi w:val="0"/>
        <w:spacing w:before="0" w:after="0"/>
        <w:jc w:val="left"/>
        <w:rPr/>
      </w:pPr>
      <w:r>
        <w:rPr/>
        <w:t xml:space="preserve">☒ </w:t>
      </w:r>
      <w:r>
        <w:rPr>
          <w:rFonts w:ascii="Times New Roman;serif" w:hAnsi="Times New Roman;serif"/>
          <w:b/>
          <w:sz w:val="20"/>
        </w:rPr>
        <w:t>QUARTERLY REPORT PURSUANT TO SECTION 13 OR 15(d) OF THE SECURITIES EXCHANGE ACT OF 1934</w:t>
      </w:r>
    </w:p>
    <w:p>
      <w:pPr>
        <w:pStyle w:val="TextBody"/>
        <w:bidi w:val="0"/>
        <w:spacing w:before="80" w:after="0"/>
        <w:jc w:val="center"/>
        <w:rPr>
          <w:rFonts w:ascii="Times New Roman" w:hAnsi="Times New Roman"/>
          <w:sz w:val="20"/>
        </w:rPr>
      </w:pPr>
      <w:r>
        <w:rPr>
          <w:rFonts w:ascii="Times New Roman;serif" w:hAnsi="Times New Roman;serif"/>
          <w:b/>
          <w:sz w:val="20"/>
        </w:rPr>
        <w:t>For the quarterly period ended March 31, 2023</w:t>
      </w:r>
      <w:r>
        <w:rPr>
          <w:rFonts w:ascii="Times New Roman" w:hAnsi="Times New Roman"/>
          <w:sz w:val="20"/>
        </w:rPr>
        <w:t xml:space="preserve"> </w:t>
      </w:r>
    </w:p>
    <w:p>
      <w:pPr>
        <w:pStyle w:val="TextBody"/>
        <w:bidi w:val="0"/>
        <w:spacing w:before="80" w:after="0"/>
        <w:jc w:val="center"/>
        <w:rPr>
          <w:rFonts w:ascii="Times New Roman;serif" w:hAnsi="Times New Roman;serif"/>
          <w:b/>
          <w:sz w:val="20"/>
        </w:rPr>
      </w:pPr>
      <w:r>
        <w:rPr>
          <w:rFonts w:ascii="Times New Roman;serif" w:hAnsi="Times New Roman;serif"/>
          <w:b/>
          <w:sz w:val="20"/>
        </w:rPr>
        <w:t>OR</w:t>
      </w:r>
    </w:p>
    <w:p>
      <w:pPr>
        <w:pStyle w:val="TextBody"/>
        <w:bidi w:val="0"/>
        <w:spacing w:before="80" w:after="0"/>
        <w:jc w:val="left"/>
        <w:rPr/>
      </w:pPr>
      <w:r>
        <w:rPr/>
        <w:t xml:space="preserve">☐ </w:t>
      </w:r>
      <w:r>
        <w:rPr>
          <w:rFonts w:ascii="Times New Roman;serif" w:hAnsi="Times New Roman;serif"/>
          <w:b/>
          <w:sz w:val="20"/>
        </w:rPr>
        <w:t>TRANSITION REPORT PURSUANT TO SECTION 13 OR 15(d) OF THE SECURITIES EXCHANGE ACT OF 1934</w:t>
      </w:r>
    </w:p>
    <w:p>
      <w:pPr>
        <w:pStyle w:val="TextBody"/>
        <w:bidi w:val="0"/>
        <w:spacing w:before="80" w:after="0"/>
        <w:jc w:val="center"/>
        <w:rPr>
          <w:rFonts w:ascii="Times New Roman;serif" w:hAnsi="Times New Roman;serif"/>
          <w:b/>
          <w:sz w:val="20"/>
        </w:rPr>
      </w:pPr>
      <w:r>
        <w:rPr>
          <w:rFonts w:ascii="Times New Roman;serif" w:hAnsi="Times New Roman;serif"/>
          <w:b/>
          <w:sz w:val="20"/>
        </w:rPr>
        <w:t>Commission File Number: 001-37783</w:t>
      </w:r>
    </w:p>
    <w:p>
      <w:pPr>
        <w:pStyle w:val="TextBody"/>
        <w:pBdr>
          <w:bottom w:val="single" w:sz="4" w:space="1" w:color="000000"/>
        </w:pBdr>
        <w:bidi w:val="0"/>
        <w:spacing w:before="0" w:after="0"/>
        <w:jc w:val="center"/>
        <w:rPr/>
      </w:pPr>
      <w:r>
        <w:rPr/>
        <w:t> </w:t>
      </w:r>
    </w:p>
    <w:p>
      <w:pPr>
        <w:pStyle w:val="TextBody"/>
        <w:bidi w:val="0"/>
        <w:spacing w:before="80" w:after="0"/>
        <w:jc w:val="center"/>
        <w:rPr>
          <w:rFonts w:ascii="Times New Roman;serif" w:hAnsi="Times New Roman;serif"/>
          <w:b/>
          <w:sz w:val="28"/>
        </w:rPr>
      </w:pPr>
      <w:r>
        <w:rPr>
          <w:rFonts w:ascii="Times New Roman;serif" w:hAnsi="Times New Roman;serif"/>
          <w:b/>
          <w:sz w:val="28"/>
        </w:rPr>
        <w:t>Clearside Biomedical, Inc.</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(Exact Name of Registrant as Specified in its Charter)</w:t>
      </w:r>
    </w:p>
    <w:p>
      <w:pPr>
        <w:pStyle w:val="TextBody"/>
        <w:pBdr>
          <w:bottom w:val="single" w:sz="4" w:space="1" w:color="000000"/>
        </w:pBdr>
        <w:bidi w:val="0"/>
        <w:spacing w:before="0" w:after="0"/>
        <w:jc w:val="center"/>
        <w:rPr/>
      </w:pPr>
      <w:r>
        <w:rPr/>
        <w:t> </w:t>
      </w:r>
    </w:p>
    <w:tbl>
      <w:tblPr>
        <w:tblW w:w="4637" w:type="dxa"/>
        <w:jc w:val="left"/>
        <w:tblInd w:w="0" w:type="dxa"/>
        <w:tblLayout w:type="fixed"/>
        <w:tblCellMar>
          <w:top w:w="28" w:type="dxa"/>
          <w:left w:w="28" w:type="dxa"/>
          <w:bottom w:w="28" w:type="dxa"/>
          <w:right w:w="28" w:type="dxa"/>
        </w:tblCellMar>
      </w:tblPr>
      <w:tblGrid>
        <w:gridCol w:w="3151"/>
        <w:gridCol w:w="1486"/>
      </w:tblGrid>
      <w:tr>
        <w:trPr/>
        <w:tc>
          <w:tcPr>
            <w:tcW w:w="315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15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48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45-2437375</w:t>
            </w:r>
          </w:p>
        </w:tc>
      </w:tr>
      <w:tr>
        <w:trPr/>
        <w:tc>
          <w:tcPr>
            <w:tcW w:w="315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(State or other jurisdiction of</w:t>
            </w:r>
          </w:p>
          <w:p>
            <w:pPr>
              <w:pStyle w:val="TableContents"/>
              <w:bidi w:val="0"/>
              <w:spacing w:before="0" w:after="15"/>
              <w:ind w:left="0" w:right="0" w:hanging="0"/>
              <w:jc w:val="center"/>
              <w:rPr>
                <w:rFonts w:ascii="Times New Roman;serif" w:hAnsi="Times New Roman;serif"/>
                <w:b/>
                <w:sz w:val="16"/>
              </w:rPr>
            </w:pPr>
            <w:r>
              <w:rPr>
                <w:rFonts w:ascii="Times New Roman;serif" w:hAnsi="Times New Roman;serif"/>
                <w:b/>
                <w:sz w:val="16"/>
              </w:rPr>
              <w:t>incorporation or organization)</w:t>
            </w:r>
          </w:p>
        </w:tc>
        <w:tc>
          <w:tcPr>
            <w:tcW w:w="148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(I.R.S. Employer</w:t>
              <w:br/>
              <w:t>Identification No.)</w:t>
            </w:r>
          </w:p>
        </w:tc>
      </w:tr>
      <w:tr>
        <w:trPr/>
        <w:tc>
          <w:tcPr>
            <w:tcW w:w="315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900 North Point Parkway, Suite 200</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Alpharetta, GA</w:t>
            </w:r>
          </w:p>
        </w:tc>
        <w:tc>
          <w:tcPr>
            <w:tcW w:w="148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30005</w:t>
            </w:r>
          </w:p>
        </w:tc>
      </w:tr>
      <w:tr>
        <w:trPr/>
        <w:tc>
          <w:tcPr>
            <w:tcW w:w="315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(Zip Code)</w:t>
            </w:r>
          </w:p>
        </w:tc>
      </w:tr>
    </w:tbl>
    <w:p>
      <w:pPr>
        <w:pStyle w:val="TextBody"/>
        <w:bidi w:val="0"/>
        <w:spacing w:before="80" w:after="0"/>
        <w:jc w:val="center"/>
        <w:rPr>
          <w:rFonts w:ascii="Times New Roman;serif" w:hAnsi="Times New Roman;serif"/>
          <w:b/>
          <w:sz w:val="20"/>
        </w:rPr>
      </w:pPr>
      <w:r>
        <w:rPr>
          <w:rFonts w:ascii="Times New Roman;serif" w:hAnsi="Times New Roman;serif"/>
          <w:b/>
          <w:sz w:val="20"/>
        </w:rPr>
        <w:t>(678) 270-3631</w:t>
      </w:r>
    </w:p>
    <w:p>
      <w:pPr>
        <w:pStyle w:val="TextBody"/>
        <w:bidi w:val="0"/>
        <w:spacing w:before="80" w:after="0"/>
        <w:jc w:val="center"/>
        <w:rPr>
          <w:rFonts w:ascii="Times New Roman;serif" w:hAnsi="Times New Roman;serif"/>
          <w:b/>
          <w:sz w:val="20"/>
        </w:rPr>
      </w:pPr>
      <w:r>
        <w:rPr>
          <w:rFonts w:ascii="Times New Roman;serif" w:hAnsi="Times New Roman;serif"/>
          <w:b/>
          <w:sz w:val="20"/>
        </w:rPr>
        <w:t>Registrant’s telephone number, including area code</w:t>
      </w:r>
    </w:p>
    <w:p>
      <w:pPr>
        <w:pStyle w:val="TextBody"/>
        <w:bidi w:val="0"/>
        <w:spacing w:before="80" w:after="0"/>
        <w:jc w:val="center"/>
        <w:rPr>
          <w:rFonts w:ascii="Times New Roman;serif" w:hAnsi="Times New Roman;serif"/>
          <w:b/>
          <w:sz w:val="20"/>
        </w:rPr>
      </w:pPr>
      <w:r>
        <w:rPr>
          <w:rFonts w:ascii="Times New Roman;serif" w:hAnsi="Times New Roman;serif"/>
          <w:b/>
          <w:sz w:val="20"/>
        </w:rPr>
        <w:t>N/A</w:t>
      </w:r>
    </w:p>
    <w:p>
      <w:pPr>
        <w:pStyle w:val="TextBody"/>
        <w:bidi w:val="0"/>
        <w:spacing w:before="80" w:after="0"/>
        <w:jc w:val="center"/>
        <w:rPr>
          <w:rFonts w:ascii="Times New Roman" w:hAnsi="Times New Roman"/>
          <w:sz w:val="20"/>
        </w:rPr>
      </w:pPr>
      <w:r>
        <w:rPr>
          <w:rFonts w:ascii="Times New Roman;serif" w:hAnsi="Times New Roman;serif"/>
          <w:b/>
          <w:sz w:val="20"/>
        </w:rPr>
        <w:t>(Former name, former address and former fiscal year, if changed since last report)</w:t>
      </w:r>
      <w:r>
        <w:rPr>
          <w:rFonts w:ascii="Times New Roman" w:hAnsi="Times New Roman"/>
          <w:sz w:val="20"/>
        </w:rPr>
        <w:t xml:space="preserve"> </w:t>
      </w:r>
    </w:p>
    <w:p>
      <w:pPr>
        <w:pStyle w:val="TextBody"/>
        <w:pBdr>
          <w:bottom w:val="single" w:sz="4" w:space="1" w:color="000000"/>
        </w:pBdr>
        <w:bidi w:val="0"/>
        <w:spacing w:before="0" w:after="0"/>
        <w:jc w:val="center"/>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Securities registered pursuant to Section 12(b) of the Act:</w:t>
      </w:r>
    </w:p>
    <w:p>
      <w:pPr>
        <w:pStyle w:val="TextBody"/>
        <w:bidi w:val="0"/>
        <w:spacing w:before="0" w:after="0"/>
        <w:jc w:val="left"/>
        <w:rPr/>
      </w:pPr>
      <w:r>
        <w:rPr/>
        <w:t> </w:t>
      </w:r>
    </w:p>
    <w:tbl>
      <w:tblPr>
        <w:tblW w:w="8928" w:type="dxa"/>
        <w:jc w:val="left"/>
        <w:tblInd w:w="0" w:type="dxa"/>
        <w:tblLayout w:type="fixed"/>
        <w:tblCellMar>
          <w:top w:w="28" w:type="dxa"/>
          <w:left w:w="28" w:type="dxa"/>
          <w:bottom w:w="28" w:type="dxa"/>
          <w:right w:w="28" w:type="dxa"/>
        </w:tblCellMar>
      </w:tblPr>
      <w:tblGrid>
        <w:gridCol w:w="3601"/>
        <w:gridCol w:w="1621"/>
        <w:gridCol w:w="3706"/>
      </w:tblGrid>
      <w:tr>
        <w:trPr/>
        <w:tc>
          <w:tcPr>
            <w:tcW w:w="3601"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360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Title of each class</w:t>
            </w:r>
          </w:p>
        </w:tc>
        <w:tc>
          <w:tcPr>
            <w:tcW w:w="162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Trading Symbol(s)</w:t>
            </w:r>
          </w:p>
        </w:tc>
        <w:tc>
          <w:tcPr>
            <w:tcW w:w="370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Common Stock, par value $0.001 per share</w:t>
            </w:r>
          </w:p>
        </w:tc>
        <w:tc>
          <w:tcPr>
            <w:tcW w:w="162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CLSD</w:t>
            </w:r>
          </w:p>
        </w:tc>
        <w:tc>
          <w:tcPr>
            <w:tcW w:w="370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The Nasdaq Stock Market LLC</w:t>
            </w:r>
          </w:p>
        </w:tc>
      </w:tr>
    </w:tbl>
    <w:p>
      <w:pPr>
        <w:pStyle w:val="TextBody"/>
        <w:bidi w:val="0"/>
        <w:spacing w:before="80" w:after="0"/>
        <w:jc w:val="left"/>
        <w:rPr>
          <w:rFonts w:ascii="Times New Roman" w:hAnsi="Times New Roman"/>
          <w:sz w:val="20"/>
        </w:rPr>
      </w:pPr>
      <w:r>
        <w:rPr>
          <w:rFonts w:ascii="Times New Roman;serif" w:hAnsi="Times New Roman;serif"/>
          <w:b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20"/>
        </w:rPr>
        <w:t>No ☐</w:t>
      </w:r>
    </w:p>
    <w:p>
      <w:pPr>
        <w:pStyle w:val="TextBody"/>
        <w:bidi w:val="0"/>
        <w:spacing w:before="80" w:after="0"/>
        <w:jc w:val="left"/>
        <w:rPr>
          <w:rFonts w:ascii="Times New Roman" w:hAnsi="Times New Roman"/>
          <w:sz w:val="20"/>
        </w:rPr>
      </w:pPr>
      <w:r>
        <w:rPr>
          <w:rFonts w:ascii="Times New Roman;serif" w:hAnsi="Times New Roman;serif"/>
          <w:b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20"/>
        </w:rPr>
        <w:t>No ☐</w:t>
      </w:r>
    </w:p>
    <w:p>
      <w:pPr>
        <w:pStyle w:val="TextBody"/>
        <w:bidi w:val="0"/>
        <w:spacing w:before="80" w:after="0"/>
        <w:jc w:val="left"/>
        <w:rPr>
          <w:rFonts w:ascii="Times New Roman;serif" w:hAnsi="Times New Roman;serif"/>
          <w:b w:val="false"/>
          <w:sz w:val="20"/>
        </w:rPr>
      </w:pPr>
      <w:r>
        <w:rPr>
          <w:rFonts w:ascii="Times New Roman;serif" w:hAnsi="Times New Roman;serif"/>
          <w:b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407" w:type="dxa"/>
        <w:jc w:val="left"/>
        <w:tblInd w:w="0" w:type="dxa"/>
        <w:tblLayout w:type="fixed"/>
        <w:tblCellMar>
          <w:top w:w="28" w:type="dxa"/>
          <w:left w:w="28" w:type="dxa"/>
          <w:bottom w:w="28" w:type="dxa"/>
          <w:right w:w="28" w:type="dxa"/>
        </w:tblCellMar>
      </w:tblPr>
      <w:tblGrid>
        <w:gridCol w:w="1921"/>
        <w:gridCol w:w="146"/>
        <w:gridCol w:w="376"/>
        <w:gridCol w:w="146"/>
        <w:gridCol w:w="2311"/>
        <w:gridCol w:w="146"/>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r>
      <w:tr>
        <w:trPr/>
        <w:tc>
          <w:tcPr>
            <w:tcW w:w="192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22"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457"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0"/>
              <w:ind w:left="0" w:right="0" w:hanging="0"/>
              <w:jc w:val="left"/>
              <w:rPr/>
            </w:pPr>
            <w:r>
              <w:rPr/>
              <w:t xml:space="preserve">☒ </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Smaller reporting company</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r>
      <w:tr>
        <w:trPr/>
        <w:tc>
          <w:tcPr>
            <w:tcW w:w="192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7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31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7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3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 xml:space="preserve">Indicate by check mark whether the registrant is a shell company (as defined in Rule 12b-2 of the Exchange Act). Yes </w:t>
      </w:r>
      <w:r>
        <w:rPr>
          <w:rFonts w:ascii="Times New Roman" w:hAnsi="Times New Roman"/>
          <w:sz w:val="20"/>
        </w:rPr>
        <w:t xml:space="preserve">☐ </w:t>
      </w:r>
      <w:r>
        <w:rPr>
          <w:rFonts w:ascii="Times New Roman;serif" w:hAnsi="Times New Roman;serif"/>
          <w:b w:val="false"/>
          <w:sz w:val="20"/>
        </w:rPr>
        <w:t>No ☒</w:t>
      </w:r>
    </w:p>
    <w:p>
      <w:pPr>
        <w:pStyle w:val="TextBody"/>
        <w:bidi w:val="0"/>
        <w:spacing w:before="80" w:after="0"/>
        <w:jc w:val="left"/>
        <w:rPr>
          <w:rFonts w:ascii="Times New Roman" w:hAnsi="Times New Roman"/>
          <w:sz w:val="20"/>
        </w:rPr>
      </w:pPr>
      <w:r>
        <w:rPr>
          <w:rFonts w:ascii="Times New Roman;serif" w:hAnsi="Times New Roman;serif"/>
          <w:b w:val="false"/>
          <w:sz w:val="20"/>
        </w:rPr>
        <w:t>As of May 10, 2023, the registrant had 61,666,130</w:t>
      </w:r>
      <w:r>
        <w:rPr>
          <w:rFonts w:ascii="Times New Roman" w:hAnsi="Times New Roman"/>
          <w:sz w:val="20"/>
        </w:rPr>
        <w:t xml:space="preserve"> </w:t>
      </w:r>
      <w:r>
        <w:rPr>
          <w:rFonts w:ascii="Times New Roman;serif" w:hAnsi="Times New Roman;serif"/>
          <w:b w:val="false"/>
          <w:sz w:val="20"/>
        </w:rPr>
        <w:t>shares of common stock, $0.001 par value per share, outstanding.</w:t>
      </w:r>
    </w:p>
    <w:p>
      <w:pPr>
        <w:pStyle w:val="TextBody"/>
        <w:pBdr>
          <w:bottom w:val="double" w:sz="6" w:space="1" w:color="000000"/>
        </w:pBdr>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tbl>
      <w:tblPr>
        <w:tblW w:w="4123" w:type="dxa"/>
        <w:jc w:val="left"/>
        <w:tblInd w:w="0" w:type="dxa"/>
        <w:tblLayout w:type="fixed"/>
        <w:tblCellMar>
          <w:top w:w="28" w:type="dxa"/>
          <w:left w:w="28" w:type="dxa"/>
          <w:bottom w:w="28" w:type="dxa"/>
          <w:right w:w="28" w:type="dxa"/>
        </w:tblCellMar>
      </w:tblPr>
      <w:tblGrid>
        <w:gridCol w:w="161"/>
        <w:gridCol w:w="3451"/>
        <w:gridCol w:w="511"/>
      </w:tblGrid>
      <w:tr>
        <w:trPr/>
        <w:tc>
          <w:tcPr>
            <w:tcW w:w="161" w:type="dxa"/>
            <w:tcBorders/>
            <w:vAlign w:val="center"/>
          </w:tcPr>
          <w:p>
            <w:pPr>
              <w:pStyle w:val="TableContents"/>
              <w:bidi w:val="0"/>
              <w:spacing w:before="0" w:after="283"/>
              <w:jc w:val="left"/>
              <w:rPr>
                <w:sz w:val="4"/>
                <w:szCs w:val="4"/>
              </w:rPr>
            </w:pPr>
            <w:r>
              <w:rPr>
                <w:sz w:val="4"/>
                <w:szCs w:val="4"/>
              </w:rPr>
            </w:r>
          </w:p>
        </w:tc>
        <w:tc>
          <w:tcPr>
            <w:tcW w:w="345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161" w:type="dxa"/>
            <w:tcBorders/>
            <w:vAlign w:val="center"/>
          </w:tcPr>
          <w:p>
            <w:pPr>
              <w:pStyle w:val="TableContents"/>
              <w:bidi w:val="0"/>
              <w:spacing w:before="0" w:after="0"/>
              <w:ind w:left="137" w:right="0" w:hanging="0"/>
              <w:jc w:val="left"/>
              <w:rPr/>
            </w:pPr>
            <w:r>
              <w:rPr/>
              <w:t> </w:t>
            </w:r>
          </w:p>
        </w:tc>
        <w:tc>
          <w:tcPr>
            <w:tcW w:w="3451"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Page</w:t>
            </w:r>
          </w:p>
        </w:tc>
      </w:tr>
      <w:tr>
        <w:trPr/>
        <w:tc>
          <w:tcPr>
            <w:tcW w:w="161" w:type="dxa"/>
            <w:tcBorders/>
            <w:vAlign w:val="center"/>
          </w:tcPr>
          <w:p>
            <w:pPr>
              <w:pStyle w:val="TableContents"/>
              <w:bidi w:val="0"/>
              <w:spacing w:before="0" w:after="0"/>
              <w:ind w:left="0" w:right="0" w:hanging="0"/>
              <w:jc w:val="center"/>
              <w:rPr/>
            </w:pPr>
            <w:r>
              <w:rPr/>
              <w:t> </w:t>
            </w:r>
          </w:p>
        </w:tc>
        <w:tc>
          <w:tcPr>
            <w:tcW w:w="345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PART I - FINANCIAL INFORMATION</w:t>
            </w:r>
          </w:p>
        </w:tc>
        <w:tc>
          <w:tcPr>
            <w:tcW w:w="511" w:type="dxa"/>
            <w:tcBorders/>
            <w:vAlign w:val="center"/>
          </w:tcPr>
          <w:p>
            <w:pPr>
              <w:pStyle w:val="TableContents"/>
              <w:bidi w:val="0"/>
              <w:spacing w:before="0" w:after="283"/>
              <w:ind w:left="0" w:right="0" w:hanging="0"/>
              <w:jc w:val="left"/>
              <w:rPr>
                <w:sz w:val="4"/>
                <w:szCs w:val="4"/>
              </w:rPr>
            </w:pPr>
            <w:r>
              <w:rPr>
                <w:sz w:val="4"/>
                <w:szCs w:val="4"/>
              </w:rPr>
            </w:r>
          </w:p>
        </w:tc>
      </w:tr>
    </w:tbl>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9710" w:type="dxa"/>
        <w:jc w:val="left"/>
        <w:tblInd w:w="0" w:type="dxa"/>
        <w:tblLayout w:type="fixed"/>
        <w:tblCellMar>
          <w:top w:w="28" w:type="dxa"/>
          <w:left w:w="28" w:type="dxa"/>
          <w:bottom w:w="28" w:type="dxa"/>
          <w:right w:w="28" w:type="dxa"/>
        </w:tblCellMar>
      </w:tblPr>
      <w:tblGrid>
        <w:gridCol w:w="811"/>
        <w:gridCol w:w="8506"/>
        <w:gridCol w:w="393"/>
      </w:tblGrid>
      <w:tr>
        <w:trPr/>
        <w:tc>
          <w:tcPr>
            <w:tcW w:w="811" w:type="dxa"/>
            <w:tcBorders/>
            <w:vAlign w:val="center"/>
          </w:tcPr>
          <w:p>
            <w:pPr>
              <w:pStyle w:val="TableContents"/>
              <w:bidi w:val="0"/>
              <w:spacing w:before="0" w:after="283"/>
              <w:jc w:val="left"/>
              <w:rPr>
                <w:sz w:val="4"/>
                <w:szCs w:val="4"/>
              </w:rPr>
            </w:pPr>
            <w:r>
              <w:rPr>
                <w:sz w:val="4"/>
                <w:szCs w:val="4"/>
              </w:rPr>
            </w:r>
          </w:p>
        </w:tc>
        <w:tc>
          <w:tcPr>
            <w:tcW w:w="850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85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Financial Statements (unaudited)</w:t>
            </w:r>
          </w:p>
        </w:tc>
        <w:tc>
          <w:tcPr>
            <w:tcW w:w="393" w:type="dxa"/>
            <w:tcBorders/>
            <w:vAlign w:val="center"/>
          </w:tcPr>
          <w:p>
            <w:pPr>
              <w:pStyle w:val="TableContents"/>
              <w:bidi w:val="0"/>
              <w:spacing w:before="0" w:after="0"/>
              <w:ind w:left="0" w:right="0" w:firstLine="137"/>
              <w:jc w:val="right"/>
              <w:rPr/>
            </w:pPr>
            <w:r>
              <w:rPr/>
              <w:t> </w:t>
            </w:r>
          </w:p>
        </w:tc>
      </w:tr>
      <w:tr>
        <w:trPr/>
        <w:tc>
          <w:tcPr>
            <w:tcW w:w="811" w:type="dxa"/>
            <w:tcBorders/>
            <w:vAlign w:val="center"/>
          </w:tcPr>
          <w:p>
            <w:pPr>
              <w:pStyle w:val="TableContents"/>
              <w:bidi w:val="0"/>
              <w:spacing w:before="0" w:after="283"/>
              <w:ind w:left="0" w:right="0" w:firstLine="137"/>
              <w:jc w:val="left"/>
              <w:rPr>
                <w:sz w:val="4"/>
                <w:szCs w:val="4"/>
              </w:rPr>
            </w:pPr>
            <w:r>
              <w:rPr>
                <w:sz w:val="4"/>
                <w:szCs w:val="4"/>
              </w:rPr>
            </w:r>
          </w:p>
        </w:tc>
        <w:tc>
          <w:tcPr>
            <w:tcW w:w="8506" w:type="dxa"/>
            <w:tcBorders/>
            <w:vAlign w:val="center"/>
          </w:tcPr>
          <w:p>
            <w:pPr>
              <w:pStyle w:val="TableContents"/>
              <w:bidi w:val="0"/>
              <w:spacing w:before="0" w:after="0"/>
              <w:ind w:left="0" w:right="0" w:hanging="0"/>
              <w:jc w:val="left"/>
              <w:rPr/>
            </w:pPr>
            <w:hyperlink w:anchor="balance_sheets">
              <w:r>
                <w:rPr>
                  <w:rStyle w:val="InternetLink"/>
                  <w:rFonts w:ascii="Times New Roman;serif" w:hAnsi="Times New Roman;serif"/>
                  <w:b w:val="false"/>
                  <w:sz w:val="20"/>
                  <w:u w:val="single"/>
                </w:rPr>
                <w:t>Consolidated Balance Sheets as of March 31, 2023 and December 31, 2022</w:t>
              </w:r>
            </w:hyperlink>
          </w:p>
        </w:tc>
        <w:tc>
          <w:tcPr>
            <w:tcW w:w="393" w:type="dxa"/>
            <w:tcBorders/>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3</w:t>
            </w:r>
          </w:p>
        </w:tc>
      </w:tr>
      <w:tr>
        <w:trPr/>
        <w:tc>
          <w:tcPr>
            <w:tcW w:w="811" w:type="dxa"/>
            <w:tcBorders/>
            <w:vAlign w:val="center"/>
          </w:tcPr>
          <w:p>
            <w:pPr>
              <w:pStyle w:val="TableContents"/>
              <w:bidi w:val="0"/>
              <w:spacing w:before="0" w:after="0"/>
              <w:ind w:left="137" w:right="0" w:hanging="0"/>
              <w:jc w:val="left"/>
              <w:rPr/>
            </w:pPr>
            <w:r>
              <w:rPr/>
              <w:t> </w:t>
            </w:r>
          </w:p>
        </w:tc>
        <w:tc>
          <w:tcPr>
            <w:tcW w:w="8506" w:type="dxa"/>
            <w:tcBorders/>
            <w:vAlign w:val="center"/>
          </w:tcPr>
          <w:p>
            <w:pPr>
              <w:pStyle w:val="TableContents"/>
              <w:bidi w:val="0"/>
              <w:spacing w:before="0" w:after="0"/>
              <w:ind w:left="0" w:right="0" w:hanging="0"/>
              <w:jc w:val="left"/>
              <w:rPr/>
            </w:pPr>
            <w:hyperlink w:anchor="statements_operations">
              <w:r>
                <w:rPr>
                  <w:rStyle w:val="InternetLink"/>
                  <w:rFonts w:ascii="Times New Roman;serif" w:hAnsi="Times New Roman;serif"/>
                  <w:b w:val="false"/>
                  <w:sz w:val="20"/>
                  <w:u w:val="single"/>
                </w:rPr>
                <w:t>Consolidated Statements of Operations for the three months ended March 31, 2023 and 2022</w:t>
              </w:r>
            </w:hyperlink>
            <w:hyperlink w:anchor="statements_operations">
              <w:r>
                <w:rPr>
                  <w:rStyle w:val="InternetLink"/>
                  <w:rFonts w:ascii="Times New Roman" w:hAnsi="Times New Roman"/>
                  <w:sz w:val="20"/>
                </w:rPr>
                <w:t xml:space="preserve"> </w:t>
              </w:r>
            </w:hyperlink>
          </w:p>
        </w:tc>
        <w:tc>
          <w:tcPr>
            <w:tcW w:w="393" w:type="dxa"/>
            <w:tcBorders/>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4</w:t>
            </w:r>
          </w:p>
        </w:tc>
      </w:tr>
      <w:tr>
        <w:trPr/>
        <w:tc>
          <w:tcPr>
            <w:tcW w:w="811" w:type="dxa"/>
            <w:tcBorders/>
            <w:vAlign w:val="center"/>
          </w:tcPr>
          <w:p>
            <w:pPr>
              <w:pStyle w:val="TableContents"/>
              <w:bidi w:val="0"/>
              <w:spacing w:before="0" w:after="0"/>
              <w:ind w:left="137" w:right="0" w:hanging="0"/>
              <w:jc w:val="left"/>
              <w:rPr/>
            </w:pPr>
            <w:r>
              <w:rPr/>
              <w:t> </w:t>
            </w:r>
          </w:p>
        </w:tc>
        <w:tc>
          <w:tcPr>
            <w:tcW w:w="8506" w:type="dxa"/>
            <w:tcBorders/>
            <w:vAlign w:val="center"/>
          </w:tcPr>
          <w:p>
            <w:pPr>
              <w:pStyle w:val="TableContents"/>
              <w:bidi w:val="0"/>
              <w:spacing w:before="0" w:after="0"/>
              <w:ind w:left="0" w:right="0" w:hanging="0"/>
              <w:jc w:val="left"/>
              <w:rPr/>
            </w:pPr>
            <w:hyperlink w:anchor="statements_stockholders">
              <w:r>
                <w:rPr>
                  <w:rStyle w:val="InternetLink"/>
                  <w:rFonts w:ascii="Times New Roman;serif" w:hAnsi="Times New Roman;serif"/>
                  <w:b w:val="false"/>
                  <w:sz w:val="20"/>
                  <w:u w:val="single"/>
                </w:rPr>
                <w:t>Consolidated Statements of Stockholders’ Equity for the three months ended March 31, 2023 and 2022</w:t>
              </w:r>
            </w:hyperlink>
            <w:hyperlink w:anchor="statements_stockholders">
              <w:r>
                <w:rPr>
                  <w:rStyle w:val="InternetLink"/>
                  <w:rFonts w:ascii="Times New Roman" w:hAnsi="Times New Roman"/>
                  <w:sz w:val="20"/>
                </w:rPr>
                <w:t xml:space="preserve"> </w:t>
              </w:r>
            </w:hyperlink>
          </w:p>
        </w:tc>
        <w:tc>
          <w:tcPr>
            <w:tcW w:w="393" w:type="dxa"/>
            <w:tcBorders/>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5</w:t>
            </w:r>
          </w:p>
        </w:tc>
      </w:tr>
      <w:tr>
        <w:trPr/>
        <w:tc>
          <w:tcPr>
            <w:tcW w:w="811" w:type="dxa"/>
            <w:tcBorders/>
            <w:vAlign w:val="center"/>
          </w:tcPr>
          <w:p>
            <w:pPr>
              <w:pStyle w:val="TableContents"/>
              <w:bidi w:val="0"/>
              <w:spacing w:before="0" w:after="283"/>
              <w:ind w:left="0" w:right="0" w:firstLine="137"/>
              <w:jc w:val="left"/>
              <w:rPr>
                <w:sz w:val="4"/>
                <w:szCs w:val="4"/>
              </w:rPr>
            </w:pPr>
            <w:r>
              <w:rPr>
                <w:sz w:val="4"/>
                <w:szCs w:val="4"/>
              </w:rPr>
            </w:r>
          </w:p>
        </w:tc>
        <w:tc>
          <w:tcPr>
            <w:tcW w:w="8506" w:type="dxa"/>
            <w:tcBorders/>
            <w:vAlign w:val="center"/>
          </w:tcPr>
          <w:p>
            <w:pPr>
              <w:pStyle w:val="TableContents"/>
              <w:bidi w:val="0"/>
              <w:spacing w:before="0" w:after="0"/>
              <w:ind w:left="0" w:right="0" w:hanging="0"/>
              <w:jc w:val="left"/>
              <w:rPr/>
            </w:pPr>
            <w:hyperlink w:anchor="statements_cash_flows">
              <w:r>
                <w:rPr>
                  <w:rStyle w:val="InternetLink"/>
                  <w:rFonts w:ascii="Times New Roman;serif" w:hAnsi="Times New Roman;serif"/>
                  <w:b w:val="false"/>
                  <w:sz w:val="20"/>
                  <w:u w:val="single"/>
                </w:rPr>
                <w:t>Consolidated Statements of Cash Flows for the three months ended March 31, 2023 and 2022</w:t>
              </w:r>
            </w:hyperlink>
            <w:hyperlink w:anchor="statements_cash_flows">
              <w:r>
                <w:rPr>
                  <w:rStyle w:val="InternetLink"/>
                  <w:rFonts w:ascii="Times New Roman" w:hAnsi="Times New Roman"/>
                  <w:sz w:val="20"/>
                </w:rPr>
                <w:t xml:space="preserve"> </w:t>
              </w:r>
            </w:hyperlink>
          </w:p>
        </w:tc>
        <w:tc>
          <w:tcPr>
            <w:tcW w:w="393" w:type="dxa"/>
            <w:tcBorders/>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6</w:t>
            </w:r>
          </w:p>
        </w:tc>
      </w:tr>
      <w:tr>
        <w:trPr/>
        <w:tc>
          <w:tcPr>
            <w:tcW w:w="811" w:type="dxa"/>
            <w:tcBorders/>
            <w:vAlign w:val="center"/>
          </w:tcPr>
          <w:p>
            <w:pPr>
              <w:pStyle w:val="TableContents"/>
              <w:bidi w:val="0"/>
              <w:spacing w:before="0" w:after="283"/>
              <w:ind w:left="0" w:right="0" w:firstLine="137"/>
              <w:jc w:val="left"/>
              <w:rPr>
                <w:sz w:val="4"/>
                <w:szCs w:val="4"/>
              </w:rPr>
            </w:pPr>
            <w:r>
              <w:rPr>
                <w:sz w:val="4"/>
                <w:szCs w:val="4"/>
              </w:rPr>
            </w:r>
          </w:p>
        </w:tc>
        <w:tc>
          <w:tcPr>
            <w:tcW w:w="8506" w:type="dxa"/>
            <w:tcBorders/>
            <w:vAlign w:val="center"/>
          </w:tcPr>
          <w:p>
            <w:pPr>
              <w:pStyle w:val="TableContents"/>
              <w:bidi w:val="0"/>
              <w:spacing w:before="0" w:after="0"/>
              <w:ind w:left="0" w:right="0" w:hanging="0"/>
              <w:jc w:val="left"/>
              <w:rPr/>
            </w:pPr>
            <w:hyperlink w:anchor="notes_to_the_financial_statements">
              <w:r>
                <w:rPr>
                  <w:rStyle w:val="InternetLink"/>
                  <w:rFonts w:ascii="Times New Roman;serif" w:hAnsi="Times New Roman;serif"/>
                  <w:b w:val="false"/>
                  <w:sz w:val="20"/>
                  <w:u w:val="single"/>
                </w:rPr>
                <w:t>Notes to the Consolidated Financial Statements</w:t>
              </w:r>
            </w:hyperlink>
          </w:p>
        </w:tc>
        <w:tc>
          <w:tcPr>
            <w:tcW w:w="3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r>
      <w:tr>
        <w:trPr/>
        <w:tc>
          <w:tcPr>
            <w:tcW w:w="8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8506" w:type="dxa"/>
            <w:tcBorders/>
            <w:vAlign w:val="center"/>
          </w:tcPr>
          <w:p>
            <w:pPr>
              <w:pStyle w:val="TableContents"/>
              <w:bidi w:val="0"/>
              <w:spacing w:before="0" w:after="0"/>
              <w:ind w:left="0" w:right="0" w:hanging="0"/>
              <w:jc w:val="left"/>
              <w:rPr/>
            </w:pPr>
            <w:hyperlink w:anchor="item_2_managements_discussion_analysis_f">
              <w:r>
                <w:rPr>
                  <w:rStyle w:val="InternetLink"/>
                  <w:rFonts w:ascii="Times New Roman;serif" w:hAnsi="Times New Roman;serif"/>
                  <w:b w:val="false"/>
                  <w:sz w:val="20"/>
                  <w:u w:val="single"/>
                </w:rPr>
                <w:t>Management’s Discussion and Analysis of Financial Condition and Results of Operations</w:t>
              </w:r>
            </w:hyperlink>
          </w:p>
        </w:tc>
        <w:tc>
          <w:tcPr>
            <w:tcW w:w="3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r>
      <w:tr>
        <w:trPr/>
        <w:tc>
          <w:tcPr>
            <w:tcW w:w="8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8506" w:type="dxa"/>
            <w:tcBorders/>
            <w:vAlign w:val="center"/>
          </w:tcPr>
          <w:p>
            <w:pPr>
              <w:pStyle w:val="TableContents"/>
              <w:bidi w:val="0"/>
              <w:spacing w:before="0" w:after="0"/>
              <w:ind w:left="0" w:right="0" w:hanging="0"/>
              <w:jc w:val="left"/>
              <w:rPr/>
            </w:pPr>
            <w:hyperlink w:anchor="item_3_quantitative_qualitative_disclosu">
              <w:r>
                <w:rPr>
                  <w:rStyle w:val="InternetLink"/>
                  <w:rFonts w:ascii="Times New Roman;serif" w:hAnsi="Times New Roman;serif"/>
                  <w:b w:val="false"/>
                  <w:sz w:val="20"/>
                  <w:u w:val="single"/>
                </w:rPr>
                <w:t>Quantitative and Qualitative Disclosures About Market Risk</w:t>
              </w:r>
            </w:hyperlink>
          </w:p>
        </w:tc>
        <w:tc>
          <w:tcPr>
            <w:tcW w:w="3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r>
      <w:tr>
        <w:trPr/>
        <w:tc>
          <w:tcPr>
            <w:tcW w:w="8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8506" w:type="dxa"/>
            <w:tcBorders/>
            <w:vAlign w:val="center"/>
          </w:tcPr>
          <w:p>
            <w:pPr>
              <w:pStyle w:val="TableContents"/>
              <w:bidi w:val="0"/>
              <w:spacing w:before="0" w:after="0"/>
              <w:ind w:left="0" w:right="0" w:hanging="0"/>
              <w:jc w:val="left"/>
              <w:rPr/>
            </w:pPr>
            <w:hyperlink w:anchor="item_4_controls_procedures">
              <w:r>
                <w:rPr>
                  <w:rStyle w:val="InternetLink"/>
                  <w:rFonts w:ascii="Times New Roman;serif" w:hAnsi="Times New Roman;serif"/>
                  <w:b w:val="false"/>
                  <w:sz w:val="20"/>
                  <w:u w:val="single"/>
                </w:rPr>
                <w:t>Controls and Procedures</w:t>
              </w:r>
            </w:hyperlink>
          </w:p>
        </w:tc>
        <w:tc>
          <w:tcPr>
            <w:tcW w:w="3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r>
      <w:tr>
        <w:trPr/>
        <w:tc>
          <w:tcPr>
            <w:tcW w:w="811" w:type="dxa"/>
            <w:tcBorders/>
            <w:vAlign w:val="center"/>
          </w:tcPr>
          <w:p>
            <w:pPr>
              <w:pStyle w:val="TableContents"/>
              <w:bidi w:val="0"/>
              <w:spacing w:before="0" w:after="0"/>
              <w:ind w:left="0" w:right="0" w:hanging="0"/>
              <w:jc w:val="left"/>
              <w:rPr/>
            </w:pPr>
            <w:r>
              <w:rPr/>
              <w:t> </w:t>
            </w:r>
          </w:p>
        </w:tc>
        <w:tc>
          <w:tcPr>
            <w:tcW w:w="850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PART II - OTHER INFORMATION</w:t>
            </w:r>
          </w:p>
        </w:tc>
        <w:tc>
          <w:tcPr>
            <w:tcW w:w="393" w:type="dxa"/>
            <w:tcBorders/>
            <w:vAlign w:val="center"/>
          </w:tcPr>
          <w:p>
            <w:pPr>
              <w:pStyle w:val="TableContents"/>
              <w:bidi w:val="0"/>
              <w:spacing w:before="0" w:after="0"/>
              <w:ind w:left="0" w:right="0" w:hanging="0"/>
              <w:jc w:val="right"/>
              <w:rPr/>
            </w:pPr>
            <w:r>
              <w:rPr/>
              <w:t> </w:t>
            </w:r>
          </w:p>
        </w:tc>
      </w:tr>
      <w:tr>
        <w:trPr/>
        <w:tc>
          <w:tcPr>
            <w:tcW w:w="8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8506" w:type="dxa"/>
            <w:tcBorders/>
            <w:vAlign w:val="center"/>
          </w:tcPr>
          <w:p>
            <w:pPr>
              <w:pStyle w:val="TableContents"/>
              <w:bidi w:val="0"/>
              <w:spacing w:before="0" w:after="0"/>
              <w:ind w:left="0" w:right="0" w:hanging="0"/>
              <w:jc w:val="left"/>
              <w:rPr/>
            </w:pPr>
            <w:hyperlink w:anchor="item_1_legal_proceedings">
              <w:r>
                <w:rPr>
                  <w:rStyle w:val="InternetLink"/>
                  <w:rFonts w:ascii="Times New Roman;serif" w:hAnsi="Times New Roman;serif"/>
                  <w:b w:val="false"/>
                  <w:sz w:val="20"/>
                  <w:u w:val="single"/>
                </w:rPr>
                <w:t>Legal Proceedings</w:t>
              </w:r>
            </w:hyperlink>
          </w:p>
        </w:tc>
        <w:tc>
          <w:tcPr>
            <w:tcW w:w="3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r>
      <w:tr>
        <w:trPr/>
        <w:tc>
          <w:tcPr>
            <w:tcW w:w="8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8506" w:type="dxa"/>
            <w:tcBorders/>
            <w:vAlign w:val="center"/>
          </w:tcPr>
          <w:p>
            <w:pPr>
              <w:pStyle w:val="TableContents"/>
              <w:bidi w:val="0"/>
              <w:spacing w:before="0" w:after="0"/>
              <w:ind w:left="0" w:right="0" w:hanging="0"/>
              <w:jc w:val="left"/>
              <w:rPr/>
            </w:pPr>
            <w:hyperlink w:anchor="item_1a_risk_factors">
              <w:r>
                <w:rPr>
                  <w:rStyle w:val="InternetLink"/>
                  <w:rFonts w:ascii="Times New Roman;serif" w:hAnsi="Times New Roman;serif"/>
                  <w:b w:val="false"/>
                  <w:sz w:val="20"/>
                  <w:u w:val="single"/>
                </w:rPr>
                <w:t>Risk Factors</w:t>
              </w:r>
            </w:hyperlink>
          </w:p>
        </w:tc>
        <w:tc>
          <w:tcPr>
            <w:tcW w:w="3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r>
      <w:tr>
        <w:trPr/>
        <w:tc>
          <w:tcPr>
            <w:tcW w:w="8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8506" w:type="dxa"/>
            <w:tcBorders/>
            <w:vAlign w:val="center"/>
          </w:tcPr>
          <w:p>
            <w:pPr>
              <w:pStyle w:val="TableContents"/>
              <w:bidi w:val="0"/>
              <w:spacing w:before="0" w:after="0"/>
              <w:ind w:left="0" w:right="0" w:hanging="0"/>
              <w:jc w:val="left"/>
              <w:rPr/>
            </w:pPr>
            <w:hyperlink w:anchor="item_2_unregistered_sales_equity_securit">
              <w:r>
                <w:rPr>
                  <w:rStyle w:val="InternetLink"/>
                  <w:rFonts w:ascii="Times New Roman;serif" w:hAnsi="Times New Roman;serif"/>
                  <w:b w:val="false"/>
                  <w:sz w:val="20"/>
                  <w:u w:val="single"/>
                </w:rPr>
                <w:t>Unregistered Sales of Equity Securities and Use of Proceeds</w:t>
              </w:r>
            </w:hyperlink>
          </w:p>
        </w:tc>
        <w:tc>
          <w:tcPr>
            <w:tcW w:w="3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r>
      <w:tr>
        <w:trPr/>
        <w:tc>
          <w:tcPr>
            <w:tcW w:w="8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8506" w:type="dxa"/>
            <w:tcBorders/>
            <w:vAlign w:val="center"/>
          </w:tcPr>
          <w:p>
            <w:pPr>
              <w:pStyle w:val="TableContents"/>
              <w:bidi w:val="0"/>
              <w:spacing w:before="0" w:after="0"/>
              <w:ind w:left="0" w:right="0" w:hanging="0"/>
              <w:jc w:val="left"/>
              <w:rPr/>
            </w:pPr>
            <w:hyperlink w:anchor="item_6_exhibits">
              <w:r>
                <w:rPr>
                  <w:rStyle w:val="InternetLink"/>
                  <w:rFonts w:ascii="Times New Roman;serif" w:hAnsi="Times New Roman;serif"/>
                  <w:b w:val="false"/>
                  <w:sz w:val="20"/>
                  <w:u w:val="single"/>
                </w:rPr>
                <w:t>Exhibits</w:t>
              </w:r>
            </w:hyperlink>
          </w:p>
        </w:tc>
        <w:tc>
          <w:tcPr>
            <w:tcW w:w="3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r>
      <w:tr>
        <w:trPr/>
        <w:tc>
          <w:tcPr>
            <w:tcW w:w="9317" w:type="dxa"/>
            <w:gridSpan w:val="2"/>
            <w:tcBorders/>
            <w:vAlign w:val="center"/>
          </w:tcPr>
          <w:p>
            <w:pPr>
              <w:pStyle w:val="TableContents"/>
              <w:bidi w:val="0"/>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3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PART I – FINANCIAL INFORMATION</w:t>
      </w:r>
    </w:p>
    <w:p>
      <w:pPr>
        <w:pStyle w:val="TextBody"/>
        <w:bidi w:val="0"/>
        <w:spacing w:before="0" w:after="0"/>
        <w:jc w:val="left"/>
        <w:rPr>
          <w:rFonts w:ascii="Times New Roman;serif" w:hAnsi="Times New Roman;serif"/>
          <w:b/>
          <w:sz w:val="20"/>
        </w:rPr>
      </w:pPr>
      <w:r>
        <w:rPr>
          <w:rFonts w:ascii="Times New Roman;serif" w:hAnsi="Times New Roman;serif"/>
          <w:b/>
          <w:sz w:val="20"/>
        </w:rPr>
        <w:t>Item 1. Financial Statements</w:t>
      </w:r>
    </w:p>
    <w:p>
      <w:pPr>
        <w:pStyle w:val="TextBody"/>
        <w:bidi w:val="0"/>
        <w:spacing w:before="0" w:after="0"/>
        <w:jc w:val="center"/>
        <w:rPr>
          <w:rFonts w:ascii="Times New Roman;serif" w:hAnsi="Times New Roman;serif"/>
          <w:b/>
          <w:sz w:val="20"/>
        </w:rPr>
      </w:pPr>
      <w:r>
        <w:rPr>
          <w:rFonts w:ascii="Times New Roman;serif" w:hAnsi="Times New Roman;serif"/>
          <w:b/>
          <w:sz w:val="20"/>
        </w:rPr>
        <w:t>CLEARSIDE BIOMEDICAL, INC.</w:t>
      </w:r>
    </w:p>
    <w:p>
      <w:pPr>
        <w:pStyle w:val="TextBody"/>
        <w:bidi w:val="0"/>
        <w:spacing w:before="0" w:after="0"/>
        <w:jc w:val="center"/>
        <w:rPr>
          <w:rFonts w:ascii="Times New Roman;serif" w:hAnsi="Times New Roman;serif"/>
          <w:b/>
          <w:sz w:val="20"/>
        </w:rPr>
      </w:pPr>
      <w:bookmarkStart w:id="2" w:name="balance_sheets"/>
      <w:bookmarkEnd w:id="2"/>
      <w:r>
        <w:rPr>
          <w:rFonts w:ascii="Times New Roman;serif" w:hAnsi="Times New Roman;serif"/>
          <w:b/>
          <w:sz w:val="20"/>
        </w:rPr>
        <w:t>Consolidated Balance Sheets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(in thousands, except share and per share data)</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(unaudited)</w:t>
      </w:r>
    </w:p>
    <w:tbl>
      <w:tblPr>
        <w:tblW w:w="9547" w:type="dxa"/>
        <w:jc w:val="left"/>
        <w:tblInd w:w="0" w:type="dxa"/>
        <w:tblLayout w:type="fixed"/>
        <w:tblCellMar>
          <w:top w:w="28" w:type="dxa"/>
          <w:left w:w="28" w:type="dxa"/>
          <w:bottom w:w="28" w:type="dxa"/>
          <w:right w:w="28" w:type="dxa"/>
        </w:tblCellMar>
      </w:tblPr>
      <w:tblGrid>
        <w:gridCol w:w="5866"/>
        <w:gridCol w:w="146"/>
        <w:gridCol w:w="211"/>
        <w:gridCol w:w="841"/>
        <w:gridCol w:w="166"/>
        <w:gridCol w:w="146"/>
        <w:gridCol w:w="252"/>
        <w:gridCol w:w="1008"/>
        <w:gridCol w:w="911"/>
      </w:tblGrid>
      <w:tr>
        <w:trPr/>
        <w:tc>
          <w:tcPr>
            <w:tcW w:w="5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58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March 31,</w:t>
              <w:b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w:t>
              <w:br/>
              <w:t>2022</w:t>
            </w:r>
          </w:p>
        </w:tc>
        <w:tc>
          <w:tcPr>
            <w:tcW w:w="9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86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right"/>
              <w:rPr/>
            </w:pPr>
            <w:r>
              <w:rPr/>
              <w:t> </w:t>
            </w:r>
          </w:p>
        </w:tc>
        <w:tc>
          <w:tcPr>
            <w:tcW w:w="911" w:type="dxa"/>
            <w:tcBorders/>
            <w:vAlign w:val="center"/>
          </w:tcPr>
          <w:p>
            <w:pPr>
              <w:pStyle w:val="TableContents"/>
              <w:bidi w:val="0"/>
              <w:spacing w:before="0" w:after="0"/>
              <w:ind w:left="0" w:right="0" w:hanging="0"/>
              <w:jc w:val="right"/>
              <w:rPr/>
            </w:pPr>
            <w:r>
              <w:rPr/>
              <w:t> </w:t>
            </w:r>
          </w:p>
        </w:tc>
      </w:tr>
      <w:tr>
        <w:trPr/>
        <w:tc>
          <w:tcPr>
            <w:tcW w:w="5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right"/>
              <w:rPr/>
            </w:pPr>
            <w:r>
              <w:rPr/>
              <w:t> </w:t>
            </w:r>
          </w:p>
        </w:tc>
        <w:tc>
          <w:tcPr>
            <w:tcW w:w="911" w:type="dxa"/>
            <w:tcBorders/>
            <w:vAlign w:val="center"/>
          </w:tcPr>
          <w:p>
            <w:pPr>
              <w:pStyle w:val="TableContents"/>
              <w:bidi w:val="0"/>
              <w:spacing w:before="0" w:after="0"/>
              <w:ind w:left="0" w:right="0" w:firstLine="200"/>
              <w:jc w:val="right"/>
              <w:rPr/>
            </w:pPr>
            <w:r>
              <w:rPr/>
              <w:t> </w:t>
            </w:r>
          </w:p>
        </w:tc>
      </w:tr>
      <w:tr>
        <w:trPr/>
        <w:tc>
          <w:tcPr>
            <w:tcW w:w="58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41,419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48,258</w:t>
            </w:r>
          </w:p>
        </w:tc>
        <w:tc>
          <w:tcPr>
            <w:tcW w:w="911" w:type="dxa"/>
            <w:tcBorders/>
            <w:vAlign w:val="center"/>
          </w:tcPr>
          <w:p>
            <w:pPr>
              <w:pStyle w:val="TableContents"/>
              <w:bidi w:val="0"/>
              <w:spacing w:before="0" w:after="0"/>
              <w:ind w:left="0" w:right="0" w:firstLine="200"/>
              <w:jc w:val="left"/>
              <w:rPr/>
            </w:pPr>
            <w:r>
              <w:rPr/>
              <w:t> </w:t>
            </w:r>
          </w:p>
        </w:tc>
      </w:tr>
      <w:tr>
        <w:trPr/>
        <w:tc>
          <w:tcPr>
            <w:tcW w:w="58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704</w:t>
            </w:r>
          </w:p>
        </w:tc>
        <w:tc>
          <w:tcPr>
            <w:tcW w:w="911" w:type="dxa"/>
            <w:tcBorders/>
            <w:vAlign w:val="center"/>
          </w:tcPr>
          <w:p>
            <w:pPr>
              <w:pStyle w:val="TableContents"/>
              <w:bidi w:val="0"/>
              <w:spacing w:before="0" w:after="0"/>
              <w:ind w:left="0" w:right="0" w:firstLine="200"/>
              <w:jc w:val="left"/>
              <w:rPr/>
            </w:pPr>
            <w:r>
              <w:rPr/>
              <w:t> </w:t>
            </w:r>
          </w:p>
        </w:tc>
      </w:tr>
      <w:tr>
        <w:trPr/>
        <w:tc>
          <w:tcPr>
            <w:tcW w:w="58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439</w:t>
            </w:r>
          </w:p>
        </w:tc>
        <w:tc>
          <w:tcPr>
            <w:tcW w:w="9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586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42,567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49,401</w:t>
            </w:r>
          </w:p>
        </w:tc>
        <w:tc>
          <w:tcPr>
            <w:tcW w:w="911" w:type="dxa"/>
            <w:tcBorders/>
            <w:vAlign w:val="center"/>
          </w:tcPr>
          <w:p>
            <w:pPr>
              <w:pStyle w:val="TableContents"/>
              <w:bidi w:val="0"/>
              <w:spacing w:before="0" w:after="0"/>
              <w:ind w:left="0" w:right="0" w:hanging="0"/>
              <w:jc w:val="left"/>
              <w:rPr/>
            </w:pPr>
            <w:r>
              <w:rPr/>
              <w:t> </w:t>
            </w:r>
          </w:p>
        </w:tc>
      </w:tr>
      <w:tr>
        <w:trPr/>
        <w:tc>
          <w:tcPr>
            <w:tcW w:w="5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755</w:t>
            </w:r>
          </w:p>
        </w:tc>
        <w:tc>
          <w:tcPr>
            <w:tcW w:w="911" w:type="dxa"/>
            <w:tcBorders/>
            <w:vAlign w:val="center"/>
          </w:tcPr>
          <w:p>
            <w:pPr>
              <w:pStyle w:val="TableContents"/>
              <w:bidi w:val="0"/>
              <w:spacing w:before="0" w:after="0"/>
              <w:ind w:left="0" w:right="0" w:hanging="0"/>
              <w:jc w:val="left"/>
              <w:rPr/>
            </w:pPr>
            <w:r>
              <w:rPr/>
              <w:t> </w:t>
            </w:r>
          </w:p>
        </w:tc>
      </w:tr>
      <w:tr>
        <w:trPr/>
        <w:tc>
          <w:tcPr>
            <w:tcW w:w="5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right-of-use asset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1,117</w:t>
            </w:r>
          </w:p>
        </w:tc>
        <w:tc>
          <w:tcPr>
            <w:tcW w:w="911" w:type="dxa"/>
            <w:tcBorders/>
            <w:vAlign w:val="center"/>
          </w:tcPr>
          <w:p>
            <w:pPr>
              <w:pStyle w:val="TableContents"/>
              <w:bidi w:val="0"/>
              <w:spacing w:before="0" w:after="0"/>
              <w:ind w:left="0" w:right="0" w:hanging="0"/>
              <w:jc w:val="left"/>
              <w:rPr/>
            </w:pPr>
            <w:r>
              <w:rPr/>
              <w:t> </w:t>
            </w:r>
          </w:p>
        </w:tc>
      </w:tr>
      <w:tr>
        <w:trPr/>
        <w:tc>
          <w:tcPr>
            <w:tcW w:w="5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91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5866"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44,695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51,303</w:t>
            </w:r>
          </w:p>
        </w:tc>
        <w:tc>
          <w:tcPr>
            <w:tcW w:w="9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86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right"/>
              <w:rPr/>
            </w:pPr>
            <w:r>
              <w:rPr/>
              <w:t> </w:t>
            </w:r>
          </w:p>
        </w:tc>
        <w:tc>
          <w:tcPr>
            <w:tcW w:w="911" w:type="dxa"/>
            <w:tcBorders/>
            <w:vAlign w:val="center"/>
          </w:tcPr>
          <w:p>
            <w:pPr>
              <w:pStyle w:val="TableContents"/>
              <w:bidi w:val="0"/>
              <w:spacing w:before="0" w:after="0"/>
              <w:ind w:left="0" w:right="0" w:hanging="0"/>
              <w:jc w:val="right"/>
              <w:rPr/>
            </w:pPr>
            <w:r>
              <w:rPr/>
              <w:t> </w:t>
            </w:r>
          </w:p>
        </w:tc>
      </w:tr>
      <w:tr>
        <w:trPr/>
        <w:tc>
          <w:tcPr>
            <w:tcW w:w="5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right"/>
              <w:rPr/>
            </w:pPr>
            <w:r>
              <w:rPr/>
              <w:t> </w:t>
            </w:r>
          </w:p>
        </w:tc>
        <w:tc>
          <w:tcPr>
            <w:tcW w:w="911" w:type="dxa"/>
            <w:tcBorders/>
            <w:vAlign w:val="center"/>
          </w:tcPr>
          <w:p>
            <w:pPr>
              <w:pStyle w:val="TableContents"/>
              <w:bidi w:val="0"/>
              <w:spacing w:before="0" w:after="0"/>
              <w:ind w:left="0" w:right="0" w:firstLine="200"/>
              <w:jc w:val="right"/>
              <w:rPr/>
            </w:pPr>
            <w:r>
              <w:rPr/>
              <w:t> </w:t>
            </w:r>
          </w:p>
        </w:tc>
      </w:tr>
      <w:tr>
        <w:trPr/>
        <w:tc>
          <w:tcPr>
            <w:tcW w:w="58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1,050</w:t>
            </w:r>
          </w:p>
        </w:tc>
        <w:tc>
          <w:tcPr>
            <w:tcW w:w="911" w:type="dxa"/>
            <w:tcBorders/>
            <w:vAlign w:val="center"/>
          </w:tcPr>
          <w:p>
            <w:pPr>
              <w:pStyle w:val="TableContents"/>
              <w:bidi w:val="0"/>
              <w:spacing w:before="0" w:after="0"/>
              <w:ind w:left="0" w:right="0" w:firstLine="200"/>
              <w:jc w:val="left"/>
              <w:rPr/>
            </w:pPr>
            <w:r>
              <w:rPr/>
              <w:t> </w:t>
            </w:r>
          </w:p>
        </w:tc>
      </w:tr>
      <w:tr>
        <w:trPr/>
        <w:tc>
          <w:tcPr>
            <w:tcW w:w="58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4,179</w:t>
            </w:r>
          </w:p>
        </w:tc>
        <w:tc>
          <w:tcPr>
            <w:tcW w:w="911" w:type="dxa"/>
            <w:tcBorders/>
            <w:vAlign w:val="center"/>
          </w:tcPr>
          <w:p>
            <w:pPr>
              <w:pStyle w:val="TableContents"/>
              <w:bidi w:val="0"/>
              <w:spacing w:before="0" w:after="0"/>
              <w:ind w:left="0" w:right="0" w:firstLine="200"/>
              <w:jc w:val="left"/>
              <w:rPr/>
            </w:pPr>
            <w:r>
              <w:rPr/>
              <w:t> </w:t>
            </w:r>
          </w:p>
        </w:tc>
      </w:tr>
      <w:tr>
        <w:trPr/>
        <w:tc>
          <w:tcPr>
            <w:tcW w:w="58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Current portion of operating lease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349</w:t>
            </w:r>
          </w:p>
        </w:tc>
        <w:tc>
          <w:tcPr>
            <w:tcW w:w="911" w:type="dxa"/>
            <w:tcBorders/>
            <w:vAlign w:val="center"/>
          </w:tcPr>
          <w:p>
            <w:pPr>
              <w:pStyle w:val="TableContents"/>
              <w:bidi w:val="0"/>
              <w:spacing w:before="0" w:after="0"/>
              <w:ind w:left="0" w:right="0" w:firstLine="200"/>
              <w:jc w:val="left"/>
              <w:rPr/>
            </w:pPr>
            <w:r>
              <w:rPr/>
              <w:t> </w:t>
            </w:r>
          </w:p>
        </w:tc>
      </w:tr>
      <w:tr>
        <w:trPr/>
        <w:tc>
          <w:tcPr>
            <w:tcW w:w="58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205</w:t>
            </w:r>
          </w:p>
        </w:tc>
        <w:tc>
          <w:tcPr>
            <w:tcW w:w="9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586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4,984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5,783</w:t>
            </w:r>
          </w:p>
        </w:tc>
        <w:tc>
          <w:tcPr>
            <w:tcW w:w="911" w:type="dxa"/>
            <w:tcBorders/>
            <w:vAlign w:val="center"/>
          </w:tcPr>
          <w:p>
            <w:pPr>
              <w:pStyle w:val="TableContents"/>
              <w:bidi w:val="0"/>
              <w:spacing w:before="0" w:after="0"/>
              <w:ind w:left="0" w:right="0" w:hanging="0"/>
              <w:jc w:val="left"/>
              <w:rPr/>
            </w:pPr>
            <w:r>
              <w:rPr/>
              <w:t> </w:t>
            </w:r>
          </w:p>
        </w:tc>
      </w:tr>
      <w:tr>
        <w:trPr/>
        <w:tc>
          <w:tcPr>
            <w:tcW w:w="5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Liability related to the sales of future royalties,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36,144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33,977</w:t>
            </w:r>
          </w:p>
        </w:tc>
        <w:tc>
          <w:tcPr>
            <w:tcW w:w="911" w:type="dxa"/>
            <w:tcBorders/>
            <w:vAlign w:val="center"/>
          </w:tcPr>
          <w:p>
            <w:pPr>
              <w:pStyle w:val="TableContents"/>
              <w:bidi w:val="0"/>
              <w:spacing w:before="0" w:after="0"/>
              <w:ind w:left="0" w:right="0" w:hanging="0"/>
              <w:jc w:val="left"/>
              <w:rPr/>
            </w:pPr>
            <w:r>
              <w:rPr/>
              <w:t> </w:t>
            </w:r>
          </w:p>
        </w:tc>
      </w:tr>
      <w:tr>
        <w:trPr/>
        <w:tc>
          <w:tcPr>
            <w:tcW w:w="5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936</w:t>
            </w:r>
          </w:p>
        </w:tc>
        <w:tc>
          <w:tcPr>
            <w:tcW w:w="911" w:type="dxa"/>
            <w:tcBorders>
              <w:bottom w:val="single" w:sz="4" w:space="0" w:color="000000"/>
            </w:tcBorders>
            <w:tcMar>
              <w:top w:w="0" w:type="dxa"/>
              <w:left w:w="0" w:type="dxa"/>
              <w:right w:w="0" w:type="dxa"/>
            </w:tcMar>
            <w:vAlign w:val="center"/>
          </w:tcPr>
          <w:p>
            <w:pPr>
              <w:pStyle w:val="TableContents"/>
              <w:bidi w:val="0"/>
              <w:spacing w:before="0" w:after="0"/>
              <w:ind w:left="0" w:right="0" w:firstLine="700"/>
              <w:jc w:val="left"/>
              <w:rPr/>
            </w:pPr>
            <w:r>
              <w:rPr/>
              <w:t> </w:t>
            </w:r>
          </w:p>
        </w:tc>
      </w:tr>
      <w:tr>
        <w:trPr/>
        <w:tc>
          <w:tcPr>
            <w:tcW w:w="5866" w:type="dxa"/>
            <w:tcBorders/>
            <w:vAlign w:val="center"/>
          </w:tcPr>
          <w:p>
            <w:pPr>
              <w:pStyle w:val="TableContents"/>
              <w:bidi w:val="0"/>
              <w:spacing w:before="0" w:after="0"/>
              <w:ind w:left="70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41,995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40,696</w:t>
            </w:r>
          </w:p>
        </w:tc>
        <w:tc>
          <w:tcPr>
            <w:tcW w:w="911" w:type="dxa"/>
            <w:tcBorders/>
            <w:vAlign w:val="center"/>
          </w:tcPr>
          <w:p>
            <w:pPr>
              <w:pStyle w:val="TableContents"/>
              <w:bidi w:val="0"/>
              <w:spacing w:before="0" w:after="0"/>
              <w:ind w:left="0" w:right="0" w:hanging="0"/>
              <w:jc w:val="left"/>
              <w:rPr/>
            </w:pPr>
            <w:r>
              <w:rPr/>
              <w:t> </w:t>
            </w:r>
          </w:p>
        </w:tc>
      </w:tr>
      <w:tr>
        <w:trPr/>
        <w:tc>
          <w:tcPr>
            <w:tcW w:w="5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Commitments and contingencies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right"/>
              <w:rPr/>
            </w:pPr>
            <w:r>
              <w:rPr/>
              <w:t> </w:t>
            </w:r>
          </w:p>
        </w:tc>
        <w:tc>
          <w:tcPr>
            <w:tcW w:w="911" w:type="dxa"/>
            <w:tcBorders/>
            <w:vAlign w:val="center"/>
          </w:tcPr>
          <w:p>
            <w:pPr>
              <w:pStyle w:val="TableContents"/>
              <w:bidi w:val="0"/>
              <w:spacing w:before="0" w:after="0"/>
              <w:ind w:left="0" w:right="0" w:hanging="0"/>
              <w:jc w:val="right"/>
              <w:rPr/>
            </w:pPr>
            <w:r>
              <w:rPr/>
              <w:t> </w:t>
            </w:r>
          </w:p>
        </w:tc>
      </w:tr>
      <w:tr>
        <w:trPr/>
        <w:tc>
          <w:tcPr>
            <w:tcW w:w="5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Stockholders’ equity:</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right"/>
              <w:rPr/>
            </w:pPr>
            <w:r>
              <w:rPr/>
              <w:t> </w:t>
            </w:r>
          </w:p>
        </w:tc>
        <w:tc>
          <w:tcPr>
            <w:tcW w:w="911" w:type="dxa"/>
            <w:tcBorders/>
            <w:vAlign w:val="center"/>
          </w:tcPr>
          <w:p>
            <w:pPr>
              <w:pStyle w:val="TableContents"/>
              <w:bidi w:val="0"/>
              <w:spacing w:before="0" w:after="0"/>
              <w:ind w:left="0" w:right="0" w:firstLine="200"/>
              <w:jc w:val="right"/>
              <w:rPr/>
            </w:pPr>
            <w:r>
              <w:rPr/>
              <w:t> </w:t>
            </w:r>
          </w:p>
        </w:tc>
      </w:tr>
      <w:tr>
        <w:trPr/>
        <w:tc>
          <w:tcPr>
            <w:tcW w:w="5866"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Preferred stock, $0.001</w:t>
            </w:r>
            <w:r>
              <w:rPr>
                <w:rFonts w:ascii="Times New Roman" w:hAnsi="Times New Roman"/>
                <w:sz w:val="20"/>
              </w:rPr>
              <w:t> </w:t>
            </w:r>
            <w:r>
              <w:rPr>
                <w:rFonts w:ascii="Times New Roman;serif" w:hAnsi="Times New Roman;serif"/>
                <w:b w:val="false"/>
                <w:sz w:val="20"/>
              </w:rPr>
              <w:t>par value; 10,000,000</w:t>
            </w:r>
            <w:r>
              <w:rPr>
                <w:rFonts w:ascii="Times New Roman" w:hAnsi="Times New Roman"/>
                <w:sz w:val="20"/>
              </w:rPr>
              <w:t> </w:t>
            </w:r>
            <w:r>
              <w:rPr>
                <w:rFonts w:ascii="Times New Roman;serif" w:hAnsi="Times New Roman;serif"/>
                <w:b w:val="false"/>
                <w:sz w:val="20"/>
              </w:rPr>
              <w:t>shares authorized and no</w:t>
              <w:br/>
              <w:t>   shares issued at March 31, 2023 and December 31, 2022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pPr>
            <w:r>
              <w:rPr/>
              <w:t>—</w:t>
            </w:r>
          </w:p>
        </w:tc>
        <w:tc>
          <w:tcPr>
            <w:tcW w:w="911" w:type="dxa"/>
            <w:tcBorders/>
            <w:vAlign w:val="center"/>
          </w:tcPr>
          <w:p>
            <w:pPr>
              <w:pStyle w:val="TableContents"/>
              <w:bidi w:val="0"/>
              <w:spacing w:before="0" w:after="0"/>
              <w:ind w:left="0" w:right="0" w:firstLine="200"/>
              <w:jc w:val="left"/>
              <w:rPr/>
            </w:pPr>
            <w:r>
              <w:rPr/>
              <w:t> </w:t>
            </w:r>
          </w:p>
        </w:tc>
      </w:tr>
      <w:tr>
        <w:trPr/>
        <w:tc>
          <w:tcPr>
            <w:tcW w:w="5866"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Common stock, $0.001</w:t>
            </w:r>
            <w:r>
              <w:rPr>
                <w:rFonts w:ascii="Times New Roman" w:hAnsi="Times New Roman"/>
                <w:sz w:val="20"/>
              </w:rPr>
              <w:t> </w:t>
            </w:r>
            <w:r>
              <w:rPr>
                <w:rFonts w:ascii="Times New Roman;serif" w:hAnsi="Times New Roman;serif"/>
                <w:b w:val="false"/>
                <w:sz w:val="20"/>
              </w:rPr>
              <w:t>par value; 200,000,000</w:t>
            </w:r>
            <w:r>
              <w:rPr>
                <w:rFonts w:ascii="Times New Roman" w:hAnsi="Times New Roman"/>
                <w:sz w:val="20"/>
              </w:rPr>
              <w:t> </w:t>
            </w:r>
            <w:r>
              <w:rPr>
                <w:rFonts w:ascii="Times New Roman;serif" w:hAnsi="Times New Roman;serif"/>
                <w:b w:val="false"/>
                <w:sz w:val="20"/>
              </w:rPr>
              <w:t>shares authorized at</w:t>
              <w:br/>
              <w:t>  March 31, 2023 and December 31, 2022; 61,364,299</w:t>
            </w:r>
            <w:r>
              <w:rPr>
                <w:rFonts w:ascii="Times New Roman" w:hAnsi="Times New Roman"/>
                <w:sz w:val="20"/>
              </w:rPr>
              <w:t> </w:t>
            </w:r>
            <w:r>
              <w:rPr>
                <w:rFonts w:ascii="Times New Roman;serif" w:hAnsi="Times New Roman;serif"/>
                <w:b w:val="false"/>
                <w:sz w:val="20"/>
              </w:rPr>
              <w:t>and</w:t>
              <w:br/>
              <w:t>  60,639,827</w:t>
            </w:r>
            <w:r>
              <w:rPr>
                <w:rFonts w:ascii="Times New Roman" w:hAnsi="Times New Roman"/>
                <w:sz w:val="20"/>
              </w:rPr>
              <w:t> </w:t>
            </w:r>
            <w:r>
              <w:rPr>
                <w:rFonts w:ascii="Times New Roman;serif" w:hAnsi="Times New Roman;serif"/>
                <w:b w:val="false"/>
                <w:sz w:val="20"/>
              </w:rPr>
              <w:t>shares issued and outstanding at March 31, 2023</w:t>
              <w:br/>
              <w:t>   and December 31, 2022, respectively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911" w:type="dxa"/>
            <w:tcBorders/>
            <w:vAlign w:val="center"/>
          </w:tcPr>
          <w:p>
            <w:pPr>
              <w:pStyle w:val="TableContents"/>
              <w:bidi w:val="0"/>
              <w:spacing w:before="0" w:after="0"/>
              <w:ind w:left="0" w:right="0" w:firstLine="200"/>
              <w:jc w:val="left"/>
              <w:rPr/>
            </w:pPr>
            <w:r>
              <w:rPr/>
              <w:t> </w:t>
            </w:r>
          </w:p>
        </w:tc>
      </w:tr>
      <w:tr>
        <w:trPr/>
        <w:tc>
          <w:tcPr>
            <w:tcW w:w="58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300,357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298,984</w:t>
            </w:r>
          </w:p>
        </w:tc>
        <w:tc>
          <w:tcPr>
            <w:tcW w:w="911" w:type="dxa"/>
            <w:tcBorders/>
            <w:vAlign w:val="center"/>
          </w:tcPr>
          <w:p>
            <w:pPr>
              <w:pStyle w:val="TableContents"/>
              <w:bidi w:val="0"/>
              <w:spacing w:before="0" w:after="0"/>
              <w:ind w:left="0" w:right="0" w:firstLine="200"/>
              <w:jc w:val="left"/>
              <w:rPr/>
            </w:pPr>
            <w:r>
              <w:rPr/>
              <w:t> </w:t>
            </w:r>
          </w:p>
        </w:tc>
      </w:tr>
      <w:tr>
        <w:trPr/>
        <w:tc>
          <w:tcPr>
            <w:tcW w:w="58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(297,718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(288,438</w:t>
            </w:r>
          </w:p>
        </w:tc>
        <w:tc>
          <w:tcPr>
            <w:tcW w:w="911" w:type="dxa"/>
            <w:tcBorders>
              <w:bottom w:val="single" w:sz="4" w:space="0" w:color="000000"/>
            </w:tcBorders>
            <w:tcMar>
              <w:top w:w="0" w:type="dxa"/>
              <w:left w:w="0" w:type="dxa"/>
              <w:right w:w="0" w:type="dxa"/>
            </w:tcMar>
            <w:vAlign w:val="center"/>
          </w:tcPr>
          <w:p>
            <w:pPr>
              <w:pStyle w:val="TableContents"/>
              <w:bidi w:val="0"/>
              <w:spacing w:before="0" w:after="0"/>
              <w:ind w:left="0" w:right="0" w:firstLine="700"/>
              <w:jc w:val="left"/>
              <w:rPr>
                <w:rFonts w:ascii="Times New Roman;serif" w:hAnsi="Times New Roman;serif"/>
                <w:b w:val="false"/>
                <w:sz w:val="20"/>
              </w:rPr>
            </w:pPr>
            <w:r>
              <w:rPr>
                <w:rFonts w:ascii="Times New Roman;serif" w:hAnsi="Times New Roman;serif"/>
                <w:b w:val="false"/>
                <w:sz w:val="20"/>
              </w:rPr>
              <w:t>)</w:t>
            </w:r>
          </w:p>
        </w:tc>
      </w:tr>
      <w:tr>
        <w:trPr/>
        <w:tc>
          <w:tcPr>
            <w:tcW w:w="5866" w:type="dxa"/>
            <w:tcBorders/>
            <w:vAlign w:val="center"/>
          </w:tcPr>
          <w:p>
            <w:pPr>
              <w:pStyle w:val="TableContents"/>
              <w:bidi w:val="0"/>
              <w:spacing w:before="0" w:after="0"/>
              <w:ind w:left="700" w:right="0" w:hanging="0"/>
              <w:jc w:val="left"/>
              <w:rPr>
                <w:rFonts w:ascii="Times New Roman;serif" w:hAnsi="Times New Roman;serif"/>
                <w:b w:val="false"/>
                <w:sz w:val="20"/>
              </w:rPr>
            </w:pPr>
            <w:r>
              <w:rPr>
                <w:rFonts w:ascii="Times New Roman;serif" w:hAnsi="Times New Roman;serif"/>
                <w:b w:val="false"/>
                <w:sz w:val="20"/>
              </w:rPr>
              <w:t>Total stockholders’ equity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10,607</w:t>
            </w:r>
          </w:p>
        </w:tc>
        <w:tc>
          <w:tcPr>
            <w:tcW w:w="911" w:type="dxa"/>
            <w:tcBorders>
              <w:bottom w:val="single" w:sz="4" w:space="0" w:color="000000"/>
            </w:tcBorders>
            <w:tcMar>
              <w:top w:w="0" w:type="dxa"/>
              <w:left w:w="0" w:type="dxa"/>
              <w:right w:w="0" w:type="dxa"/>
            </w:tcMar>
            <w:vAlign w:val="center"/>
          </w:tcPr>
          <w:p>
            <w:pPr>
              <w:pStyle w:val="TableContents"/>
              <w:bidi w:val="0"/>
              <w:spacing w:before="0" w:after="0"/>
              <w:ind w:left="0" w:right="0" w:firstLine="700"/>
              <w:jc w:val="left"/>
              <w:rPr/>
            </w:pPr>
            <w:r>
              <w:rPr/>
              <w:t> </w:t>
            </w:r>
          </w:p>
        </w:tc>
      </w:tr>
      <w:tr>
        <w:trPr/>
        <w:tc>
          <w:tcPr>
            <w:tcW w:w="5866" w:type="dxa"/>
            <w:tcBorders/>
            <w:vAlign w:val="center"/>
          </w:tcPr>
          <w:p>
            <w:pPr>
              <w:pStyle w:val="TableContents"/>
              <w:bidi w:val="0"/>
              <w:spacing w:before="0" w:after="0"/>
              <w:ind w:left="700" w:right="0" w:hanging="0"/>
              <w:jc w:val="left"/>
              <w:rPr>
                <w:rFonts w:ascii="Times New Roman;serif" w:hAnsi="Times New Roman;serif"/>
                <w:b w:val="false"/>
                <w:sz w:val="20"/>
              </w:rPr>
            </w:pPr>
            <w:r>
              <w:rPr>
                <w:rFonts w:ascii="Times New Roman;serif" w:hAnsi="Times New Roman;serif"/>
                <w:b w:val="false"/>
                <w:sz w:val="20"/>
              </w:rPr>
              <w:t>Total 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44,695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51,303</w:t>
            </w:r>
          </w:p>
        </w:tc>
        <w:tc>
          <w:tcPr>
            <w:tcW w:w="9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center"/>
        <w:rPr>
          <w:rFonts w:ascii="Times New Roman;serif" w:hAnsi="Times New Roman;serif"/>
          <w:b w:val="false"/>
          <w:i/>
          <w:sz w:val="20"/>
        </w:rPr>
      </w:pPr>
      <w:r>
        <w:rPr>
          <w:rFonts w:ascii="Times New Roman;serif" w:hAnsi="Times New Roman;serif"/>
          <w:b w:val="false"/>
          <w:i/>
          <w:sz w:val="20"/>
        </w:rPr>
        <w:t>See accompanying notes to the consolidated financial statements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CLEARSIDE BIOMEDICAL, INC.</w:t>
      </w:r>
    </w:p>
    <w:p>
      <w:pPr>
        <w:pStyle w:val="TextBody"/>
        <w:bidi w:val="0"/>
        <w:spacing w:before="0" w:after="0"/>
        <w:jc w:val="center"/>
        <w:rPr>
          <w:rFonts w:ascii="Times New Roman;serif" w:hAnsi="Times New Roman;serif"/>
          <w:b/>
          <w:sz w:val="20"/>
        </w:rPr>
      </w:pPr>
      <w:bookmarkStart w:id="3" w:name="statements_operations"/>
      <w:bookmarkEnd w:id="3"/>
      <w:r>
        <w:rPr>
          <w:rFonts w:ascii="Times New Roman;serif" w:hAnsi="Times New Roman;serif"/>
          <w:b/>
          <w:sz w:val="20"/>
        </w:rPr>
        <w:t>Consolidated Statements of Operations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(in thousands, except share and per share data)</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(unaudited)</w:t>
      </w:r>
    </w:p>
    <w:tbl>
      <w:tblPr>
        <w:tblW w:w="8374" w:type="dxa"/>
        <w:jc w:val="left"/>
        <w:tblInd w:w="0" w:type="dxa"/>
        <w:tblLayout w:type="fixed"/>
        <w:tblCellMar>
          <w:top w:w="28" w:type="dxa"/>
          <w:left w:w="28" w:type="dxa"/>
          <w:bottom w:w="28" w:type="dxa"/>
          <w:right w:w="28" w:type="dxa"/>
        </w:tblCellMar>
      </w:tblPr>
      <w:tblGrid>
        <w:gridCol w:w="4831"/>
        <w:gridCol w:w="146"/>
        <w:gridCol w:w="211"/>
        <w:gridCol w:w="1036"/>
        <w:gridCol w:w="166"/>
        <w:gridCol w:w="146"/>
        <w:gridCol w:w="211"/>
        <w:gridCol w:w="1036"/>
        <w:gridCol w:w="591"/>
      </w:tblGrid>
      <w:tr>
        <w:trPr/>
        <w:tc>
          <w:tcPr>
            <w:tcW w:w="4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8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8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8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License and other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347</w:t>
            </w:r>
          </w:p>
        </w:tc>
        <w:tc>
          <w:tcPr>
            <w:tcW w:w="591" w:type="dxa"/>
            <w:tcBorders/>
            <w:vAlign w:val="center"/>
          </w:tcPr>
          <w:p>
            <w:pPr>
              <w:pStyle w:val="TableContents"/>
              <w:bidi w:val="0"/>
              <w:spacing w:before="0" w:after="0"/>
              <w:ind w:left="0" w:right="0" w:hanging="0"/>
              <w:jc w:val="left"/>
              <w:rPr/>
            </w:pPr>
            <w:r>
              <w:rPr/>
              <w:t> </w:t>
            </w:r>
          </w:p>
        </w:tc>
      </w:tr>
      <w:tr>
        <w:trPr/>
        <w:tc>
          <w:tcPr>
            <w:tcW w:w="48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483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4,536</w:t>
            </w:r>
          </w:p>
        </w:tc>
        <w:tc>
          <w:tcPr>
            <w:tcW w:w="591" w:type="dxa"/>
            <w:tcBorders/>
            <w:vAlign w:val="center"/>
          </w:tcPr>
          <w:p>
            <w:pPr>
              <w:pStyle w:val="TableContents"/>
              <w:bidi w:val="0"/>
              <w:spacing w:before="0" w:after="0"/>
              <w:ind w:left="0" w:right="0" w:firstLine="200"/>
              <w:jc w:val="left"/>
              <w:rPr/>
            </w:pPr>
            <w:r>
              <w:rPr/>
              <w:t> </w:t>
            </w:r>
          </w:p>
        </w:tc>
      </w:tr>
      <w:tr>
        <w:trPr/>
        <w:tc>
          <w:tcPr>
            <w:tcW w:w="483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3,158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3,457</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83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7,609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7,993</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8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(7,605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(7,646</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8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591" w:type="dxa"/>
            <w:tcBorders/>
            <w:vAlign w:val="center"/>
          </w:tcPr>
          <w:p>
            <w:pPr>
              <w:pStyle w:val="TableContents"/>
              <w:bidi w:val="0"/>
              <w:spacing w:before="0" w:after="0"/>
              <w:ind w:left="0" w:right="0" w:hanging="0"/>
              <w:jc w:val="left"/>
              <w:rPr/>
            </w:pPr>
            <w:r>
              <w:rPr/>
              <w:t> </w:t>
            </w:r>
          </w:p>
        </w:tc>
      </w:tr>
      <w:tr>
        <w:trPr/>
        <w:tc>
          <w:tcPr>
            <w:tcW w:w="48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Non-cash interest expense on liability</w:t>
              <w:br/>
              <w:t>   related to the sales of future royalties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(2,167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8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(9,280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(7,644</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8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 of common stock — 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(0.13</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8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shares outstanding — 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61,169,486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60,064,209</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40" w:after="0"/>
        <w:jc w:val="center"/>
        <w:rPr>
          <w:rFonts w:ascii="Times New Roman;serif" w:hAnsi="Times New Roman;serif"/>
          <w:b w:val="false"/>
          <w:i/>
          <w:sz w:val="20"/>
        </w:rPr>
      </w:pPr>
      <w:r>
        <w:rPr>
          <w:rFonts w:ascii="Times New Roman;serif" w:hAnsi="Times New Roman;serif"/>
          <w:b w:val="false"/>
          <w:i/>
          <w:sz w:val="20"/>
        </w:rPr>
        <w:t>See accompanying notes to the consolidated financial statements.</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CLEARSIDE BIOMEDICAL, INC.</w:t>
      </w:r>
    </w:p>
    <w:p>
      <w:pPr>
        <w:pStyle w:val="TextBody"/>
        <w:bidi w:val="0"/>
        <w:spacing w:before="0" w:after="0"/>
        <w:jc w:val="center"/>
        <w:rPr>
          <w:rFonts w:ascii="Times New Roman;serif" w:hAnsi="Times New Roman;serif"/>
          <w:b/>
          <w:sz w:val="20"/>
        </w:rPr>
      </w:pPr>
      <w:bookmarkStart w:id="4" w:name="statements_stockholders"/>
      <w:bookmarkEnd w:id="4"/>
      <w:r>
        <w:rPr>
          <w:rFonts w:ascii="Times New Roman;serif" w:hAnsi="Times New Roman;serif"/>
          <w:b/>
          <w:sz w:val="20"/>
        </w:rPr>
        <w:t>Consolidated Statements of Stockholders’ Equity</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(in thousands, except share data)</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(unaudited)</w:t>
      </w:r>
    </w:p>
    <w:tbl>
      <w:tblPr>
        <w:tblW w:w="10205" w:type="dxa"/>
        <w:jc w:val="left"/>
        <w:tblInd w:w="0" w:type="dxa"/>
        <w:tblLayout w:type="fixed"/>
        <w:tblCellMar>
          <w:top w:w="28" w:type="dxa"/>
          <w:left w:w="28" w:type="dxa"/>
          <w:bottom w:w="28" w:type="dxa"/>
          <w:right w:w="28" w:type="dxa"/>
        </w:tblCellMar>
      </w:tblPr>
      <w:tblGrid>
        <w:gridCol w:w="3532"/>
        <w:gridCol w:w="146"/>
        <w:gridCol w:w="146"/>
        <w:gridCol w:w="916"/>
        <w:gridCol w:w="146"/>
        <w:gridCol w:w="146"/>
        <w:gridCol w:w="249"/>
        <w:gridCol w:w="442"/>
        <w:gridCol w:w="146"/>
        <w:gridCol w:w="146"/>
        <w:gridCol w:w="275"/>
        <w:gridCol w:w="971"/>
        <w:gridCol w:w="146"/>
        <w:gridCol w:w="146"/>
        <w:gridCol w:w="217"/>
        <w:gridCol w:w="834"/>
        <w:gridCol w:w="166"/>
        <w:gridCol w:w="146"/>
        <w:gridCol w:w="264"/>
        <w:gridCol w:w="813"/>
        <w:gridCol w:w="212"/>
      </w:tblGrid>
      <w:tr>
        <w:trPr/>
        <w:tc>
          <w:tcPr>
            <w:tcW w:w="3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53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15" w:type="dxa"/>
            <w:gridSpan w:val="1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 2023</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3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6"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7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12" w:type="dxa"/>
            <w:tcBorders/>
            <w:vAlign w:val="center"/>
          </w:tcPr>
          <w:p>
            <w:pPr>
              <w:pStyle w:val="TableContents"/>
              <w:bidi w:val="0"/>
              <w:spacing w:before="0" w:after="0"/>
              <w:ind w:left="0" w:right="0" w:hanging="0"/>
              <w:jc w:val="center"/>
              <w:rPr/>
            </w:pPr>
            <w:r>
              <w:rPr/>
              <w:t> </w:t>
            </w:r>
          </w:p>
        </w:tc>
      </w:tr>
      <w:tr>
        <w:trPr/>
        <w:tc>
          <w:tcPr>
            <w:tcW w:w="353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4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7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Stockholders'</w:t>
            </w:r>
          </w:p>
        </w:tc>
        <w:tc>
          <w:tcPr>
            <w:tcW w:w="212" w:type="dxa"/>
            <w:tcBorders/>
            <w:vAlign w:val="center"/>
          </w:tcPr>
          <w:p>
            <w:pPr>
              <w:pStyle w:val="TableContents"/>
              <w:bidi w:val="0"/>
              <w:spacing w:before="0" w:after="0"/>
              <w:ind w:left="0" w:right="0" w:hanging="0"/>
              <w:jc w:val="center"/>
              <w:rPr/>
            </w:pPr>
            <w:r>
              <w:rPr/>
              <w:t> </w:t>
            </w:r>
          </w:p>
        </w:tc>
      </w:tr>
      <w:tr>
        <w:trPr/>
        <w:tc>
          <w:tcPr>
            <w:tcW w:w="353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Paid-In-Capital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Equity</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32"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at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60,639,827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4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298,984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(288,438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26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10,607</w:t>
            </w:r>
          </w:p>
        </w:tc>
        <w:tc>
          <w:tcPr>
            <w:tcW w:w="212" w:type="dxa"/>
            <w:tcBorders/>
            <w:vAlign w:val="center"/>
          </w:tcPr>
          <w:p>
            <w:pPr>
              <w:pStyle w:val="TableContents"/>
              <w:bidi w:val="0"/>
              <w:spacing w:before="0" w:after="0"/>
              <w:ind w:left="0" w:right="0" w:hanging="0"/>
              <w:jc w:val="left"/>
              <w:rPr/>
            </w:pPr>
            <w:r>
              <w:rPr/>
              <w:t> </w:t>
            </w:r>
          </w:p>
        </w:tc>
      </w:tr>
      <w:tr>
        <w:trPr/>
        <w:tc>
          <w:tcPr>
            <w:tcW w:w="3532"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 xml:space="preserve">Issuance of common shares under at-the-market </w:t>
              <w:br/>
              <w:t>   sales agreement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214,128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pPr>
            <w:r>
              <w:rPr/>
              <w:t> </w:t>
            </w:r>
          </w:p>
        </w:tc>
        <w:tc>
          <w:tcPr>
            <w:tcW w:w="9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4"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295</w:t>
            </w:r>
          </w:p>
        </w:tc>
        <w:tc>
          <w:tcPr>
            <w:tcW w:w="212" w:type="dxa"/>
            <w:tcBorders/>
            <w:vAlign w:val="center"/>
          </w:tcPr>
          <w:p>
            <w:pPr>
              <w:pStyle w:val="TableContents"/>
              <w:bidi w:val="0"/>
              <w:spacing w:before="0" w:after="0"/>
              <w:ind w:left="0" w:right="0" w:hanging="0"/>
              <w:jc w:val="left"/>
              <w:rPr/>
            </w:pPr>
            <w:r>
              <w:rPr/>
              <w:t> </w:t>
            </w:r>
          </w:p>
        </w:tc>
      </w:tr>
      <w:tr>
        <w:trPr/>
        <w:tc>
          <w:tcPr>
            <w:tcW w:w="3532"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Vesting and settlement of restricted stock units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471,390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pPr>
            <w:r>
              <w:rPr/>
              <w:t> </w:t>
            </w:r>
          </w:p>
        </w:tc>
        <w:tc>
          <w:tcPr>
            <w:tcW w:w="97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4"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pPr>
            <w:r>
              <w:rPr/>
              <w:t>—</w:t>
            </w:r>
          </w:p>
        </w:tc>
        <w:tc>
          <w:tcPr>
            <w:tcW w:w="212" w:type="dxa"/>
            <w:tcBorders/>
            <w:vAlign w:val="center"/>
          </w:tcPr>
          <w:p>
            <w:pPr>
              <w:pStyle w:val="TableContents"/>
              <w:bidi w:val="0"/>
              <w:spacing w:before="0" w:after="0"/>
              <w:ind w:left="0" w:right="0" w:hanging="0"/>
              <w:jc w:val="left"/>
              <w:rPr/>
            </w:pPr>
            <w:r>
              <w:rPr/>
              <w:t> </w:t>
            </w:r>
          </w:p>
        </w:tc>
      </w:tr>
      <w:tr>
        <w:trPr/>
        <w:tc>
          <w:tcPr>
            <w:tcW w:w="3532"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Issuance of common shares under employee stock</w:t>
              <w:br/>
              <w:t>   purchase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38,954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pPr>
            <w:r>
              <w:rPr/>
              <w:t> </w:t>
            </w:r>
          </w:p>
        </w:tc>
        <w:tc>
          <w:tcPr>
            <w:tcW w:w="9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4"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w:t>
            </w:r>
          </w:p>
        </w:tc>
        <w:tc>
          <w:tcPr>
            <w:tcW w:w="212" w:type="dxa"/>
            <w:tcBorders/>
            <w:vAlign w:val="center"/>
          </w:tcPr>
          <w:p>
            <w:pPr>
              <w:pStyle w:val="TableContents"/>
              <w:bidi w:val="0"/>
              <w:spacing w:before="0" w:after="0"/>
              <w:ind w:left="0" w:right="0" w:hanging="0"/>
              <w:jc w:val="left"/>
              <w:rPr/>
            </w:pPr>
            <w:r>
              <w:rPr/>
              <w:t> </w:t>
            </w:r>
          </w:p>
        </w:tc>
      </w:tr>
      <w:tr>
        <w:trPr/>
        <w:tc>
          <w:tcPr>
            <w:tcW w:w="3532"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Share-based compensation expense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pPr>
            <w:r>
              <w:rPr/>
              <w:t> </w:t>
            </w:r>
          </w:p>
        </w:tc>
        <w:tc>
          <w:tcPr>
            <w:tcW w:w="9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4"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1,041</w:t>
            </w:r>
          </w:p>
        </w:tc>
        <w:tc>
          <w:tcPr>
            <w:tcW w:w="212" w:type="dxa"/>
            <w:tcBorders/>
            <w:vAlign w:val="center"/>
          </w:tcPr>
          <w:p>
            <w:pPr>
              <w:pStyle w:val="TableContents"/>
              <w:bidi w:val="0"/>
              <w:spacing w:before="0" w:after="0"/>
              <w:ind w:left="0" w:right="0" w:hanging="0"/>
              <w:jc w:val="left"/>
              <w:rPr/>
            </w:pPr>
            <w:r>
              <w:rPr/>
              <w:t> </w:t>
            </w:r>
          </w:p>
        </w:tc>
      </w:tr>
      <w:tr>
        <w:trPr/>
        <w:tc>
          <w:tcPr>
            <w:tcW w:w="3532"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(9,280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(9,280</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3532"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at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61,364,299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300,357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(297,718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2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2,700</w:t>
            </w:r>
          </w:p>
        </w:tc>
        <w:tc>
          <w:tcPr>
            <w:tcW w:w="2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10096" w:type="dxa"/>
        <w:jc w:val="left"/>
        <w:tblInd w:w="0" w:type="dxa"/>
        <w:tblLayout w:type="fixed"/>
        <w:tblCellMar>
          <w:top w:w="28" w:type="dxa"/>
          <w:left w:w="28" w:type="dxa"/>
          <w:bottom w:w="28" w:type="dxa"/>
          <w:right w:w="28" w:type="dxa"/>
        </w:tblCellMar>
      </w:tblPr>
      <w:tblGrid>
        <w:gridCol w:w="3421"/>
        <w:gridCol w:w="146"/>
        <w:gridCol w:w="146"/>
        <w:gridCol w:w="916"/>
        <w:gridCol w:w="146"/>
        <w:gridCol w:w="146"/>
        <w:gridCol w:w="249"/>
        <w:gridCol w:w="442"/>
        <w:gridCol w:w="146"/>
        <w:gridCol w:w="146"/>
        <w:gridCol w:w="275"/>
        <w:gridCol w:w="971"/>
        <w:gridCol w:w="146"/>
        <w:gridCol w:w="146"/>
        <w:gridCol w:w="217"/>
        <w:gridCol w:w="834"/>
        <w:gridCol w:w="166"/>
        <w:gridCol w:w="146"/>
        <w:gridCol w:w="265"/>
        <w:gridCol w:w="815"/>
        <w:gridCol w:w="21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18" w:type="dxa"/>
            <w:gridSpan w:val="1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 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6"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11" w:type="dxa"/>
            <w:tcBorders/>
            <w:vAlign w:val="center"/>
          </w:tcPr>
          <w:p>
            <w:pPr>
              <w:pStyle w:val="TableContents"/>
              <w:bidi w:val="0"/>
              <w:spacing w:before="0" w:after="0"/>
              <w:ind w:left="0" w:right="0" w:hanging="0"/>
              <w:jc w:val="center"/>
              <w:rPr/>
            </w:pPr>
            <w:r>
              <w:rPr/>
              <w:t> </w:t>
            </w:r>
          </w:p>
        </w:tc>
      </w:tr>
      <w:tr>
        <w:trPr/>
        <w:tc>
          <w:tcPr>
            <w:tcW w:w="34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4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Stockholders'</w:t>
            </w:r>
          </w:p>
        </w:tc>
        <w:tc>
          <w:tcPr>
            <w:tcW w:w="211" w:type="dxa"/>
            <w:tcBorders/>
            <w:vAlign w:val="center"/>
          </w:tcPr>
          <w:p>
            <w:pPr>
              <w:pStyle w:val="TableContents"/>
              <w:bidi w:val="0"/>
              <w:spacing w:before="0" w:after="0"/>
              <w:ind w:left="0" w:right="0" w:hanging="0"/>
              <w:jc w:val="center"/>
              <w:rPr/>
            </w:pPr>
            <w:r>
              <w:rPr/>
              <w:t> </w:t>
            </w:r>
          </w:p>
        </w:tc>
      </w:tr>
      <w:tr>
        <w:trPr/>
        <w:tc>
          <w:tcPr>
            <w:tcW w:w="34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Paid-In-Capital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Equity</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2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at December 31,2021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59,722,930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4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293,406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(255,491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26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1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37,975</w:t>
            </w:r>
          </w:p>
        </w:tc>
        <w:tc>
          <w:tcPr>
            <w:tcW w:w="211" w:type="dxa"/>
            <w:tcBorders/>
            <w:vAlign w:val="center"/>
          </w:tcPr>
          <w:p>
            <w:pPr>
              <w:pStyle w:val="TableContents"/>
              <w:bidi w:val="0"/>
              <w:spacing w:before="0" w:after="0"/>
              <w:ind w:left="0" w:right="0" w:hanging="0"/>
              <w:jc w:val="left"/>
              <w:rPr/>
            </w:pPr>
            <w:r>
              <w:rPr/>
              <w:t> </w:t>
            </w:r>
          </w:p>
        </w:tc>
      </w:tr>
      <w:tr>
        <w:trPr/>
        <w:tc>
          <w:tcPr>
            <w:tcW w:w="342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Exercise of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22,727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pPr>
            <w:r>
              <w:rPr/>
              <w:t> </w:t>
            </w:r>
          </w:p>
        </w:tc>
        <w:tc>
          <w:tcPr>
            <w:tcW w:w="9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5" w:type="dxa"/>
            <w:tcBorders/>
            <w:vAlign w:val="center"/>
          </w:tcPr>
          <w:p>
            <w:pPr>
              <w:pStyle w:val="TableContents"/>
              <w:bidi w:val="0"/>
              <w:spacing w:before="0" w:after="0"/>
              <w:ind w:left="0" w:right="0" w:hanging="0"/>
              <w:jc w:val="left"/>
              <w:rPr/>
            </w:pPr>
            <w:r>
              <w:rPr/>
              <w:t> </w:t>
            </w:r>
          </w:p>
        </w:tc>
        <w:tc>
          <w:tcPr>
            <w:tcW w:w="81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w:t>
            </w:r>
          </w:p>
        </w:tc>
        <w:tc>
          <w:tcPr>
            <w:tcW w:w="211" w:type="dxa"/>
            <w:tcBorders/>
            <w:vAlign w:val="center"/>
          </w:tcPr>
          <w:p>
            <w:pPr>
              <w:pStyle w:val="TableContents"/>
              <w:bidi w:val="0"/>
              <w:spacing w:before="0" w:after="0"/>
              <w:ind w:left="0" w:right="0" w:hanging="0"/>
              <w:jc w:val="left"/>
              <w:rPr/>
            </w:pPr>
            <w:r>
              <w:rPr/>
              <w:t> </w:t>
            </w:r>
          </w:p>
        </w:tc>
      </w:tr>
      <w:tr>
        <w:trPr/>
        <w:tc>
          <w:tcPr>
            <w:tcW w:w="342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Vesting and settlement of restricted stock units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375,331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pPr>
            <w:r>
              <w:rPr/>
              <w:t> </w:t>
            </w:r>
          </w:p>
        </w:tc>
        <w:tc>
          <w:tcPr>
            <w:tcW w:w="97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5" w:type="dxa"/>
            <w:tcBorders/>
            <w:vAlign w:val="center"/>
          </w:tcPr>
          <w:p>
            <w:pPr>
              <w:pStyle w:val="TableContents"/>
              <w:bidi w:val="0"/>
              <w:spacing w:before="0" w:after="0"/>
              <w:ind w:left="0" w:right="0" w:hanging="0"/>
              <w:jc w:val="left"/>
              <w:rPr/>
            </w:pPr>
            <w:r>
              <w:rPr/>
              <w:t> </w:t>
            </w:r>
          </w:p>
        </w:tc>
        <w:tc>
          <w:tcPr>
            <w:tcW w:w="815"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342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Issuance of common shares under employee</w:t>
              <w:br/>
              <w:t>   stock purchase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26,630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pPr>
            <w:r>
              <w:rPr/>
              <w:t> </w:t>
            </w:r>
          </w:p>
        </w:tc>
        <w:tc>
          <w:tcPr>
            <w:tcW w:w="9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5" w:type="dxa"/>
            <w:tcBorders/>
            <w:vAlign w:val="center"/>
          </w:tcPr>
          <w:p>
            <w:pPr>
              <w:pStyle w:val="TableContents"/>
              <w:bidi w:val="0"/>
              <w:spacing w:before="0" w:after="0"/>
              <w:ind w:left="0" w:right="0" w:hanging="0"/>
              <w:jc w:val="left"/>
              <w:rPr/>
            </w:pPr>
            <w:r>
              <w:rPr/>
              <w:t> </w:t>
            </w:r>
          </w:p>
        </w:tc>
        <w:tc>
          <w:tcPr>
            <w:tcW w:w="81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62</w:t>
            </w:r>
          </w:p>
        </w:tc>
        <w:tc>
          <w:tcPr>
            <w:tcW w:w="211" w:type="dxa"/>
            <w:tcBorders/>
            <w:vAlign w:val="center"/>
          </w:tcPr>
          <w:p>
            <w:pPr>
              <w:pStyle w:val="TableContents"/>
              <w:bidi w:val="0"/>
              <w:spacing w:before="0" w:after="0"/>
              <w:ind w:left="0" w:right="0" w:hanging="0"/>
              <w:jc w:val="left"/>
              <w:rPr/>
            </w:pPr>
            <w:r>
              <w:rPr/>
              <w:t> </w:t>
            </w:r>
          </w:p>
        </w:tc>
      </w:tr>
      <w:tr>
        <w:trPr/>
        <w:tc>
          <w:tcPr>
            <w:tcW w:w="342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Share-based compensation expense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pPr>
            <w:r>
              <w:rPr/>
              <w:t> </w:t>
            </w:r>
          </w:p>
        </w:tc>
        <w:tc>
          <w:tcPr>
            <w:tcW w:w="9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5" w:type="dxa"/>
            <w:tcBorders/>
            <w:vAlign w:val="center"/>
          </w:tcPr>
          <w:p>
            <w:pPr>
              <w:pStyle w:val="TableContents"/>
              <w:bidi w:val="0"/>
              <w:spacing w:before="0" w:after="0"/>
              <w:ind w:left="0" w:right="0" w:hanging="0"/>
              <w:jc w:val="left"/>
              <w:rPr/>
            </w:pPr>
            <w:r>
              <w:rPr/>
              <w:t> </w:t>
            </w:r>
          </w:p>
        </w:tc>
        <w:tc>
          <w:tcPr>
            <w:tcW w:w="81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1,307</w:t>
            </w:r>
          </w:p>
        </w:tc>
        <w:tc>
          <w:tcPr>
            <w:tcW w:w="211" w:type="dxa"/>
            <w:tcBorders/>
            <w:vAlign w:val="center"/>
          </w:tcPr>
          <w:p>
            <w:pPr>
              <w:pStyle w:val="TableContents"/>
              <w:bidi w:val="0"/>
              <w:spacing w:before="0" w:after="0"/>
              <w:ind w:left="0" w:right="0" w:hanging="0"/>
              <w:jc w:val="left"/>
              <w:rPr/>
            </w:pPr>
            <w:r>
              <w:rPr/>
              <w:t> </w:t>
            </w:r>
          </w:p>
        </w:tc>
      </w:tr>
      <w:tr>
        <w:trPr/>
        <w:tc>
          <w:tcPr>
            <w:tcW w:w="342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(7,644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2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(7,644</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342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at March 31,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60,147,618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294,778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(263,135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2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31,703</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center"/>
        <w:rPr>
          <w:rFonts w:ascii="Times New Roman;serif" w:hAnsi="Times New Roman;serif"/>
          <w:b w:val="false"/>
          <w:i/>
          <w:sz w:val="20"/>
        </w:rPr>
      </w:pPr>
      <w:r>
        <w:rPr>
          <w:rFonts w:ascii="Times New Roman;serif" w:hAnsi="Times New Roman;serif"/>
          <w:b w:val="false"/>
          <w:i/>
          <w:sz w:val="20"/>
        </w:rPr>
        <w:t>See accompanying notes to the consolidated financial statements.</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CLEARSIDE BIOMEDICAL, INC.</w:t>
      </w:r>
    </w:p>
    <w:p>
      <w:pPr>
        <w:pStyle w:val="TextBody"/>
        <w:bidi w:val="0"/>
        <w:spacing w:before="0" w:after="0"/>
        <w:jc w:val="center"/>
        <w:rPr>
          <w:rFonts w:ascii="Times New Roman;serif" w:hAnsi="Times New Roman;serif"/>
          <w:b/>
          <w:sz w:val="20"/>
        </w:rPr>
      </w:pPr>
      <w:bookmarkStart w:id="5" w:name="statements_cash_flows"/>
      <w:bookmarkEnd w:id="5"/>
      <w:r>
        <w:rPr>
          <w:rFonts w:ascii="Times New Roman;serif" w:hAnsi="Times New Roman;serif"/>
          <w:b/>
          <w:sz w:val="20"/>
        </w:rPr>
        <w:t>Consolidated Statements of Cash Flows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(in thousands)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(unaudited)</w:t>
      </w:r>
    </w:p>
    <w:tbl>
      <w:tblPr>
        <w:tblW w:w="8874" w:type="dxa"/>
        <w:jc w:val="left"/>
        <w:tblInd w:w="0" w:type="dxa"/>
        <w:tblLayout w:type="fixed"/>
        <w:tblCellMar>
          <w:top w:w="28" w:type="dxa"/>
          <w:left w:w="28" w:type="dxa"/>
          <w:bottom w:w="28" w:type="dxa"/>
          <w:right w:w="28" w:type="dxa"/>
        </w:tblCellMar>
      </w:tblPr>
      <w:tblGrid>
        <w:gridCol w:w="6031"/>
        <w:gridCol w:w="146"/>
        <w:gridCol w:w="211"/>
        <w:gridCol w:w="676"/>
        <w:gridCol w:w="166"/>
        <w:gridCol w:w="146"/>
        <w:gridCol w:w="211"/>
        <w:gridCol w:w="676"/>
        <w:gridCol w:w="611"/>
      </w:tblGrid>
      <w:tr>
        <w:trPr/>
        <w:tc>
          <w:tcPr>
            <w:tcW w:w="6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0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8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0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Operating activities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(9,280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(7,644</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Adjustments to reconcile net loss to 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Non-cash interest expense on liability related to the sales of</w:t>
              <w:br/>
              <w:t>   future royalties, net of issuance costs accretion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611" w:type="dxa"/>
            <w:tcBorders/>
            <w:vAlign w:val="center"/>
          </w:tcPr>
          <w:p>
            <w:pPr>
              <w:pStyle w:val="TableContents"/>
              <w:bidi w:val="0"/>
              <w:spacing w:before="0" w:after="0"/>
              <w:ind w:left="0" w:right="0" w:firstLine="200"/>
              <w:jc w:val="left"/>
              <w:rPr/>
            </w:pPr>
            <w:r>
              <w:rPr/>
              <w:t> </w:t>
            </w:r>
          </w:p>
        </w:tc>
      </w:tr>
      <w:tr>
        <w:trPr/>
        <w:tc>
          <w:tcPr>
            <w:tcW w:w="603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Depreciation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c>
          <w:tcPr>
            <w:tcW w:w="611" w:type="dxa"/>
            <w:tcBorders/>
            <w:vAlign w:val="center"/>
          </w:tcPr>
          <w:p>
            <w:pPr>
              <w:pStyle w:val="TableContents"/>
              <w:bidi w:val="0"/>
              <w:spacing w:before="0" w:after="0"/>
              <w:ind w:left="0" w:right="0" w:firstLine="200"/>
              <w:jc w:val="left"/>
              <w:rPr/>
            </w:pPr>
            <w:r>
              <w:rPr/>
              <w:t> </w:t>
            </w:r>
          </w:p>
        </w:tc>
      </w:tr>
      <w:tr>
        <w:trPr/>
        <w:tc>
          <w:tcPr>
            <w:tcW w:w="603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Share-based compensation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1,307</w:t>
            </w:r>
          </w:p>
        </w:tc>
        <w:tc>
          <w:tcPr>
            <w:tcW w:w="611" w:type="dxa"/>
            <w:tcBorders/>
            <w:vAlign w:val="center"/>
          </w:tcPr>
          <w:p>
            <w:pPr>
              <w:pStyle w:val="TableContents"/>
              <w:bidi w:val="0"/>
              <w:spacing w:before="0" w:after="0"/>
              <w:ind w:left="0" w:right="0" w:firstLine="200"/>
              <w:jc w:val="left"/>
              <w:rPr/>
            </w:pPr>
            <w:r>
              <w:rPr/>
              <w:t> </w:t>
            </w:r>
          </w:p>
        </w:tc>
      </w:tr>
      <w:tr>
        <w:trPr/>
        <w:tc>
          <w:tcPr>
            <w:tcW w:w="603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Changes in operating assets and liabilities: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400"/>
              <w:jc w:val="right"/>
              <w:rPr/>
            </w:pPr>
            <w:r>
              <w:rPr/>
              <w:t> </w:t>
            </w:r>
          </w:p>
        </w:tc>
      </w:tr>
      <w:tr>
        <w:trPr/>
        <w:tc>
          <w:tcPr>
            <w:tcW w:w="603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10,689</w:t>
            </w:r>
          </w:p>
        </w:tc>
        <w:tc>
          <w:tcPr>
            <w:tcW w:w="611" w:type="dxa"/>
            <w:tcBorders/>
            <w:vAlign w:val="center"/>
          </w:tcPr>
          <w:p>
            <w:pPr>
              <w:pStyle w:val="TableContents"/>
              <w:bidi w:val="0"/>
              <w:spacing w:before="0" w:after="0"/>
              <w:ind w:left="0" w:right="0" w:firstLine="400"/>
              <w:jc w:val="left"/>
              <w:rPr/>
            </w:pPr>
            <w:r>
              <w:rPr/>
              <w:t> </w:t>
            </w:r>
          </w:p>
        </w:tc>
      </w:tr>
      <w:tr>
        <w:trPr/>
        <w:tc>
          <w:tcPr>
            <w:tcW w:w="603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Other assets and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Accounts payable and accrued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(686</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provided by operating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(7,216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3,871</w:t>
            </w:r>
          </w:p>
        </w:tc>
        <w:tc>
          <w:tcPr>
            <w:tcW w:w="611" w:type="dxa"/>
            <w:tcBorders/>
            <w:vAlign w:val="center"/>
          </w:tcPr>
          <w:p>
            <w:pPr>
              <w:pStyle w:val="TableContents"/>
              <w:bidi w:val="0"/>
              <w:spacing w:before="0" w:after="0"/>
              <w:ind w:left="0" w:right="0" w:hanging="0"/>
              <w:jc w:val="left"/>
              <w:rPr/>
            </w:pPr>
            <w:r>
              <w:rPr/>
              <w:t> </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Investing activities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Acquisition of property and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investing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611" w:type="dxa"/>
            <w:tcBorders/>
            <w:vAlign w:val="center"/>
          </w:tcPr>
          <w:p>
            <w:pPr>
              <w:pStyle w:val="TableContents"/>
              <w:bidi w:val="0"/>
              <w:spacing w:before="0" w:after="0"/>
              <w:ind w:left="0" w:right="0" w:hanging="0"/>
              <w:jc w:val="left"/>
              <w:rPr/>
            </w:pPr>
            <w:r>
              <w:rPr/>
              <w:t> </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Financing activities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Proceeds from at-the-market sales agreement, net of issuance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611" w:type="dxa"/>
            <w:tcBorders/>
            <w:vAlign w:val="center"/>
          </w:tcPr>
          <w:p>
            <w:pPr>
              <w:pStyle w:val="TableContents"/>
              <w:bidi w:val="0"/>
              <w:spacing w:before="0" w:after="0"/>
              <w:ind w:left="0" w:right="0" w:hanging="0"/>
              <w:jc w:val="left"/>
              <w:rPr/>
            </w:pPr>
            <w:r>
              <w:rPr/>
              <w:t> </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Proceeds from exercise of stock options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611" w:type="dxa"/>
            <w:tcBorders/>
            <w:vAlign w:val="center"/>
          </w:tcPr>
          <w:p>
            <w:pPr>
              <w:pStyle w:val="TableContents"/>
              <w:bidi w:val="0"/>
              <w:spacing w:before="0" w:after="0"/>
              <w:ind w:left="0" w:right="0" w:hanging="0"/>
              <w:jc w:val="left"/>
              <w:rPr/>
            </w:pPr>
            <w:r>
              <w:rPr/>
              <w:t> </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Proceeds from shares issued under employee stock purchase plan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financing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(decrease) increase in cash,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(6,999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3,936</w:t>
            </w:r>
          </w:p>
        </w:tc>
        <w:tc>
          <w:tcPr>
            <w:tcW w:w="611" w:type="dxa"/>
            <w:tcBorders/>
            <w:vAlign w:val="center"/>
          </w:tcPr>
          <w:p>
            <w:pPr>
              <w:pStyle w:val="TableContents"/>
              <w:bidi w:val="0"/>
              <w:spacing w:before="0" w:after="0"/>
              <w:ind w:left="0" w:right="0" w:hanging="0"/>
              <w:jc w:val="left"/>
              <w:rPr/>
            </w:pPr>
            <w:r>
              <w:rPr/>
              <w:t> </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cash equivalents and restricted cash, beginning of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48,418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30,696</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cash equivalents and restricted cash, end of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41,419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34,632</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Supplemental disclosure</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hanging="0"/>
              <w:jc w:val="left"/>
              <w:rPr/>
            </w:pPr>
            <w:r>
              <w:rPr/>
              <w:t> </w:t>
            </w:r>
          </w:p>
        </w:tc>
      </w:tr>
      <w:tr>
        <w:trPr/>
        <w:tc>
          <w:tcPr>
            <w:tcW w:w="603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Purchase of property and equipment included in accrued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61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rFonts w:ascii="Times New Roman;serif" w:hAnsi="Times New Roman;serif"/>
          <w:b/>
          <w:sz w:val="20"/>
        </w:rPr>
      </w:pPr>
      <w:r>
        <w:rPr>
          <w:rFonts w:ascii="Times New Roman;serif" w:hAnsi="Times New Roman;serif"/>
          <w:b/>
          <w:sz w:val="20"/>
        </w:rPr>
        <w:t>Reconciliation of cash, cash equivalents and restricted cash:</w:t>
      </w:r>
    </w:p>
    <w:tbl>
      <w:tblPr>
        <w:tblW w:w="7234" w:type="dxa"/>
        <w:jc w:val="left"/>
        <w:tblInd w:w="0" w:type="dxa"/>
        <w:tblLayout w:type="fixed"/>
        <w:tblCellMar>
          <w:top w:w="28" w:type="dxa"/>
          <w:left w:w="28" w:type="dxa"/>
          <w:bottom w:w="28" w:type="dxa"/>
          <w:right w:w="28" w:type="dxa"/>
        </w:tblCellMar>
      </w:tblPr>
      <w:tblGrid>
        <w:gridCol w:w="4831"/>
        <w:gridCol w:w="146"/>
        <w:gridCol w:w="211"/>
        <w:gridCol w:w="676"/>
        <w:gridCol w:w="146"/>
        <w:gridCol w:w="146"/>
        <w:gridCol w:w="211"/>
        <w:gridCol w:w="676"/>
        <w:gridCol w:w="191"/>
      </w:tblGrid>
      <w:tr>
        <w:trPr/>
        <w:tc>
          <w:tcPr>
            <w:tcW w:w="4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March 31,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8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8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41,419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34,372</w:t>
            </w:r>
          </w:p>
        </w:tc>
        <w:tc>
          <w:tcPr>
            <w:tcW w:w="191" w:type="dxa"/>
            <w:tcBorders/>
            <w:vAlign w:val="center"/>
          </w:tcPr>
          <w:p>
            <w:pPr>
              <w:pStyle w:val="TableContents"/>
              <w:bidi w:val="0"/>
              <w:spacing w:before="0" w:after="0"/>
              <w:ind w:left="0" w:right="0" w:hanging="0"/>
              <w:jc w:val="left"/>
              <w:rPr/>
            </w:pPr>
            <w:r>
              <w:rPr/>
              <w:t> </w:t>
            </w:r>
          </w:p>
        </w:tc>
      </w:tr>
      <w:tr>
        <w:trPr/>
        <w:tc>
          <w:tcPr>
            <w:tcW w:w="48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cash</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8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cash equivalents and restricted cash at end of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41,419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34,632</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center"/>
        <w:rPr>
          <w:rFonts w:ascii="Times New Roman;serif" w:hAnsi="Times New Roman;serif"/>
          <w:b w:val="false"/>
          <w:i/>
          <w:sz w:val="20"/>
        </w:rPr>
      </w:pPr>
      <w:r>
        <w:rPr>
          <w:rFonts w:ascii="Times New Roman;serif" w:hAnsi="Times New Roman;serif"/>
          <w:b w:val="false"/>
          <w:i/>
          <w:sz w:val="20"/>
        </w:rPr>
        <w:t>See accompanying notes to the consolidated financial statements.</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CLEARSIDE BIOMEDICAL, INC.</w:t>
      </w:r>
    </w:p>
    <w:p>
      <w:pPr>
        <w:pStyle w:val="TextBody"/>
        <w:bidi w:val="0"/>
        <w:spacing w:before="240" w:after="0"/>
        <w:jc w:val="center"/>
        <w:rPr>
          <w:rFonts w:ascii="Times New Roman;serif" w:hAnsi="Times New Roman;serif"/>
          <w:b/>
          <w:sz w:val="20"/>
        </w:rPr>
      </w:pPr>
      <w:bookmarkStart w:id="6" w:name="notes_to_the_financial_statements"/>
      <w:bookmarkEnd w:id="6"/>
      <w:r>
        <w:rPr>
          <w:rFonts w:ascii="Times New Roman;serif" w:hAnsi="Times New Roman;serif"/>
          <w:b/>
          <w:sz w:val="20"/>
        </w:rPr>
        <w:t>Notes to the Consolidated Financial Statements</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1. The Company</w:t>
      </w:r>
    </w:p>
    <w:p>
      <w:pPr>
        <w:pStyle w:val="TextBody"/>
        <w:bidi w:val="0"/>
        <w:spacing w:before="120" w:after="0"/>
        <w:jc w:val="left"/>
        <w:rPr>
          <w:rFonts w:ascii="Times New Roman" w:hAnsi="Times New Roman"/>
          <w:sz w:val="20"/>
        </w:rPr>
      </w:pPr>
      <w:r>
        <w:rPr>
          <w:rFonts w:ascii="Times New Roman;serif" w:hAnsi="Times New Roman;serif"/>
          <w:b w:val="false"/>
          <w:sz w:val="20"/>
        </w:rPr>
        <w:t>Clearside Biomedical, Inc. (the “Company”) is a biopharmaceutical company focused on revolutionizing the delivery of therapies to the back of the eye through the suprachoroidal space (SCS</w:t>
      </w:r>
      <w:r>
        <w:rPr>
          <w:rFonts w:ascii="Times New Roman;serif" w:hAnsi="Times New Roman;serif"/>
          <w:b w:val="false"/>
          <w:sz w:val="13"/>
        </w:rPr>
        <w:t>®</w:t>
      </w:r>
      <w:r>
        <w:rPr>
          <w:rFonts w:ascii="Times New Roman;serif" w:hAnsi="Times New Roman;serif"/>
          <w:b w:val="false"/>
          <w:sz w:val="20"/>
        </w:rPr>
        <w:t>). Incorporated in the State of Delaware on May 26, 2011, the Company has its corporate headquarters in Alpharetta, Georgia.</w:t>
      </w:r>
    </w:p>
    <w:p>
      <w:pPr>
        <w:pStyle w:val="TextBody"/>
        <w:bidi w:val="0"/>
        <w:spacing w:before="120" w:after="240"/>
        <w:jc w:val="left"/>
        <w:rPr>
          <w:rFonts w:ascii="Times New Roman;serif" w:hAnsi="Times New Roman;serif"/>
          <w:b w:val="false"/>
          <w:sz w:val="20"/>
        </w:rPr>
      </w:pPr>
      <w:r>
        <w:rPr>
          <w:rFonts w:ascii="Times New Roman;serif" w:hAnsi="Times New Roman;serif"/>
          <w:b w:val="false"/>
          <w:sz w:val="20"/>
        </w:rPr>
        <w:t>The Company’s activities since inception have primarily consisted of developing product and technology rights, raising capital and performing research and development activities. The Company is subject to a number of risks and uncertainties similar to those of other life science companies at a similar stage of development, including, among others, the need to obtain adequate additional financing, successful development efforts including regulatory approval of products, compliance with government regulations, successful commercialization of potential products, protection of proprietary technology and dependence on key individuals.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Liquidity</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had cash and cash equivalents of $41.4</w:t>
      </w:r>
      <w:r>
        <w:rPr>
          <w:rFonts w:ascii="Times New Roman" w:hAnsi="Times New Roman"/>
          <w:sz w:val="20"/>
        </w:rPr>
        <w:t xml:space="preserve"> </w:t>
      </w:r>
      <w:r>
        <w:rPr>
          <w:rFonts w:ascii="Times New Roman;serif" w:hAnsi="Times New Roman;serif"/>
          <w:b w:val="false"/>
          <w:sz w:val="20"/>
        </w:rPr>
        <w:t>million as of March 31, 2023.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During the three months ended March 31, 2023, the Company sold</w:t>
      </w:r>
      <w:r>
        <w:rPr>
          <w:rFonts w:ascii="Times New Roman" w:hAnsi="Times New Roman"/>
          <w:sz w:val="20"/>
        </w:rPr>
        <w:t xml:space="preserve"> </w:t>
      </w:r>
      <w:r>
        <w:rPr>
          <w:rFonts w:ascii="Times New Roman;serif" w:hAnsi="Times New Roman;serif"/>
          <w:b w:val="false"/>
          <w:sz w:val="20"/>
        </w:rPr>
        <w:t>214,128</w:t>
      </w:r>
      <w:r>
        <w:rPr>
          <w:rFonts w:ascii="Times New Roman" w:hAnsi="Times New Roman"/>
          <w:sz w:val="20"/>
        </w:rPr>
        <w:t xml:space="preserve"> </w:t>
      </w:r>
      <w:r>
        <w:rPr>
          <w:rFonts w:ascii="Times New Roman;serif" w:hAnsi="Times New Roman;serif"/>
          <w:b w:val="false"/>
          <w:sz w:val="20"/>
        </w:rPr>
        <w:t>shares of its common stock for net proceeds of $0.3</w:t>
      </w:r>
      <w:r>
        <w:rPr>
          <w:rFonts w:ascii="Times New Roman" w:hAnsi="Times New Roman"/>
          <w:sz w:val="20"/>
        </w:rPr>
        <w:t xml:space="preserve"> </w:t>
      </w:r>
      <w:r>
        <w:rPr>
          <w:rFonts w:ascii="Times New Roman;serif" w:hAnsi="Times New Roman;serif"/>
          <w:b w:val="false"/>
          <w:sz w:val="20"/>
        </w:rPr>
        <w:t>million under its at-the-market agreement with Cowen and Company, LLC (the “ATM Agreement”). Subsequent to March 31, 2023, the Company sold an additional 301,831</w:t>
      </w:r>
      <w:r>
        <w:rPr>
          <w:rFonts w:ascii="Times New Roman" w:hAnsi="Times New Roman"/>
          <w:sz w:val="20"/>
        </w:rPr>
        <w:t xml:space="preserve"> </w:t>
      </w:r>
      <w:r>
        <w:rPr>
          <w:rFonts w:ascii="Times New Roman;serif" w:hAnsi="Times New Roman;serif"/>
          <w:b w:val="false"/>
          <w:sz w:val="20"/>
        </w:rPr>
        <w:t>shares of its common stock pursuant to the ATM Agreement for net proceeds of $0.4</w:t>
      </w:r>
      <w:r>
        <w:rPr>
          <w:rFonts w:ascii="Times New Roman" w:hAnsi="Times New Roman"/>
          <w:sz w:val="20"/>
        </w:rPr>
        <w:t xml:space="preserve"> </w:t>
      </w:r>
      <w:r>
        <w:rPr>
          <w:rFonts w:ascii="Times New Roman;serif" w:hAnsi="Times New Roman;serif"/>
          <w:b w:val="false"/>
          <w:sz w:val="20"/>
        </w:rPr>
        <w:t>million.</w:t>
      </w:r>
    </w:p>
    <w:p>
      <w:pPr>
        <w:pStyle w:val="TextBody"/>
        <w:bidi w:val="0"/>
        <w:spacing w:before="120" w:after="0"/>
        <w:jc w:val="left"/>
        <w:rPr>
          <w:rFonts w:ascii="Times New Roman" w:hAnsi="Times New Roman"/>
          <w:sz w:val="20"/>
        </w:rPr>
      </w:pPr>
      <w:r>
        <w:rPr>
          <w:rFonts w:ascii="Times New Roman;serif" w:hAnsi="Times New Roman;serif"/>
          <w:b w:val="false"/>
          <w:sz w:val="20"/>
        </w:rPr>
        <w:t>On August 8, 2022, the Company through its wholly-owned subsidiary Clearside Royalty LLC, a Delaware limited liability company (“Royalty Sub”), entered into a Purchase and Sale Agreement (the "Purchase</w:t>
      </w:r>
      <w:r>
        <w:rPr>
          <w:rFonts w:ascii="Times New Roman" w:hAnsi="Times New Roman"/>
          <w:sz w:val="20"/>
        </w:rPr>
        <w:t xml:space="preserve"> </w:t>
      </w:r>
      <w:r>
        <w:rPr>
          <w:rFonts w:ascii="Times New Roman;serif" w:hAnsi="Times New Roman;serif"/>
          <w:b w:val="false"/>
          <w:sz w:val="20"/>
        </w:rPr>
        <w:t>and Sale Agreement") with entities managed by HealthCare Royalty Management, LLC (“HCR”) pursuant to which it sold its rights to receive royalty and milestone payments due to the Company from XIPERE and certain SCS Microinjector license agreements subject to a cap which may be increased under certain circumstances. The Company received a payment of $32.1</w:t>
      </w:r>
      <w:r>
        <w:rPr>
          <w:rFonts w:ascii="Times New Roman" w:hAnsi="Times New Roman"/>
          <w:sz w:val="20"/>
        </w:rPr>
        <w:t xml:space="preserve"> </w:t>
      </w:r>
      <w:r>
        <w:rPr>
          <w:rFonts w:ascii="Times New Roman;serif" w:hAnsi="Times New Roman;serif"/>
          <w:b w:val="false"/>
          <w:sz w:val="20"/>
        </w:rPr>
        <w:t>million in September 2022, representing the $32.5</w:t>
      </w:r>
      <w:r>
        <w:rPr>
          <w:rFonts w:ascii="Times New Roman" w:hAnsi="Times New Roman"/>
          <w:sz w:val="20"/>
        </w:rPr>
        <w:t xml:space="preserve"> </w:t>
      </w:r>
      <w:r>
        <w:rPr>
          <w:rFonts w:ascii="Times New Roman;serif" w:hAnsi="Times New Roman;serif"/>
          <w:b w:val="false"/>
          <w:sz w:val="20"/>
        </w:rPr>
        <w:t>million to which the Company was entitled, net of certain of HCR's transaction-related expenses which the Company agreed to reimburse. There were additional issuance costs of $1.5</w:t>
      </w:r>
      <w:r>
        <w:rPr>
          <w:rFonts w:ascii="Times New Roman" w:hAnsi="Times New Roman"/>
          <w:sz w:val="20"/>
        </w:rPr>
        <w:t xml:space="preserve"> </w:t>
      </w:r>
      <w:r>
        <w:rPr>
          <w:rFonts w:ascii="Times New Roman;serif" w:hAnsi="Times New Roman;serif"/>
          <w:b w:val="false"/>
          <w:sz w:val="20"/>
        </w:rPr>
        <w:t>million related to the Purchase and Sale Agreement resulting in net proceeds of $30.6</w:t>
      </w:r>
      <w:r>
        <w:rPr>
          <w:rFonts w:ascii="Times New Roman" w:hAnsi="Times New Roman"/>
          <w:sz w:val="20"/>
        </w:rPr>
        <w:t xml:space="preserve"> </w:t>
      </w:r>
      <w:r>
        <w:rPr>
          <w:rFonts w:ascii="Times New Roman;serif" w:hAnsi="Times New Roman;serif"/>
          <w:b w:val="false"/>
          <w:sz w:val="20"/>
        </w:rPr>
        <w:t>million.</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has suffered recurring losses and negative cash flows from operations since inception and anticipates incurring additional losses until such time, if ever, that it can generate significant revenue. The Company has no current source of revenue to sustain present activities. The Company does not expect to generate other meaningful revenue until and unless the Company's licensees successfully commercialize XIPERE and the Company has fulfilled its obligations under the Purchase and Sale Agreement, its other licensees receive regulatory approval and successfully commercialize its product candidates, or the Company commercializes its product candidates either on its own or with a third party. In the absence of product or other revenues, the amount, timing, nature or source of which cannot be predicted, the Company’s losses will continue as it conducts its research and development activities.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will continue to need to obtain additional financing to fund future operations, including completing the development, partnering and potential commercialization of its primary product candidates. The Company will need to obtain financing to complete the development and conduct clinical trials for the regulatory approval of its product candidates if requested by regulatory bodies. If such product candidates were to receive regulatory approval, the Company would need to obtain financing to prepare for the potential commercialization of its product candidates, if the Company decides to commercialize the products on its own.</w:t>
      </w:r>
    </w:p>
    <w:p>
      <w:pPr>
        <w:pStyle w:val="TextBody"/>
        <w:bidi w:val="0"/>
        <w:spacing w:before="120" w:after="0"/>
        <w:jc w:val="left"/>
        <w:rPr>
          <w:rFonts w:ascii="Times New Roman" w:hAnsi="Times New Roman"/>
          <w:sz w:val="20"/>
        </w:rPr>
      </w:pPr>
      <w:r>
        <w:rPr>
          <w:rFonts w:ascii="Times New Roman;serif" w:hAnsi="Times New Roman;serif"/>
          <w:b w:val="false"/>
          <w:sz w:val="20"/>
        </w:rPr>
        <w:t>Based on its cash and cash equivalents and its current plans and forecasted expenses, the Company expects that it will be able to fund its planned operating expenses and capital expenditure requirements beyond 12 months from the filing date of May 12, 2023. The Company has based this estimate on assumptions that may prove to be wrong, and it could exhaust its capital resources sooner than expected. Until the Company can generate sufficient revenue, the Company will need to finance future cash needs through public or private equity offerings, license agreements, debt financings or restructurings, collaborations, strategic alliances and marketing or distribution arrangements.</w:t>
      </w:r>
      <w:r>
        <w:rPr>
          <w:rFonts w:ascii="Times New Roman" w:hAnsi="Times New Roman"/>
          <w:sz w:val="20"/>
        </w:rPr>
        <w:t xml:space="preserve"> </w:t>
      </w:r>
    </w:p>
    <w:p>
      <w:pPr>
        <w:pStyle w:val="TextBody"/>
        <w:bidi w:val="0"/>
        <w:spacing w:before="240" w:after="0"/>
        <w:jc w:val="left"/>
        <w:rPr>
          <w:rFonts w:ascii="Times New Roman;serif" w:hAnsi="Times New Roman;serif"/>
          <w:b/>
          <w:sz w:val="20"/>
        </w:rPr>
      </w:pPr>
      <w:r>
        <w:rPr>
          <w:rFonts w:ascii="Times New Roman;serif" w:hAnsi="Times New Roman;serif"/>
          <w:b/>
          <w:sz w:val="20"/>
        </w:rPr>
        <w:t>2. Significant Accounting Policies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Basis of Presentation and Principles of Consolidation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Company's consolidated financial statements include the results of the financial operations of Clearside Biomedical, Inc. and its wholly-owned subsidiary, Clearside Royalty, LLC. a Delaware limited liability company, which was formed for the purposes of the transactions contemplated by the Purchase and Sale Agreement describe in Note 5. All intercompany balances and transactions have been eliminated.</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Company’s consolidated financial statements have been prepared in conformity with accounting principles generally accepted in the United States of America (“U.S. GAAP”). In the opinion of management, the Company has made all necessary adjustments, which include normal recurring adjustments necessary for a fair statement of the Company’s consolidated financial position and results of operations for the interim periods presented. The results for the three months ended March 31, 2023 are not indicative of results to be expected for the year ending December 31, 2023, any other interim periods or any future year or period. These unaudited financial statements should be read in conjunction with the audited financial statements and related footnotes, which are included in the Company’s Annual Report on Form 10-K for the year ended December 31, 2022.</w:t>
      </w:r>
    </w:p>
    <w:p>
      <w:pPr>
        <w:pStyle w:val="TextBody"/>
        <w:bidi w:val="0"/>
        <w:spacing w:before="240" w:after="0"/>
        <w:jc w:val="left"/>
        <w:rPr>
          <w:rFonts w:ascii="Times New Roman;serif" w:hAnsi="Times New Roman;serif"/>
          <w:b/>
          <w:i/>
          <w:sz w:val="20"/>
        </w:rPr>
      </w:pPr>
      <w:r>
        <w:rPr>
          <w:rFonts w:ascii="Times New Roman;serif" w:hAnsi="Times New Roman;serif"/>
          <w:b/>
          <w:i/>
          <w:sz w:val="20"/>
        </w:rPr>
        <w:t>Use of Estimates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preparation of consolidated financial statements in conformity with U.S. GAAP requires management to make estimates and assumptions that affect the reported amounts of assets and liabilities and disclosure of contingent assets and liabilities at the date of the financial statements and reported amounts of income and expenses during the reporting periods. Significant items subject to such estimates and assumptions include revenue recognition, the accounting for useful lives to calculate depreciation and amortization, clinical trial expense accruals, share-based compensation expense and income tax valuation allowance. Actual results could differ from these estimates.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Revenue Recognition</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The Company recognizes revenue from its contracts with customers under Financial Accounting Standards Board Accounting Standards Codification (“ASC”) Topic 606, </w:t>
      </w:r>
      <w:r>
        <w:rPr>
          <w:rFonts w:ascii="Times New Roman;serif" w:hAnsi="Times New Roman;serif"/>
          <w:b w:val="false"/>
          <w:i/>
          <w:sz w:val="20"/>
        </w:rPr>
        <w:t>Revenue from Contracts with Customers.</w:t>
      </w:r>
      <w:r>
        <w:rPr>
          <w:rFonts w:ascii="Times New Roman" w:hAnsi="Times New Roman"/>
          <w:sz w:val="20"/>
        </w:rPr>
        <w:t xml:space="preserve"> </w:t>
      </w:r>
      <w:r>
        <w:rPr>
          <w:rFonts w:ascii="Times New Roman;serif" w:hAnsi="Times New Roman;serif"/>
          <w:b w:val="false"/>
          <w:sz w:val="20"/>
        </w:rPr>
        <w:t>The Company’s primary revenue arrangements are license agreements which typically include upfront payments, regulatory and commercial milestone payments and royalties based on future product sales. The arrangements may also include payments for the Company’s SCS Microinjector devices as well as payments for assistance and oversight of the customer’s use of the Company’s technology. In determining the amount of revenue to be recognized under these agreements, the Company performs the following steps: (i) identifies the promised goods and services to be transferred in the contract, (ii) identifies the performance obligations, (iii) determines the transaction price, (iv) allocates the transaction price to the performance obligations and (v) recognizes revenue as the performance obligations are satisfied.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receives payments from its customers based on billing schedules established in each contract. Upfront and other payments may require deferral of revenue recognition to a future period until the Company performs its obligations under the arrangement. Amounts are recorded as accounts receivable when the Company’s right to consideration is unconditional.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Research and Development Costs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Research and development costs are charged to expense as incurred and include: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employee-related expenses, including salaries, benefits, travel and share-based compensation expense for research and development personnel;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expenses incurred under agreements with contract research organizations, contract manufacturing organizations and consultants that conduct preclinical studies and clinical trials;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costs associated with preclinical and clinical development activities;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costs associated with submitting regulatory approval applications for the Company’s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costs associated with training physicians on the suprachoroidal injection procedure and educating and providing them with appropriate product candidate information;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costs associated with technology and intellectual property licenses;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costs for the Company’s research and development facility;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depreciation expense for assets used in research and development activities.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Costs for certain development activities, such as clinical trial activities, are recognized based on an evaluation of the estimated total costs for the clinical trial, progress to completion of specific tasks using data such as patient enrollment, pass through expenses, clinical site activations, data from the clinical sites or information provided to the Company by its vendors on their actual costs incurred. Payments for these activities are based on the terms of the individual contracts and any subsequent amendments, which may differ from the patterns of costs incurred, and are reflected in the financial statements as prepaid or accrued expense.</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Share-Based Compensation</w:t>
      </w:r>
    </w:p>
    <w:p>
      <w:pPr>
        <w:pStyle w:val="TextBody"/>
        <w:bidi w:val="0"/>
        <w:spacing w:before="120" w:after="0"/>
        <w:jc w:val="left"/>
        <w:rPr>
          <w:rFonts w:ascii="Times New Roman" w:hAnsi="Times New Roman"/>
          <w:sz w:val="20"/>
        </w:rPr>
      </w:pPr>
      <w:r>
        <w:rPr>
          <w:rFonts w:ascii="Times New Roman;serif" w:hAnsi="Times New Roman;serif"/>
          <w:b w:val="false"/>
          <w:sz w:val="20"/>
        </w:rPr>
        <w:t>Compensation cost related to share-based awards granted to employees, directors and consultants is measured based on the estimated fair value of the award at the grant date. The Company estimates the fair value of stock options using a Black-Scholes option pricing model. The fair value of restricted stock units granted is measured based on the market value of the Company’s common stock on the date of grant. Share-based compensation costs are expensed on a straight-line basis over the relevant vesting period.</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Compensation cost related to shares purchased through the Company’s employee stock purchase plan, which is considered compensatory, is based on the estimated fair value of the shares on the offering date, including consideration of the discount and the look back period. The Company estimates the fair value of the shares using a Black-Scholes option pricing model. Compensation expense is recognized over the six-month withholding period prior to the purchase date.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All share-based compensation costs are recorded in general and administrative or research and development costs in the statements of operations based upon the recipient's underlying role within the Company.</w:t>
      </w:r>
    </w:p>
    <w:p>
      <w:pPr>
        <w:pStyle w:val="TextBody"/>
        <w:bidi w:val="0"/>
        <w:spacing w:before="240" w:after="0"/>
        <w:jc w:val="left"/>
        <w:rPr>
          <w:rFonts w:ascii="Times New Roman;serif" w:hAnsi="Times New Roman;serif"/>
          <w:b/>
          <w:i/>
          <w:sz w:val="20"/>
        </w:rPr>
      </w:pPr>
      <w:r>
        <w:rPr>
          <w:rFonts w:ascii="Times New Roman;serif" w:hAnsi="Times New Roman;serif"/>
          <w:b/>
          <w:i/>
          <w:sz w:val="20"/>
        </w:rPr>
        <w:t>Cash Equivalents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Cash equivalents consist of short-term, highly liquid investments with an original term of three months or less at the date of purchase.</w:t>
      </w:r>
    </w:p>
    <w:p>
      <w:pPr>
        <w:pStyle w:val="TextBody"/>
        <w:bidi w:val="0"/>
        <w:spacing w:before="240" w:after="0"/>
        <w:jc w:val="left"/>
        <w:rPr>
          <w:rFonts w:ascii="Times New Roman;serif" w:hAnsi="Times New Roman;serif"/>
          <w:b/>
          <w:i/>
          <w:sz w:val="20"/>
        </w:rPr>
      </w:pPr>
      <w:r>
        <w:rPr>
          <w:rFonts w:ascii="Times New Roman;serif" w:hAnsi="Times New Roman;serif"/>
          <w:b/>
          <w:i/>
          <w:sz w:val="20"/>
        </w:rPr>
        <w:t>Concentration of Credit Risk Arising From Cash Deposits in Excess of Insured Limits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maintains its cash in bank deposits that at times may exceed federally insured limits. The Company has not experienced any loss in such accounts. The Company believes it is not exposed to any significant risks with respect to its cash balances.</w:t>
      </w:r>
    </w:p>
    <w:p>
      <w:pPr>
        <w:pStyle w:val="TextBody"/>
        <w:bidi w:val="0"/>
        <w:spacing w:before="240" w:after="0"/>
        <w:jc w:val="left"/>
        <w:rPr>
          <w:rFonts w:ascii="Times New Roman" w:hAnsi="Times New Roman"/>
          <w:sz w:val="20"/>
        </w:rPr>
      </w:pPr>
      <w:r>
        <w:rPr>
          <w:rFonts w:ascii="Times New Roman;serif" w:hAnsi="Times New Roman;serif"/>
          <w:b/>
          <w:i/>
          <w:sz w:val="20"/>
        </w:rPr>
        <w:t>Liability Related to the Sales of Future Royalties and Non-Cash Interest Expense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recognizes a liability related to the sales of future royalties under ASC 470-10 Debt and ASC 835-30 Interest - Imputation of Interest. The initial funds received by the Company pursuant to the terms of the Purchase and Sale Agreement were recorded as a liability and will be accreted under the effective interest method up to the estimated amount of future royalties and milestone payments to be made under the Purchase and Sale Agreement. The issuance costs were recorded as a direct deduction to the carrying amount of the liability and will be amortized under the effective interest method over the estimated period the liability will be repaid. The Company estimated the total amount of future royalty revenue and milestone payments to be generated over the life of the Purchase and Sale Agreement, and a significant increase or decrease in these estimates could materially impact the liability balance and the related interest expense. If the timing of the receipt of royalty payments or milestones is materially different from the original estimates, the Company will prospectively adjust the effective interest and the related amortization of the liability and related issuance costs.</w:t>
      </w:r>
    </w:p>
    <w:p>
      <w:pPr>
        <w:pStyle w:val="TextBody"/>
        <w:bidi w:val="0"/>
        <w:spacing w:before="240" w:after="0"/>
        <w:jc w:val="left"/>
        <w:rPr>
          <w:rFonts w:ascii="Times New Roman;serif" w:hAnsi="Times New Roman;serif"/>
          <w:b/>
          <w:sz w:val="20"/>
        </w:rPr>
      </w:pPr>
      <w:r>
        <w:rPr>
          <w:rFonts w:ascii="Times New Roman;serif" w:hAnsi="Times New Roman;serif"/>
          <w:b/>
          <w:sz w:val="20"/>
        </w:rPr>
        <w:t>3. Property and Equipment, Net</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Property and equipment, net consisted of the following (dollar amounts in thousands):</w:t>
      </w:r>
    </w:p>
    <w:tbl>
      <w:tblPr>
        <w:tblW w:w="6797" w:type="dxa"/>
        <w:jc w:val="left"/>
        <w:tblInd w:w="0" w:type="dxa"/>
        <w:tblLayout w:type="fixed"/>
        <w:tblCellMar>
          <w:top w:w="28" w:type="dxa"/>
          <w:left w:w="28" w:type="dxa"/>
          <w:bottom w:w="28" w:type="dxa"/>
          <w:right w:w="28" w:type="dxa"/>
        </w:tblCellMar>
      </w:tblPr>
      <w:tblGrid>
        <w:gridCol w:w="2731"/>
        <w:gridCol w:w="146"/>
        <w:gridCol w:w="1126"/>
        <w:gridCol w:w="146"/>
        <w:gridCol w:w="239"/>
        <w:gridCol w:w="646"/>
        <w:gridCol w:w="166"/>
        <w:gridCol w:w="146"/>
        <w:gridCol w:w="307"/>
        <w:gridCol w:w="833"/>
        <w:gridCol w:w="31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7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Estimated</w:t>
              <w:br/>
              <w:t>Useful Lives</w:t>
              <w:br/>
              <w:t>(Years)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March 31,</w:t>
              <w:b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8"/>
              </w:rPr>
            </w:pPr>
            <w:r>
              <w:rPr>
                <w:rFonts w:ascii="Times New Roman;serif" w:hAnsi="Times New Roman;serif"/>
                <w:b/>
                <w:sz w:val="18"/>
              </w:rPr>
              <w:t>December</w:t>
            </w:r>
            <w:r>
              <w:rPr>
                <w:rFonts w:ascii="Times New Roman" w:hAnsi="Times New Roman"/>
                <w:sz w:val="18"/>
              </w:rPr>
              <w:t xml:space="preserve"> </w:t>
            </w:r>
            <w:r>
              <w:rPr>
                <w:rFonts w:ascii="Times New Roman;serif" w:hAnsi="Times New Roman;serif"/>
                <w:b/>
                <w:sz w:val="18"/>
              </w:rPr>
              <w:t>31,</w:t>
              <w:br/>
              <w:t>2022</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Furniture and fixtures</w:t>
            </w:r>
          </w:p>
        </w:tc>
        <w:tc>
          <w:tcPr>
            <w:tcW w:w="14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5</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w:t>
            </w:r>
          </w:p>
        </w:tc>
        <w:tc>
          <w:tcPr>
            <w:tcW w:w="311" w:type="dxa"/>
            <w:tcBorders/>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Machinery and equipment</w:t>
            </w:r>
          </w:p>
        </w:tc>
        <w:tc>
          <w:tcPr>
            <w:tcW w:w="14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5</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7"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343</w:t>
            </w:r>
          </w:p>
        </w:tc>
        <w:tc>
          <w:tcPr>
            <w:tcW w:w="311" w:type="dxa"/>
            <w:tcBorders/>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Computer equipment</w:t>
            </w:r>
          </w:p>
        </w:tc>
        <w:tc>
          <w:tcPr>
            <w:tcW w:w="14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7"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311" w:type="dxa"/>
            <w:tcBorders/>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Leasehold improvements</w:t>
            </w:r>
          </w:p>
        </w:tc>
        <w:tc>
          <w:tcPr>
            <w:tcW w:w="14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serif" w:hAnsi="Times New Roman;serif"/>
                <w:sz w:val="20"/>
              </w:rPr>
            </w:pPr>
            <w:r>
              <w:rPr>
                <w:rFonts w:ascii="Times New Roman;serif" w:hAnsi="Times New Roman;serif"/>
                <w:b w:val="false"/>
                <w:sz w:val="20"/>
              </w:rPr>
              <w:t>Lesser of</w:t>
              <w:br/>
              <w:t>useful life</w:t>
            </w:r>
            <w:r>
              <w:rPr>
                <w:rFonts w:ascii="Times New Roman;serif" w:hAnsi="Times New Roman;serif"/>
                <w:sz w:val="20"/>
              </w:rPr>
              <w:t xml:space="preserve"> </w:t>
            </w:r>
            <w:r>
              <w:rPr>
                <w:rFonts w:ascii="Times New Roman;serif" w:hAnsi="Times New Roman;serif"/>
                <w:b w:val="false"/>
                <w:sz w:val="20"/>
              </w:rPr>
              <w:t>or</w:t>
              <w:br/>
              <w:t>remaining</w:t>
              <w:br/>
              <w:t>lease term</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7"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476</w:t>
            </w:r>
          </w:p>
        </w:tc>
        <w:tc>
          <w:tcPr>
            <w:tcW w:w="311" w:type="dxa"/>
            <w:tcBorders/>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Work in process</w:t>
            </w:r>
          </w:p>
        </w:tc>
        <w:tc>
          <w:tcPr>
            <w:tcW w:w="14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527</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273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property and equipment</w:t>
            </w:r>
          </w:p>
        </w:tc>
        <w:tc>
          <w:tcPr>
            <w:tcW w:w="14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7"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1,608</w:t>
            </w:r>
          </w:p>
        </w:tc>
        <w:tc>
          <w:tcPr>
            <w:tcW w:w="311" w:type="dxa"/>
            <w:tcBorders/>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Accumulated depreciation</w:t>
            </w:r>
          </w:p>
        </w:tc>
        <w:tc>
          <w:tcPr>
            <w:tcW w:w="14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(853</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273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755</w:t>
            </w:r>
          </w:p>
        </w:tc>
        <w:tc>
          <w:tcPr>
            <w:tcW w:w="3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left"/>
        <w:rPr>
          <w:rFonts w:ascii="Times New Roman;serif" w:hAnsi="Times New Roman;serif"/>
          <w:b/>
          <w:sz w:val="20"/>
        </w:rPr>
      </w:pPr>
      <w:r>
        <w:rPr>
          <w:rFonts w:ascii="Times New Roman;serif" w:hAnsi="Times New Roman;serif"/>
          <w:b/>
          <w:sz w:val="20"/>
        </w:rPr>
        <w:t>4. Accrued Liabilities</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Accrued liabilities consisted of the following (in thousands):</w:t>
      </w:r>
    </w:p>
    <w:tbl>
      <w:tblPr>
        <w:tblW w:w="5610" w:type="dxa"/>
        <w:jc w:val="left"/>
        <w:tblInd w:w="0" w:type="dxa"/>
        <w:tblLayout w:type="fixed"/>
        <w:tblCellMar>
          <w:top w:w="28" w:type="dxa"/>
          <w:left w:w="28" w:type="dxa"/>
          <w:bottom w:w="28" w:type="dxa"/>
          <w:right w:w="28" w:type="dxa"/>
        </w:tblCellMar>
      </w:tblPr>
      <w:tblGrid>
        <w:gridCol w:w="2956"/>
        <w:gridCol w:w="146"/>
        <w:gridCol w:w="239"/>
        <w:gridCol w:w="646"/>
        <w:gridCol w:w="146"/>
        <w:gridCol w:w="146"/>
        <w:gridCol w:w="307"/>
        <w:gridCol w:w="833"/>
        <w:gridCol w:w="1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5"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March 31,</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0" w:type="dxa"/>
            <w:gridSpan w:val="2"/>
            <w:tcBorders/>
            <w:vAlign w:val="center"/>
          </w:tcPr>
          <w:p>
            <w:pPr>
              <w:pStyle w:val="TableContents"/>
              <w:bidi w:val="0"/>
              <w:spacing w:before="0" w:after="0"/>
              <w:ind w:left="0" w:right="0" w:hanging="0"/>
              <w:jc w:val="center"/>
              <w:rPr>
                <w:rFonts w:ascii="Times New Roman" w:hAnsi="Times New Roman"/>
                <w:sz w:val="18"/>
              </w:rPr>
            </w:pPr>
            <w:r>
              <w:rPr>
                <w:rFonts w:ascii="Times New Roman;serif" w:hAnsi="Times New Roman;serif"/>
                <w:b/>
                <w:sz w:val="18"/>
              </w:rPr>
              <w:t>December</w:t>
            </w:r>
            <w:r>
              <w:rPr>
                <w:rFonts w:ascii="Times New Roman" w:hAnsi="Times New Roman"/>
                <w:sz w:val="18"/>
              </w:rPr>
              <w:t xml:space="preserve"> </w:t>
            </w:r>
            <w:r>
              <w:rPr>
                <w:rFonts w:ascii="Times New Roman;serif" w:hAnsi="Times New Roman;serif"/>
                <w:b/>
                <w:sz w:val="18"/>
              </w:rPr>
              <w:t>31,</w:t>
            </w:r>
          </w:p>
        </w:tc>
        <w:tc>
          <w:tcPr>
            <w:tcW w:w="191" w:type="dxa"/>
            <w:tcBorders/>
            <w:vAlign w:val="center"/>
          </w:tcPr>
          <w:p>
            <w:pPr>
              <w:pStyle w:val="TableContents"/>
              <w:bidi w:val="0"/>
              <w:spacing w:before="0" w:after="0"/>
              <w:ind w:left="0" w:right="0" w:hanging="0"/>
              <w:jc w:val="center"/>
              <w:rPr/>
            </w:pPr>
            <w:r>
              <w:rPr/>
              <w:t> </w:t>
            </w:r>
          </w:p>
        </w:tc>
      </w:tr>
      <w:tr>
        <w:trPr/>
        <w:tc>
          <w:tcPr>
            <w:tcW w:w="29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research and development</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1,817</w:t>
            </w:r>
          </w:p>
        </w:tc>
        <w:tc>
          <w:tcPr>
            <w:tcW w:w="191" w:type="dxa"/>
            <w:tcBorders/>
            <w:vAlign w:val="center"/>
          </w:tcPr>
          <w:p>
            <w:pPr>
              <w:pStyle w:val="TableContents"/>
              <w:bidi w:val="0"/>
              <w:spacing w:before="0" w:after="0"/>
              <w:ind w:left="0" w:right="0" w:hanging="0"/>
              <w:jc w:val="left"/>
              <w:rPr/>
            </w:pPr>
            <w:r>
              <w:rPr/>
              <w:t> </w:t>
            </w:r>
          </w:p>
        </w:tc>
      </w:tr>
      <w:tr>
        <w:trPr/>
        <w:tc>
          <w:tcPr>
            <w:tcW w:w="29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employee costs</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7"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1,837</w:t>
            </w:r>
          </w:p>
        </w:tc>
        <w:tc>
          <w:tcPr>
            <w:tcW w:w="191" w:type="dxa"/>
            <w:tcBorders/>
            <w:vAlign w:val="center"/>
          </w:tcPr>
          <w:p>
            <w:pPr>
              <w:pStyle w:val="TableContents"/>
              <w:bidi w:val="0"/>
              <w:spacing w:before="0" w:after="0"/>
              <w:ind w:left="0" w:right="0" w:hanging="0"/>
              <w:jc w:val="left"/>
              <w:rPr/>
            </w:pPr>
            <w:r>
              <w:rPr/>
              <w:t> </w:t>
            </w:r>
          </w:p>
        </w:tc>
      </w:tr>
      <w:tr>
        <w:trPr/>
        <w:tc>
          <w:tcPr>
            <w:tcW w:w="29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professional fees</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7"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191" w:type="dxa"/>
            <w:tcBorders/>
            <w:vAlign w:val="center"/>
          </w:tcPr>
          <w:p>
            <w:pPr>
              <w:pStyle w:val="TableContents"/>
              <w:bidi w:val="0"/>
              <w:spacing w:before="0" w:after="0"/>
              <w:ind w:left="0" w:right="0" w:hanging="0"/>
              <w:jc w:val="left"/>
              <w:rPr/>
            </w:pPr>
            <w:r>
              <w:rPr/>
              <w:t> </w:t>
            </w:r>
          </w:p>
        </w:tc>
      </w:tr>
      <w:tr>
        <w:trPr/>
        <w:tc>
          <w:tcPr>
            <w:tcW w:w="29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expense</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476</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9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4,179</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120"/>
        <w:jc w:val="left"/>
        <w:rPr>
          <w:rFonts w:ascii="Times New Roman" w:hAnsi="Times New Roman"/>
          <w:sz w:val="20"/>
        </w:rPr>
      </w:pPr>
      <w:r>
        <w:rPr>
          <w:rFonts w:ascii="Times New Roman;serif" w:hAnsi="Times New Roman;serif"/>
          <w:b/>
          <w:sz w:val="20"/>
        </w:rPr>
        <w:t>5</w:t>
      </w:r>
      <w:r>
        <w:rPr>
          <w:rFonts w:ascii="Times New Roman;serif" w:hAnsi="Times New Roman;serif"/>
          <w:b w:val="false"/>
          <w:sz w:val="20"/>
        </w:rPr>
        <w:t xml:space="preserve">. </w:t>
      </w:r>
      <w:r>
        <w:rPr>
          <w:rFonts w:ascii="Times New Roman;serif" w:hAnsi="Times New Roman;serif"/>
          <w:b/>
          <w:sz w:val="20"/>
        </w:rPr>
        <w:t>Royalty Purchase and Sale Agreement</w:t>
      </w:r>
    </w:p>
    <w:p>
      <w:pPr>
        <w:pStyle w:val="TextBody"/>
        <w:bidi w:val="0"/>
        <w:spacing w:before="120" w:after="0"/>
        <w:jc w:val="left"/>
        <w:rPr>
          <w:rFonts w:ascii="Times New Roman" w:hAnsi="Times New Roman"/>
          <w:sz w:val="20"/>
        </w:rPr>
      </w:pPr>
      <w:r>
        <w:rPr>
          <w:rFonts w:ascii="Times New Roman;serif" w:hAnsi="Times New Roman;serif"/>
          <w:b w:val="false"/>
          <w:sz w:val="20"/>
        </w:rPr>
        <w:t>On August 8, 2022 (the “Closing Date”), the Company, through Royalty Sub, entered into the Purchase and Sale Agreement with HCR, pursuant to which Royalty Sub sold to HCR certain of its rights to receive royalty and milestone payments payable to Royalty Sub under the Arctic Vision License Agreement, the Bausch License Agreement, that certain License Agreement, effective as of July 3, 2019, by and between the Company and Aura Biosciences, Inc. (the “Aura License Agreement”), that certain Option and License Agreement, dated as of August 29, 2019, by and between REGENXBIO Inc. and the Company (the “REGENXBIO License Agreement”) and any and all out-license agreements following the Closing Date for, or related to XIPERE or the SCS Microinjector technology (to be used in connection with compounds or products of any third parties) delivered, in whole or in part, by means of the SCS Microinjector technology), excluding, for the avoidance of doubt, any in-licensed or internally developed therapies following the Closing Date (collectively, the “Royalties”), in exchange for up to $65</w:t>
      </w:r>
      <w:r>
        <w:rPr>
          <w:rFonts w:ascii="Times New Roman" w:hAnsi="Times New Roman"/>
          <w:sz w:val="20"/>
        </w:rPr>
        <w:t xml:space="preserve"> </w:t>
      </w:r>
      <w:r>
        <w:rPr>
          <w:rFonts w:ascii="Times New Roman;serif" w:hAnsi="Times New Roman;serif"/>
          <w:b w:val="false"/>
          <w:sz w:val="20"/>
        </w:rPr>
        <w:t>million. In connection with this transaction, the Company assigned the Arctic Vision License Agreement, Bausch License Agreement, Aura License Agreement, REGENXBIO License Agreement, the Company's license agreement with Emory University and The Georgia Tech Research Corporation and related intellectual property rights to Royalty Sub.</w:t>
      </w:r>
    </w:p>
    <w:p>
      <w:pPr>
        <w:pStyle w:val="TextBody"/>
        <w:bidi w:val="0"/>
        <w:spacing w:before="120" w:after="0"/>
        <w:jc w:val="left"/>
        <w:rPr>
          <w:rFonts w:ascii="Times New Roman" w:hAnsi="Times New Roman"/>
          <w:sz w:val="20"/>
        </w:rPr>
      </w:pPr>
      <w:r>
        <w:rPr>
          <w:rFonts w:ascii="Times New Roman;serif" w:hAnsi="Times New Roman;serif"/>
          <w:b w:val="false"/>
          <w:sz w:val="20"/>
        </w:rPr>
        <w:t>Under the terms of the Purchase and Sale Agreement, Royalty Sub received an initial payment of $32.1</w:t>
      </w:r>
      <w:r>
        <w:rPr>
          <w:rFonts w:ascii="Times New Roman" w:hAnsi="Times New Roman"/>
          <w:sz w:val="20"/>
        </w:rPr>
        <w:t xml:space="preserve"> </w:t>
      </w:r>
      <w:r>
        <w:rPr>
          <w:rFonts w:ascii="Times New Roman;serif" w:hAnsi="Times New Roman;serif"/>
          <w:b w:val="false"/>
          <w:sz w:val="20"/>
        </w:rPr>
        <w:t>million, representing the $32.5</w:t>
      </w:r>
      <w:r>
        <w:rPr>
          <w:rFonts w:ascii="Times New Roman" w:hAnsi="Times New Roman"/>
          <w:sz w:val="20"/>
        </w:rPr>
        <w:t xml:space="preserve"> </w:t>
      </w:r>
      <w:r>
        <w:rPr>
          <w:rFonts w:ascii="Times New Roman;serif" w:hAnsi="Times New Roman;serif"/>
          <w:b w:val="false"/>
          <w:sz w:val="20"/>
        </w:rPr>
        <w:t>million to which the Company was entitled, net of certain of HCR's transaction-related expenses which the Company agreed to reimburse. There were additional issuance costs of $1.5</w:t>
      </w:r>
      <w:r>
        <w:rPr>
          <w:rFonts w:ascii="Times New Roman" w:hAnsi="Times New Roman"/>
          <w:sz w:val="20"/>
        </w:rPr>
        <w:t xml:space="preserve"> </w:t>
      </w:r>
      <w:r>
        <w:rPr>
          <w:rFonts w:ascii="Times New Roman;serif" w:hAnsi="Times New Roman;serif"/>
          <w:b w:val="false"/>
          <w:sz w:val="20"/>
        </w:rPr>
        <w:t>million related to the Purchase and Sale Agreement resulting in net proceeds of $30.6</w:t>
      </w:r>
      <w:r>
        <w:rPr>
          <w:rFonts w:ascii="Times New Roman" w:hAnsi="Times New Roman"/>
          <w:sz w:val="20"/>
        </w:rPr>
        <w:t xml:space="preserve"> </w:t>
      </w:r>
      <w:r>
        <w:rPr>
          <w:rFonts w:ascii="Times New Roman;serif" w:hAnsi="Times New Roman;serif"/>
          <w:b w:val="false"/>
          <w:sz w:val="20"/>
        </w:rPr>
        <w:t>million. An additional $12.5</w:t>
      </w:r>
      <w:r>
        <w:rPr>
          <w:rFonts w:ascii="Times New Roman" w:hAnsi="Times New Roman"/>
          <w:sz w:val="20"/>
        </w:rPr>
        <w:t xml:space="preserve"> </w:t>
      </w:r>
      <w:r>
        <w:rPr>
          <w:rFonts w:ascii="Times New Roman;serif" w:hAnsi="Times New Roman;serif"/>
          <w:b w:val="false"/>
          <w:sz w:val="20"/>
        </w:rPr>
        <w:t>million was deposited by HCR in an escrow account to be released to Royalty Sub upon attainment of a pre-specified XIPERE sales milestone achieved no later than March 31, 2024. The terms of the Purchase and Sale Agreement also provide for an additional $20</w:t>
      </w:r>
      <w:r>
        <w:rPr>
          <w:rFonts w:ascii="Times New Roman" w:hAnsi="Times New Roman"/>
          <w:sz w:val="20"/>
        </w:rPr>
        <w:t xml:space="preserve"> </w:t>
      </w:r>
      <w:r>
        <w:rPr>
          <w:rFonts w:ascii="Times New Roman;serif" w:hAnsi="Times New Roman;serif"/>
          <w:b w:val="false"/>
          <w:sz w:val="20"/>
        </w:rPr>
        <w:t>million milestone payment to Royalty Sub upon attainment of a second pre-specified sales milestone related to 2024 XIPERE sales (the "Second Milestone Event").</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Purchase and Sale Agreement will automatically expire, and the payment of Royalties from the Royalty Sub to HCR will cease, when HCR has received payments of the Royalties equal to 2.5 times the aggregate amount of payments made by HCR under the Agreement if the Second Milestone Event is achieved on or prior to December 31, 2024 (the “Initial Cap”). If the Second Milestone Event is not achieved on or prior to December 31, 2024, payment of Royalties from Royalty Sub to HCR will cease when HCR has received Royalties payments equal to 3.4 times the aggregate amount of payments under the Purchase and Sale Agreement (the “Alternative Cap”, and together with the Initial Cap, the “Cap Amount”). In the event of a change in control, acquiror will have the option to make a payment to HCR of the Cap Amount then in effect, less the aggregate amount of Royalty payments made by Royalty Sub to HCR under the Purchase and Sale Agreement as a one-time payment at which time, payment of Royalties to HCR will cease. Alternatively, in the event of a change in control, the acquiror will have the option to make an initial payment of 1.0 times the aggregate amount of payments made by HCR under the Purchase and Sale Agreement as of the date of such change in control, then in that event, payment of Royalties from Royalty Sub to HCR will cease when HCR has received total Royalties payments (including the initial payment) equal to the Alternative Cap. After the Purchase and Sale Agreement expires, all rights to receive the Royalties return to Royalty Sub.</w:t>
      </w:r>
    </w:p>
    <w:p>
      <w:pPr>
        <w:pStyle w:val="TextBody"/>
        <w:bidi w:val="0"/>
        <w:spacing w:before="120" w:after="0"/>
        <w:jc w:val="left"/>
        <w:rPr>
          <w:rFonts w:ascii="Times New Roman" w:hAnsi="Times New Roman"/>
          <w:sz w:val="20"/>
        </w:rPr>
      </w:pPr>
      <w:r>
        <w:rPr>
          <w:rFonts w:ascii="Times New Roman;serif" w:hAnsi="Times New Roman;serif"/>
          <w:b w:val="false"/>
          <w:sz w:val="20"/>
        </w:rPr>
        <w:t>Issuance costs pursuant to the Purchase and Sale Agreement consisting primarily of advisory and legal fees, totaled $1.9</w:t>
      </w:r>
      <w:r>
        <w:rPr>
          <w:rFonts w:ascii="Times New Roman" w:hAnsi="Times New Roman"/>
          <w:sz w:val="20"/>
        </w:rPr>
        <w:t xml:space="preserve"> </w:t>
      </w:r>
      <w:r>
        <w:rPr>
          <w:rFonts w:ascii="Times New Roman;serif" w:hAnsi="Times New Roman;serif"/>
          <w:b w:val="false"/>
          <w:sz w:val="20"/>
        </w:rPr>
        <w:t>million including the amount of HCR's transaction-related expenses that the Company reimbursed. The effective interest rate includes cash flow projections for future royalty and milestone payments, which are sensitive to certain assumptions, including market size, market penetration and sales price, that are forward looking and could be affected by future market conditions.</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The following table summarizes the activity of the Purchase and Sale Agreement (in thousands):</w:t>
        <w:br/>
        <w:br/>
      </w:r>
      <w:r>
        <w:rPr>
          <w:rFonts w:ascii="Times New Roman" w:hAnsi="Times New Roman"/>
          <w:sz w:val="20"/>
        </w:rPr>
        <w:t> </w:t>
      </w:r>
    </w:p>
    <w:tbl>
      <w:tblPr>
        <w:tblW w:w="6975" w:type="dxa"/>
        <w:jc w:val="left"/>
        <w:tblInd w:w="0" w:type="dxa"/>
        <w:tblLayout w:type="fixed"/>
        <w:tblCellMar>
          <w:top w:w="28" w:type="dxa"/>
          <w:left w:w="28" w:type="dxa"/>
          <w:bottom w:w="28" w:type="dxa"/>
          <w:right w:w="28" w:type="dxa"/>
        </w:tblCellMar>
      </w:tblPr>
      <w:tblGrid>
        <w:gridCol w:w="5626"/>
        <w:gridCol w:w="146"/>
        <w:gridCol w:w="211"/>
        <w:gridCol w:w="676"/>
        <w:gridCol w:w="316"/>
      </w:tblGrid>
      <w:tr>
        <w:trPr/>
        <w:tc>
          <w:tcPr>
            <w:tcW w:w="5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6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Royalty purchase and sale agreement balance at December 31, 2022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33,977</w:t>
            </w:r>
          </w:p>
        </w:tc>
        <w:tc>
          <w:tcPr>
            <w:tcW w:w="316" w:type="dxa"/>
            <w:tcBorders/>
            <w:vAlign w:val="center"/>
          </w:tcPr>
          <w:p>
            <w:pPr>
              <w:pStyle w:val="TableContents"/>
              <w:bidi w:val="0"/>
              <w:spacing w:before="0" w:after="0"/>
              <w:ind w:left="0" w:right="0" w:hanging="0"/>
              <w:jc w:val="left"/>
              <w:rPr/>
            </w:pPr>
            <w:r>
              <w:rPr/>
              <w:t> </w:t>
            </w:r>
          </w:p>
        </w:tc>
      </w:tr>
      <w:tr>
        <w:trPr/>
        <w:tc>
          <w:tcPr>
            <w:tcW w:w="56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Non-cash interest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2,167</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6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March 31, 2023</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36,144</w:t>
            </w:r>
          </w:p>
        </w:tc>
        <w:tc>
          <w:tcPr>
            <w:tcW w:w="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6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56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Effective interest rate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26.5</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240" w:after="0"/>
        <w:jc w:val="left"/>
        <w:rPr>
          <w:rFonts w:ascii="Times New Roman;serif" w:hAnsi="Times New Roman;serif"/>
          <w:b/>
          <w:sz w:val="20"/>
        </w:rPr>
      </w:pPr>
      <w:r>
        <w:rPr>
          <w:rFonts w:ascii="Times New Roman;serif" w:hAnsi="Times New Roman;serif"/>
          <w:b/>
          <w:sz w:val="20"/>
        </w:rPr>
        <w:t>6. Common Stock</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Company’s amended and restated certificate of incorporation authorizes the Company to issue 200,000,000</w:t>
      </w:r>
      <w:r>
        <w:rPr>
          <w:rFonts w:ascii="Times New Roman" w:hAnsi="Times New Roman"/>
          <w:sz w:val="20"/>
        </w:rPr>
        <w:t xml:space="preserve"> </w:t>
      </w:r>
      <w:r>
        <w:rPr>
          <w:rFonts w:ascii="Times New Roman;serif" w:hAnsi="Times New Roman;serif"/>
          <w:b w:val="false"/>
          <w:sz w:val="20"/>
        </w:rPr>
        <w:t>shares of $0.001</w:t>
      </w:r>
      <w:r>
        <w:rPr>
          <w:rFonts w:ascii="Times New Roman" w:hAnsi="Times New Roman"/>
          <w:sz w:val="20"/>
        </w:rPr>
        <w:t xml:space="preserve"> </w:t>
      </w:r>
      <w:r>
        <w:rPr>
          <w:rFonts w:ascii="Times New Roman;serif" w:hAnsi="Times New Roman;serif"/>
          <w:b w:val="false"/>
          <w:sz w:val="20"/>
        </w:rPr>
        <w:t>par value common stock. As of March 31, 2023 and December 31, 2022, there were 61,364,299</w:t>
      </w:r>
      <w:r>
        <w:rPr>
          <w:rFonts w:ascii="Times New Roman" w:hAnsi="Times New Roman"/>
          <w:sz w:val="20"/>
        </w:rPr>
        <w:t xml:space="preserve"> </w:t>
      </w:r>
      <w:r>
        <w:rPr>
          <w:rFonts w:ascii="Times New Roman;serif" w:hAnsi="Times New Roman;serif"/>
          <w:b w:val="false"/>
          <w:sz w:val="20"/>
        </w:rPr>
        <w:t>and 60,639,827</w:t>
      </w:r>
      <w:r>
        <w:rPr>
          <w:rFonts w:ascii="Times New Roman" w:hAnsi="Times New Roman"/>
          <w:sz w:val="20"/>
        </w:rPr>
        <w:t xml:space="preserve"> </w:t>
      </w:r>
      <w:r>
        <w:rPr>
          <w:rFonts w:ascii="Times New Roman;serif" w:hAnsi="Times New Roman;serif"/>
          <w:b w:val="false"/>
          <w:sz w:val="20"/>
        </w:rPr>
        <w:t>shares of common stock outstanding, respectively.</w:t>
      </w:r>
    </w:p>
    <w:p>
      <w:pPr>
        <w:pStyle w:val="TextBody"/>
        <w:bidi w:val="0"/>
        <w:spacing w:before="240" w:after="0"/>
        <w:jc w:val="left"/>
        <w:rPr>
          <w:rFonts w:ascii="Times New Roman;serif" w:hAnsi="Times New Roman;serif"/>
          <w:b/>
          <w:sz w:val="20"/>
        </w:rPr>
      </w:pPr>
      <w:r>
        <w:rPr>
          <w:rFonts w:ascii="Times New Roman;serif" w:hAnsi="Times New Roman;serif"/>
          <w:b/>
          <w:sz w:val="20"/>
        </w:rPr>
        <w:t>7. Stock Purchase Warrants</w:t>
      </w:r>
    </w:p>
    <w:p>
      <w:pPr>
        <w:pStyle w:val="TextBody"/>
        <w:bidi w:val="0"/>
        <w:spacing w:before="120" w:after="0"/>
        <w:jc w:val="left"/>
        <w:rPr>
          <w:rFonts w:ascii="Times New Roman" w:hAnsi="Times New Roman"/>
          <w:sz w:val="20"/>
        </w:rPr>
      </w:pPr>
      <w:r>
        <w:rPr>
          <w:rFonts w:ascii="Times New Roman;serif" w:hAnsi="Times New Roman;serif"/>
          <w:b w:val="false"/>
          <w:sz w:val="20"/>
        </w:rPr>
        <w:t>In September 2016, in connection with a loan agreement, the Company issued warrants to purchase up to 29,796</w:t>
      </w:r>
      <w:r>
        <w:rPr>
          <w:rFonts w:ascii="Times New Roman" w:hAnsi="Times New Roman"/>
          <w:sz w:val="20"/>
        </w:rPr>
        <w:t xml:space="preserve"> </w:t>
      </w:r>
      <w:r>
        <w:rPr>
          <w:rFonts w:ascii="Times New Roman;serif" w:hAnsi="Times New Roman;serif"/>
          <w:b w:val="false"/>
          <w:sz w:val="20"/>
        </w:rPr>
        <w:t>shares of common stock at a price per share of $10.74. The warrants expire in September 2026, or earlier upon the occurrence of specified mergers or acquisitions of the Company, and are immediately exercisable. The warrants were recorded in equity and had a weighted average remaining life of 3.5</w:t>
      </w:r>
      <w:r>
        <w:rPr>
          <w:rFonts w:ascii="Times New Roman" w:hAnsi="Times New Roman"/>
          <w:sz w:val="20"/>
        </w:rPr>
        <w:t xml:space="preserve"> </w:t>
      </w:r>
      <w:r>
        <w:rPr>
          <w:rFonts w:ascii="Times New Roman;serif" w:hAnsi="Times New Roman;serif"/>
          <w:b w:val="false"/>
          <w:sz w:val="20"/>
        </w:rPr>
        <w:t>years as of March 31, 2023.</w:t>
      </w:r>
    </w:p>
    <w:p>
      <w:pPr>
        <w:pStyle w:val="TextBody"/>
        <w:bidi w:val="0"/>
        <w:spacing w:before="240" w:after="0"/>
        <w:jc w:val="left"/>
        <w:rPr>
          <w:rFonts w:ascii="Times New Roman;serif" w:hAnsi="Times New Roman;serif"/>
          <w:b/>
          <w:sz w:val="20"/>
        </w:rPr>
      </w:pPr>
      <w:r>
        <w:rPr>
          <w:rFonts w:ascii="Times New Roman;serif" w:hAnsi="Times New Roman;serif"/>
          <w:b/>
          <w:sz w:val="20"/>
        </w:rPr>
        <w:t>8. Share-Based Compensation</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Share-based compensation is accounted for in accordance with the provisions of ASC 718, </w:t>
      </w:r>
      <w:r>
        <w:rPr>
          <w:rFonts w:ascii="Times New Roman;serif" w:hAnsi="Times New Roman;serif"/>
          <w:b w:val="false"/>
          <w:i/>
          <w:sz w:val="20"/>
        </w:rPr>
        <w:t>Compensation-Stock Compensation</w:t>
      </w:r>
      <w:r>
        <w:rPr>
          <w:rFonts w:ascii="Times New Roman;serif" w:hAnsi="Times New Roman;serif"/>
          <w:b w:val="false"/>
          <w:sz w:val="20"/>
        </w:rPr>
        <w:t>.</w:t>
      </w:r>
      <w:r>
        <w:rPr>
          <w:rFonts w:ascii="Times New Roman" w:hAnsi="Times New Roman"/>
          <w:sz w:val="20"/>
        </w:rPr>
        <w:t xml:space="preserve"> </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Stock Options</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has granted stock option awards to employees, directors and consultants from its 2011 Stock Incentive Plan (the “2011 Plan”) and its 2016 Equity Incentive Plan (the “2016 Plan”). The estimated fair value of options granted is determined as of the date of grant using the Black-Scholes option pricing model. The resulting fair value is recognized ratably over the requisite service period, which is generally the vesting period of the awards.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Share-based compensation expense for options granted under the 2011 Plan and the 2016 Plan is reflected in the statements of operations as follows (in thousands):</w:t>
      </w:r>
    </w:p>
    <w:p>
      <w:pPr>
        <w:pStyle w:val="TextBody"/>
        <w:bidi w:val="0"/>
        <w:spacing w:before="0" w:after="0"/>
        <w:jc w:val="left"/>
        <w:rPr/>
      </w:pPr>
      <w:r>
        <w:rPr/>
        <w:t> </w:t>
      </w:r>
    </w:p>
    <w:tbl>
      <w:tblPr>
        <w:tblW w:w="4602" w:type="dxa"/>
        <w:jc w:val="left"/>
        <w:tblInd w:w="0" w:type="dxa"/>
        <w:tblLayout w:type="fixed"/>
        <w:tblCellMar>
          <w:top w:w="28" w:type="dxa"/>
          <w:left w:w="28" w:type="dxa"/>
          <w:bottom w:w="28" w:type="dxa"/>
          <w:right w:w="28" w:type="dxa"/>
        </w:tblCellMar>
      </w:tblPr>
      <w:tblGrid>
        <w:gridCol w:w="2311"/>
        <w:gridCol w:w="146"/>
        <w:gridCol w:w="238"/>
        <w:gridCol w:w="475"/>
        <w:gridCol w:w="164"/>
        <w:gridCol w:w="164"/>
        <w:gridCol w:w="238"/>
        <w:gridCol w:w="475"/>
        <w:gridCol w:w="3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Three Months Ended</w:t>
              <w:br/>
              <w:t>March 31,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1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1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4" w:type="dxa"/>
            <w:tcBorders/>
            <w:vAlign w:val="center"/>
          </w:tcPr>
          <w:p>
            <w:pPr>
              <w:pStyle w:val="TableContents"/>
              <w:bidi w:val="0"/>
              <w:spacing w:before="0" w:after="0"/>
              <w:ind w:left="0" w:right="0" w:hanging="0"/>
              <w:jc w:val="left"/>
              <w:rPr/>
            </w:pPr>
            <w:r>
              <w:rPr/>
              <w:t> </w:t>
            </w:r>
          </w:p>
        </w:tc>
        <w:tc>
          <w:tcPr>
            <w:tcW w:w="71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311</w:t>
            </w:r>
          </w:p>
        </w:tc>
        <w:tc>
          <w:tcPr>
            <w:tcW w:w="164" w:type="dxa"/>
            <w:tcBorders/>
            <w:vAlign w:val="center"/>
          </w:tcPr>
          <w:p>
            <w:pPr>
              <w:pStyle w:val="TableContents"/>
              <w:bidi w:val="0"/>
              <w:spacing w:before="0" w:after="0"/>
              <w:ind w:left="0" w:right="0" w:hanging="0"/>
              <w:jc w:val="left"/>
              <w:rPr/>
            </w:pPr>
            <w:r>
              <w:rPr/>
              <w:t> </w:t>
            </w:r>
          </w:p>
        </w:tc>
        <w:tc>
          <w:tcPr>
            <w:tcW w:w="164"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402</w:t>
            </w:r>
          </w:p>
        </w:tc>
        <w:tc>
          <w:tcPr>
            <w:tcW w:w="391" w:type="dxa"/>
            <w:tcBorders/>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396</w:t>
            </w:r>
          </w:p>
        </w:tc>
        <w:tc>
          <w:tcPr>
            <w:tcW w:w="1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4" w:type="dxa"/>
            <w:tcBorders/>
            <w:vAlign w:val="center"/>
          </w:tcPr>
          <w:p>
            <w:pPr>
              <w:pStyle w:val="TableContents"/>
              <w:bidi w:val="0"/>
              <w:spacing w:before="0" w:after="0"/>
              <w:ind w:left="0" w:right="0" w:hanging="0"/>
              <w:jc w:val="left"/>
              <w:rPr/>
            </w:pPr>
            <w:r>
              <w:rPr/>
              <w:t> </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514</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3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707</w:t>
            </w:r>
          </w:p>
        </w:tc>
        <w:tc>
          <w:tcPr>
            <w:tcW w:w="1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4" w:type="dxa"/>
            <w:tcBorders/>
            <w:vAlign w:val="center"/>
          </w:tcPr>
          <w:p>
            <w:pPr>
              <w:pStyle w:val="TableContents"/>
              <w:bidi w:val="0"/>
              <w:spacing w:before="0" w:after="0"/>
              <w:ind w:left="0" w:right="0" w:hanging="0"/>
              <w:jc w:val="left"/>
              <w:rPr/>
            </w:pPr>
            <w:r>
              <w:rPr/>
              <w:t> </w:t>
            </w:r>
          </w:p>
        </w:tc>
        <w:tc>
          <w:tcPr>
            <w:tcW w:w="2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916</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following table summarizes the activity related to stock options during the three months ended March 31, 2023:</w:t>
      </w:r>
    </w:p>
    <w:p>
      <w:pPr>
        <w:pStyle w:val="TextBody"/>
        <w:bidi w:val="0"/>
        <w:spacing w:before="0" w:after="0"/>
        <w:jc w:val="left"/>
        <w:rPr/>
      </w:pPr>
      <w:r>
        <w:rPr/>
        <w:t> </w:t>
      </w:r>
    </w:p>
    <w:tbl>
      <w:tblPr>
        <w:tblW w:w="6762" w:type="dxa"/>
        <w:jc w:val="left"/>
        <w:tblInd w:w="0" w:type="dxa"/>
        <w:tblLayout w:type="fixed"/>
        <w:tblCellMar>
          <w:top w:w="28" w:type="dxa"/>
          <w:left w:w="28" w:type="dxa"/>
          <w:bottom w:w="28" w:type="dxa"/>
          <w:right w:w="28" w:type="dxa"/>
        </w:tblCellMar>
      </w:tblPr>
      <w:tblGrid>
        <w:gridCol w:w="3601"/>
        <w:gridCol w:w="146"/>
        <w:gridCol w:w="146"/>
        <w:gridCol w:w="931"/>
        <w:gridCol w:w="166"/>
        <w:gridCol w:w="146"/>
        <w:gridCol w:w="415"/>
        <w:gridCol w:w="920"/>
        <w:gridCol w:w="291"/>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35"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Weighted</w:t>
            </w:r>
          </w:p>
        </w:tc>
        <w:tc>
          <w:tcPr>
            <w:tcW w:w="291" w:type="dxa"/>
            <w:tcBorders/>
            <w:vAlign w:val="center"/>
          </w:tcPr>
          <w:p>
            <w:pPr>
              <w:pStyle w:val="TableContents"/>
              <w:bidi w:val="0"/>
              <w:spacing w:before="0" w:after="0"/>
              <w:ind w:left="0" w:right="0" w:hanging="0"/>
              <w:jc w:val="center"/>
              <w:rPr/>
            </w:pPr>
            <w:r>
              <w:rPr/>
              <w:t> </w:t>
            </w:r>
          </w:p>
        </w:tc>
      </w:tr>
      <w:tr>
        <w:trPr/>
        <w:tc>
          <w:tcPr>
            <w:tcW w:w="36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Number of</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35"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Average</w:t>
            </w:r>
          </w:p>
        </w:tc>
        <w:tc>
          <w:tcPr>
            <w:tcW w:w="291" w:type="dxa"/>
            <w:tcBorders/>
            <w:vAlign w:val="center"/>
          </w:tcPr>
          <w:p>
            <w:pPr>
              <w:pStyle w:val="TableContents"/>
              <w:bidi w:val="0"/>
              <w:spacing w:before="0" w:after="0"/>
              <w:ind w:left="0" w:right="0" w:hanging="0"/>
              <w:jc w:val="center"/>
              <w:rPr/>
            </w:pPr>
            <w:r>
              <w:rPr/>
              <w:t> </w:t>
            </w:r>
          </w:p>
        </w:tc>
      </w:tr>
      <w:tr>
        <w:trPr/>
        <w:tc>
          <w:tcPr>
            <w:tcW w:w="36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Exercise Price</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outstanding at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6,915,330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3.58</w:t>
            </w:r>
          </w:p>
        </w:tc>
        <w:tc>
          <w:tcPr>
            <w:tcW w:w="291" w:type="dxa"/>
            <w:tcBorders/>
            <w:vAlign w:val="center"/>
          </w:tcPr>
          <w:p>
            <w:pPr>
              <w:pStyle w:val="TableContents"/>
              <w:bidi w:val="0"/>
              <w:spacing w:before="0" w:after="0"/>
              <w:ind w:left="0" w:right="0" w:firstLine="100"/>
              <w:jc w:val="left"/>
              <w:rPr/>
            </w:pPr>
            <w:r>
              <w:rPr/>
              <w:t> </w:t>
            </w:r>
          </w:p>
        </w:tc>
      </w:tr>
      <w:tr>
        <w:trPr/>
        <w:tc>
          <w:tcPr>
            <w:tcW w:w="360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2,340,750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w:t>
            </w:r>
          </w:p>
        </w:tc>
        <w:tc>
          <w:tcPr>
            <w:tcW w:w="291" w:type="dxa"/>
            <w:tcBorders/>
            <w:vAlign w:val="center"/>
          </w:tcPr>
          <w:p>
            <w:pPr>
              <w:pStyle w:val="TableContents"/>
              <w:bidi w:val="0"/>
              <w:spacing w:before="0" w:after="0"/>
              <w:ind w:left="0" w:right="0" w:firstLine="100"/>
              <w:jc w:val="left"/>
              <w:rPr/>
            </w:pPr>
            <w:r>
              <w:rPr/>
              <w:t> </w:t>
            </w:r>
          </w:p>
        </w:tc>
      </w:tr>
      <w:tr>
        <w:trPr/>
        <w:tc>
          <w:tcPr>
            <w:tcW w:w="360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Forfeited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(324,421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w:t>
            </w:r>
          </w:p>
        </w:tc>
        <w:tc>
          <w:tcPr>
            <w:tcW w:w="291" w:type="dxa"/>
            <w:tcBorders/>
            <w:vAlign w:val="center"/>
          </w:tcPr>
          <w:p>
            <w:pPr>
              <w:pStyle w:val="TableContents"/>
              <w:bidi w:val="0"/>
              <w:spacing w:before="0" w:after="0"/>
              <w:ind w:left="0" w:right="0" w:hanging="0"/>
              <w:jc w:val="left"/>
              <w:rPr/>
            </w:pPr>
            <w:r>
              <w:rPr/>
              <w:t> </w:t>
            </w:r>
          </w:p>
        </w:tc>
      </w:tr>
      <w:tr>
        <w:trPr/>
        <w:tc>
          <w:tcPr>
            <w:tcW w:w="36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outstanding at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8,931,659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3.08</w:t>
            </w:r>
          </w:p>
        </w:tc>
        <w:tc>
          <w:tcPr>
            <w:tcW w:w="291" w:type="dxa"/>
            <w:tcBorders/>
            <w:vAlign w:val="center"/>
          </w:tcPr>
          <w:p>
            <w:pPr>
              <w:pStyle w:val="TableContents"/>
              <w:bidi w:val="0"/>
              <w:spacing w:before="0" w:after="0"/>
              <w:ind w:left="0" w:right="0" w:hanging="0"/>
              <w:jc w:val="left"/>
              <w:rPr/>
            </w:pPr>
            <w:r>
              <w:rPr/>
              <w:t> </w:t>
            </w:r>
          </w:p>
        </w:tc>
      </w:tr>
      <w:tr>
        <w:trPr/>
        <w:tc>
          <w:tcPr>
            <w:tcW w:w="36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35" w:type="dxa"/>
            <w:gridSpan w:val="2"/>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hanging="0"/>
              <w:jc w:val="left"/>
              <w:rPr/>
            </w:pPr>
            <w:r>
              <w:rPr/>
              <w:t> </w:t>
            </w:r>
          </w:p>
        </w:tc>
      </w:tr>
      <w:tr>
        <w:trPr/>
        <w:tc>
          <w:tcPr>
            <w:tcW w:w="36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exercisable at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4,223,931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4.22</w:t>
            </w:r>
          </w:p>
        </w:tc>
        <w:tc>
          <w:tcPr>
            <w:tcW w:w="291" w:type="dxa"/>
            <w:tcBorders/>
            <w:vAlign w:val="center"/>
          </w:tcPr>
          <w:p>
            <w:pPr>
              <w:pStyle w:val="TableContents"/>
              <w:bidi w:val="0"/>
              <w:spacing w:before="0" w:after="0"/>
              <w:ind w:left="0" w:right="0" w:hanging="0"/>
              <w:jc w:val="left"/>
              <w:rPr/>
            </w:pPr>
            <w:r>
              <w:rPr/>
              <w:t> </w:t>
            </w:r>
          </w:p>
        </w:tc>
      </w:tr>
      <w:tr>
        <w:trPr/>
        <w:tc>
          <w:tcPr>
            <w:tcW w:w="36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35" w:type="dxa"/>
            <w:gridSpan w:val="2"/>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hanging="0"/>
              <w:jc w:val="left"/>
              <w:rPr/>
            </w:pPr>
            <w:r>
              <w:rPr/>
              <w:t> </w:t>
            </w:r>
          </w:p>
        </w:tc>
      </w:tr>
      <w:tr>
        <w:trPr/>
        <w:tc>
          <w:tcPr>
            <w:tcW w:w="36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exercisable at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4,745,519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4.03</w:t>
            </w:r>
          </w:p>
        </w:tc>
        <w:tc>
          <w:tcPr>
            <w:tcW w:w="2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As of March 31, 2023, the Company had $5.7</w:t>
      </w:r>
      <w:r>
        <w:rPr>
          <w:rFonts w:ascii="Times New Roman" w:hAnsi="Times New Roman"/>
          <w:sz w:val="20"/>
        </w:rPr>
        <w:t xml:space="preserve"> </w:t>
      </w:r>
      <w:r>
        <w:rPr>
          <w:rFonts w:ascii="Times New Roman;serif" w:hAnsi="Times New Roman;serif"/>
          <w:b w:val="false"/>
          <w:sz w:val="20"/>
        </w:rPr>
        <w:t>million of unrecognized compensation expense related to unvested stock options, which is expected to be recognized over a weighted average period of 2.8</w:t>
      </w:r>
      <w:r>
        <w:rPr>
          <w:rFonts w:ascii="Times New Roman" w:hAnsi="Times New Roman"/>
          <w:sz w:val="20"/>
        </w:rPr>
        <w:t xml:space="preserve"> </w:t>
      </w:r>
      <w:r>
        <w:rPr>
          <w:rFonts w:ascii="Times New Roman;serif" w:hAnsi="Times New Roman;serif"/>
          <w:b w:val="false"/>
          <w:sz w:val="20"/>
        </w:rPr>
        <w:t>years.</w:t>
      </w:r>
      <w:r>
        <w:rPr>
          <w:rFonts w:ascii="Times New Roman" w:hAnsi="Times New Roman"/>
          <w:sz w:val="20"/>
        </w:rPr>
        <w:t xml:space="preserve"> </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Restricted Stock Units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has granted restricted stock units (“RSUs”) to employees from the 2016 Plan. The shares underlying the RSU awards have vesting terms of four years from the date of grant subject to the employees’ continuous service and subject to accelerated vesting in specified circumstances. The fair value of the RSUs granted is measured based on the market value of the Company’s common stock on the date of grant and is recognized ratably over the requisite service period, which is generally the vesting period of the awards.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total share-based compensation expense related to RSUs is reflected in the statements of operations as follows (in thousands):</w:t>
      </w:r>
    </w:p>
    <w:p>
      <w:pPr>
        <w:pStyle w:val="TextBody"/>
        <w:bidi w:val="0"/>
        <w:spacing w:before="0" w:after="0"/>
        <w:jc w:val="left"/>
        <w:rPr/>
      </w:pPr>
      <w:r>
        <w:rPr/>
        <w:t> </w:t>
      </w:r>
    </w:p>
    <w:tbl>
      <w:tblPr>
        <w:tblW w:w="4602" w:type="dxa"/>
        <w:jc w:val="left"/>
        <w:tblInd w:w="0" w:type="dxa"/>
        <w:tblLayout w:type="fixed"/>
        <w:tblCellMar>
          <w:top w:w="28" w:type="dxa"/>
          <w:left w:w="28" w:type="dxa"/>
          <w:bottom w:w="28" w:type="dxa"/>
          <w:right w:w="28" w:type="dxa"/>
        </w:tblCellMar>
      </w:tblPr>
      <w:tblGrid>
        <w:gridCol w:w="2311"/>
        <w:gridCol w:w="146"/>
        <w:gridCol w:w="238"/>
        <w:gridCol w:w="475"/>
        <w:gridCol w:w="164"/>
        <w:gridCol w:w="164"/>
        <w:gridCol w:w="238"/>
        <w:gridCol w:w="475"/>
        <w:gridCol w:w="3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Three Months Ended</w:t>
              <w:br/>
              <w:t>March 31,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1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1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4" w:type="dxa"/>
            <w:tcBorders/>
            <w:vAlign w:val="center"/>
          </w:tcPr>
          <w:p>
            <w:pPr>
              <w:pStyle w:val="TableContents"/>
              <w:bidi w:val="0"/>
              <w:spacing w:before="0" w:after="0"/>
              <w:ind w:left="0" w:right="0" w:hanging="0"/>
              <w:jc w:val="left"/>
              <w:rPr/>
            </w:pPr>
            <w:r>
              <w:rPr/>
              <w:t> </w:t>
            </w:r>
          </w:p>
        </w:tc>
        <w:tc>
          <w:tcPr>
            <w:tcW w:w="71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w:t>
            </w:r>
          </w:p>
        </w:tc>
        <w:tc>
          <w:tcPr>
            <w:tcW w:w="164" w:type="dxa"/>
            <w:tcBorders/>
            <w:vAlign w:val="center"/>
          </w:tcPr>
          <w:p>
            <w:pPr>
              <w:pStyle w:val="TableContents"/>
              <w:bidi w:val="0"/>
              <w:spacing w:before="0" w:after="0"/>
              <w:ind w:left="0" w:right="0" w:hanging="0"/>
              <w:jc w:val="left"/>
              <w:rPr/>
            </w:pPr>
            <w:r>
              <w:rPr/>
              <w:t> </w:t>
            </w:r>
          </w:p>
        </w:tc>
        <w:tc>
          <w:tcPr>
            <w:tcW w:w="164"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w:t>
            </w:r>
          </w:p>
        </w:tc>
        <w:tc>
          <w:tcPr>
            <w:tcW w:w="391" w:type="dxa"/>
            <w:tcBorders/>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w:t>
            </w:r>
          </w:p>
        </w:tc>
        <w:tc>
          <w:tcPr>
            <w:tcW w:w="1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4" w:type="dxa"/>
            <w:tcBorders/>
            <w:vAlign w:val="center"/>
          </w:tcPr>
          <w:p>
            <w:pPr>
              <w:pStyle w:val="TableContents"/>
              <w:bidi w:val="0"/>
              <w:spacing w:before="0" w:after="0"/>
              <w:ind w:left="0" w:right="0" w:hanging="0"/>
              <w:jc w:val="left"/>
              <w:rPr/>
            </w:pPr>
            <w:r>
              <w:rPr/>
              <w:t> </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3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330</w:t>
            </w:r>
          </w:p>
        </w:tc>
        <w:tc>
          <w:tcPr>
            <w:tcW w:w="1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4" w:type="dxa"/>
            <w:tcBorders/>
            <w:vAlign w:val="center"/>
          </w:tcPr>
          <w:p>
            <w:pPr>
              <w:pStyle w:val="TableContents"/>
              <w:bidi w:val="0"/>
              <w:spacing w:before="0" w:after="0"/>
              <w:ind w:left="0" w:right="0" w:hanging="0"/>
              <w:jc w:val="left"/>
              <w:rPr/>
            </w:pPr>
            <w:r>
              <w:rPr/>
              <w:t> </w:t>
            </w:r>
          </w:p>
        </w:tc>
        <w:tc>
          <w:tcPr>
            <w:tcW w:w="2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383</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following table summarizes the activity related to RSUs during the three months ended March 31, 2023:</w:t>
      </w:r>
    </w:p>
    <w:p>
      <w:pPr>
        <w:pStyle w:val="TextBody"/>
        <w:bidi w:val="0"/>
        <w:spacing w:before="0" w:after="0"/>
        <w:jc w:val="left"/>
        <w:rPr/>
      </w:pPr>
      <w:r>
        <w:rPr/>
        <w:t> </w:t>
      </w:r>
    </w:p>
    <w:tbl>
      <w:tblPr>
        <w:tblW w:w="7887" w:type="dxa"/>
        <w:jc w:val="left"/>
        <w:tblInd w:w="0" w:type="dxa"/>
        <w:tblLayout w:type="fixed"/>
        <w:tblCellMar>
          <w:top w:w="28" w:type="dxa"/>
          <w:left w:w="28" w:type="dxa"/>
          <w:bottom w:w="28" w:type="dxa"/>
          <w:right w:w="28" w:type="dxa"/>
        </w:tblCellMar>
      </w:tblPr>
      <w:tblGrid>
        <w:gridCol w:w="4381"/>
        <w:gridCol w:w="146"/>
        <w:gridCol w:w="146"/>
        <w:gridCol w:w="931"/>
        <w:gridCol w:w="166"/>
        <w:gridCol w:w="146"/>
        <w:gridCol w:w="523"/>
        <w:gridCol w:w="1157"/>
        <w:gridCol w:w="291"/>
      </w:tblGrid>
      <w:tr>
        <w:trPr/>
        <w:tc>
          <w:tcPr>
            <w:tcW w:w="4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3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80"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Weighted Average</w:t>
            </w:r>
          </w:p>
        </w:tc>
        <w:tc>
          <w:tcPr>
            <w:tcW w:w="291" w:type="dxa"/>
            <w:tcBorders/>
            <w:vAlign w:val="center"/>
          </w:tcPr>
          <w:p>
            <w:pPr>
              <w:pStyle w:val="TableContents"/>
              <w:bidi w:val="0"/>
              <w:spacing w:before="0" w:after="0"/>
              <w:ind w:left="0" w:right="0" w:hanging="0"/>
              <w:jc w:val="center"/>
              <w:rPr/>
            </w:pPr>
            <w:r>
              <w:rPr/>
              <w:t> </w:t>
            </w:r>
          </w:p>
        </w:tc>
      </w:tr>
      <w:tr>
        <w:trPr/>
        <w:tc>
          <w:tcPr>
            <w:tcW w:w="43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Number of</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80"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Grant Date</w:t>
            </w:r>
          </w:p>
        </w:tc>
        <w:tc>
          <w:tcPr>
            <w:tcW w:w="291" w:type="dxa"/>
            <w:tcBorders/>
            <w:vAlign w:val="center"/>
          </w:tcPr>
          <w:p>
            <w:pPr>
              <w:pStyle w:val="TableContents"/>
              <w:bidi w:val="0"/>
              <w:spacing w:before="0" w:after="0"/>
              <w:ind w:left="0" w:right="0" w:hanging="0"/>
              <w:jc w:val="center"/>
              <w:rPr/>
            </w:pPr>
            <w:r>
              <w:rPr/>
              <w:t> </w:t>
            </w:r>
          </w:p>
        </w:tc>
      </w:tr>
      <w:tr>
        <w:trPr/>
        <w:tc>
          <w:tcPr>
            <w:tcW w:w="43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8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Fair Value</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Non-vested RSUs outstanding at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1,462,932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3.04</w:t>
            </w:r>
          </w:p>
        </w:tc>
        <w:tc>
          <w:tcPr>
            <w:tcW w:w="291" w:type="dxa"/>
            <w:tcBorders/>
            <w:vAlign w:val="center"/>
          </w:tcPr>
          <w:p>
            <w:pPr>
              <w:pStyle w:val="TableContents"/>
              <w:bidi w:val="0"/>
              <w:spacing w:before="0" w:after="0"/>
              <w:ind w:left="0" w:right="0" w:firstLine="100"/>
              <w:jc w:val="left"/>
              <w:rPr/>
            </w:pPr>
            <w:r>
              <w:rPr/>
              <w:t> </w:t>
            </w:r>
          </w:p>
        </w:tc>
      </w:tr>
      <w:tr>
        <w:trPr/>
        <w:tc>
          <w:tcPr>
            <w:tcW w:w="438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Vested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(471,390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left"/>
              <w:rPr/>
            </w:pPr>
            <w:r>
              <w:rPr/>
              <w:t> </w:t>
            </w:r>
          </w:p>
        </w:tc>
        <w:tc>
          <w:tcPr>
            <w:tcW w:w="11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3.09</w:t>
            </w:r>
          </w:p>
        </w:tc>
        <w:tc>
          <w:tcPr>
            <w:tcW w:w="291" w:type="dxa"/>
            <w:tcBorders/>
            <w:vAlign w:val="center"/>
          </w:tcPr>
          <w:p>
            <w:pPr>
              <w:pStyle w:val="TableContents"/>
              <w:bidi w:val="0"/>
              <w:spacing w:before="0" w:after="0"/>
              <w:ind w:left="0" w:right="0" w:firstLine="100"/>
              <w:jc w:val="left"/>
              <w:rPr/>
            </w:pPr>
            <w:r>
              <w:rPr/>
              <w:t> </w:t>
            </w:r>
          </w:p>
        </w:tc>
      </w:tr>
      <w:tr>
        <w:trPr/>
        <w:tc>
          <w:tcPr>
            <w:tcW w:w="438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Forfeited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(92,501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left"/>
              <w:rPr/>
            </w:pPr>
            <w:r>
              <w:rPr/>
              <w:t> </w:t>
            </w:r>
          </w:p>
        </w:tc>
        <w:tc>
          <w:tcPr>
            <w:tcW w:w="11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3.22</w:t>
            </w:r>
          </w:p>
        </w:tc>
        <w:tc>
          <w:tcPr>
            <w:tcW w:w="291" w:type="dxa"/>
            <w:tcBorders/>
            <w:vAlign w:val="center"/>
          </w:tcPr>
          <w:p>
            <w:pPr>
              <w:pStyle w:val="TableContents"/>
              <w:bidi w:val="0"/>
              <w:spacing w:before="0" w:after="0"/>
              <w:ind w:left="0" w:right="0" w:hanging="0"/>
              <w:jc w:val="left"/>
              <w:rPr/>
            </w:pPr>
            <w:r>
              <w:rPr/>
              <w:t> </w:t>
            </w:r>
          </w:p>
        </w:tc>
      </w:tr>
      <w:tr>
        <w:trPr/>
        <w:tc>
          <w:tcPr>
            <w:tcW w:w="43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Non-vested RSUs outstanding at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899,041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left"/>
              <w:rPr/>
            </w:pPr>
            <w:r>
              <w:rPr/>
              <w:t> </w:t>
            </w:r>
          </w:p>
        </w:tc>
        <w:tc>
          <w:tcPr>
            <w:tcW w:w="11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w:t>
            </w:r>
          </w:p>
        </w:tc>
        <w:tc>
          <w:tcPr>
            <w:tcW w:w="2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As of March 31, 2023, the Company had $2.4</w:t>
      </w:r>
      <w:r>
        <w:rPr>
          <w:rFonts w:ascii="Times New Roman" w:hAnsi="Times New Roman"/>
          <w:sz w:val="20"/>
        </w:rPr>
        <w:t xml:space="preserve"> </w:t>
      </w:r>
      <w:r>
        <w:rPr>
          <w:rFonts w:ascii="Times New Roman;serif" w:hAnsi="Times New Roman;serif"/>
          <w:b w:val="false"/>
          <w:sz w:val="20"/>
        </w:rPr>
        <w:t>million of unrecognized compensation expense related to the RSUs which is expected to be recognized over a weighted average period of 2.08</w:t>
      </w:r>
      <w:r>
        <w:rPr>
          <w:rFonts w:ascii="Times New Roman" w:hAnsi="Times New Roman"/>
          <w:sz w:val="20"/>
        </w:rPr>
        <w:t xml:space="preserve"> </w:t>
      </w:r>
      <w:r>
        <w:rPr>
          <w:rFonts w:ascii="Times New Roman;serif" w:hAnsi="Times New Roman;serif"/>
          <w:b w:val="false"/>
          <w:sz w:val="20"/>
        </w:rPr>
        <w:t>years.</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Employee Stock Purchase Plan</w:t>
      </w:r>
    </w:p>
    <w:p>
      <w:pPr>
        <w:pStyle w:val="TextBody"/>
        <w:bidi w:val="0"/>
        <w:spacing w:before="120" w:after="0"/>
        <w:jc w:val="left"/>
        <w:rPr>
          <w:rFonts w:ascii="Times New Roman" w:hAnsi="Times New Roman"/>
          <w:sz w:val="20"/>
        </w:rPr>
      </w:pPr>
      <w:r>
        <w:rPr>
          <w:rFonts w:ascii="Times New Roman;serif" w:hAnsi="Times New Roman;serif"/>
          <w:b w:val="false"/>
          <w:sz w:val="20"/>
        </w:rPr>
        <w:t>The 2016 Employee Stock Purchase Plan (the “2016 ESPP”) became effective on June 1, 2016. The 2016 ESPP is considered a compensatory plan and the fair value of the discount and the look-back period are estimated using the Black-Scholes option pricing model and expense is recognized over the six-month withholding period prior to the purchase 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share-based compensation expense recognized for the 2016 ESPP is reflected in the statements of operations as follows (in thousands):</w:t>
      </w:r>
      <w:r>
        <w:rPr>
          <w:rFonts w:ascii="Times New Roman" w:hAnsi="Times New Roman"/>
          <w:sz w:val="20"/>
        </w:rPr>
        <w:t xml:space="preserve"> </w:t>
      </w:r>
    </w:p>
    <w:p>
      <w:pPr>
        <w:pStyle w:val="TextBody"/>
        <w:bidi w:val="0"/>
        <w:spacing w:before="0" w:after="0"/>
        <w:jc w:val="left"/>
        <w:rPr/>
      </w:pPr>
      <w:r>
        <w:rPr/>
        <w:t> </w:t>
      </w:r>
    </w:p>
    <w:tbl>
      <w:tblPr>
        <w:tblW w:w="4602" w:type="dxa"/>
        <w:jc w:val="left"/>
        <w:tblInd w:w="0" w:type="dxa"/>
        <w:tblLayout w:type="fixed"/>
        <w:tblCellMar>
          <w:top w:w="28" w:type="dxa"/>
          <w:left w:w="28" w:type="dxa"/>
          <w:bottom w:w="28" w:type="dxa"/>
          <w:right w:w="28" w:type="dxa"/>
        </w:tblCellMar>
      </w:tblPr>
      <w:tblGrid>
        <w:gridCol w:w="2311"/>
        <w:gridCol w:w="146"/>
        <w:gridCol w:w="326"/>
        <w:gridCol w:w="326"/>
        <w:gridCol w:w="225"/>
        <w:gridCol w:w="225"/>
        <w:gridCol w:w="326"/>
        <w:gridCol w:w="326"/>
        <w:gridCol w:w="3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Three Months Ended</w:t>
              <w:br/>
              <w:t>March 31,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25" w:type="dxa"/>
            <w:tcBorders/>
            <w:vAlign w:val="center"/>
          </w:tcPr>
          <w:p>
            <w:pPr>
              <w:pStyle w:val="TableContents"/>
              <w:bidi w:val="0"/>
              <w:spacing w:before="0" w:after="0"/>
              <w:ind w:left="0" w:right="0" w:hanging="0"/>
              <w:jc w:val="left"/>
              <w:rPr/>
            </w:pPr>
            <w:r>
              <w:rPr/>
              <w:t> </w:t>
            </w:r>
          </w:p>
        </w:tc>
        <w:tc>
          <w:tcPr>
            <w:tcW w:w="6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225"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391" w:type="dxa"/>
            <w:tcBorders/>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3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3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3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3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2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3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During the three months ended March 31, 2023, the Company issued 38,954</w:t>
      </w:r>
      <w:r>
        <w:rPr>
          <w:rFonts w:ascii="Times New Roman" w:hAnsi="Times New Roman"/>
          <w:sz w:val="20"/>
        </w:rPr>
        <w:t xml:space="preserve"> </w:t>
      </w:r>
      <w:r>
        <w:rPr>
          <w:rFonts w:ascii="Times New Roman;serif" w:hAnsi="Times New Roman;serif"/>
          <w:b w:val="false"/>
          <w:sz w:val="20"/>
        </w:rPr>
        <w:t>shares of common stock purchased under the 2016 ESPP.</w:t>
      </w:r>
    </w:p>
    <w:p>
      <w:pPr>
        <w:pStyle w:val="TextBody"/>
        <w:bidi w:val="0"/>
        <w:spacing w:before="240" w:after="0"/>
        <w:jc w:val="left"/>
        <w:rPr>
          <w:rFonts w:ascii="Times New Roman;serif" w:hAnsi="Times New Roman;serif"/>
          <w:b/>
          <w:sz w:val="20"/>
        </w:rPr>
      </w:pPr>
      <w:r>
        <w:rPr>
          <w:rFonts w:ascii="Times New Roman;serif" w:hAnsi="Times New Roman;serif"/>
          <w:b/>
          <w:sz w:val="20"/>
        </w:rPr>
        <w:t>9. Commitments and Contingencies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Lease Commitment Summary</w:t>
      </w:r>
    </w:p>
    <w:p>
      <w:pPr>
        <w:pStyle w:val="TextBody"/>
        <w:bidi w:val="0"/>
        <w:spacing w:before="120" w:after="0"/>
        <w:jc w:val="left"/>
        <w:rPr>
          <w:rFonts w:ascii="Times New Roman" w:hAnsi="Times New Roman"/>
          <w:sz w:val="20"/>
        </w:rPr>
      </w:pPr>
      <w:r>
        <w:rPr>
          <w:rFonts w:ascii="Times New Roman;serif" w:hAnsi="Times New Roman;serif"/>
          <w:b w:val="false"/>
          <w:sz w:val="20"/>
        </w:rPr>
        <w:t>In November 2022, the Company signed an amended office lease agreement to lease approximately 14,000</w:t>
      </w:r>
      <w:r>
        <w:rPr>
          <w:rFonts w:ascii="Times New Roman" w:hAnsi="Times New Roman"/>
          <w:sz w:val="20"/>
        </w:rPr>
        <w:t xml:space="preserve"> </w:t>
      </w:r>
      <w:r>
        <w:rPr>
          <w:rFonts w:ascii="Times New Roman;serif" w:hAnsi="Times New Roman;serif"/>
          <w:b w:val="false"/>
          <w:sz w:val="20"/>
        </w:rPr>
        <w:t>square feet of office space in Alpharetta, Georgia for its corporate headquarters. The amended office lease agreement is for a four year</w:t>
      </w:r>
      <w:r>
        <w:rPr>
          <w:rFonts w:ascii="Times New Roman" w:hAnsi="Times New Roman"/>
          <w:sz w:val="20"/>
        </w:rPr>
        <w:t xml:space="preserve"> </w:t>
      </w:r>
      <w:r>
        <w:rPr>
          <w:rFonts w:ascii="Times New Roman;serif" w:hAnsi="Times New Roman;serif"/>
          <w:b w:val="false"/>
          <w:sz w:val="20"/>
        </w:rPr>
        <w:t>term with a renewal option for an additional 38 months. Rental payments are $30,747</w:t>
      </w:r>
      <w:r>
        <w:rPr>
          <w:rFonts w:ascii="Times New Roman" w:hAnsi="Times New Roman"/>
          <w:sz w:val="20"/>
        </w:rPr>
        <w:t xml:space="preserve"> </w:t>
      </w:r>
      <w:r>
        <w:rPr>
          <w:rFonts w:ascii="Times New Roman;serif" w:hAnsi="Times New Roman;serif"/>
          <w:b w:val="false"/>
          <w:sz w:val="20"/>
        </w:rPr>
        <w:t>per month subject to an increase of 3% per year. Rent expense under this lease is recognized on a straight-line basis over the term of the lease. In addition, the office lease agreement requires payment of the pro-rata share of the annual operating expenses associated with the premises.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recognizes a right-of-use asset for the right to use the underlying asset for the lease term, and a lease liability, which represents the present value of the Company’s obligation to make payments over the lease term. The renewal option is not included in the calculation of the right-of-use asset and the lease liabilities as the Company has not yet determined if the Alpharetta, Georgia lease will be renewed.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Equipment leases with an initial term of 12 months or less are not recorded with operating lease liabilities. The Company recognizes expense for these leases on a straight-line basis over the lease term. The equipment leases were deemed to be immaterial.</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Contract Service Providers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the course of the Company’s normal business operations, it has agreements with contract service providers to assist in the performance of its research and development, clinical research and manufacturing. Substantially all of these contracts are on an as needed basis.</w:t>
      </w:r>
    </w:p>
    <w:p>
      <w:pPr>
        <w:pStyle w:val="TextBody"/>
        <w:bidi w:val="0"/>
        <w:spacing w:before="240" w:after="0"/>
        <w:jc w:val="left"/>
        <w:rPr>
          <w:rFonts w:ascii="Times New Roman;serif" w:hAnsi="Times New Roman;serif"/>
          <w:b/>
          <w:sz w:val="20"/>
        </w:rPr>
      </w:pPr>
      <w:r>
        <w:rPr>
          <w:rFonts w:ascii="Times New Roman;serif" w:hAnsi="Times New Roman;serif"/>
          <w:b/>
          <w:sz w:val="20"/>
        </w:rPr>
        <w:t>10. License and Other Agreements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Bausch + Lomb</w:t>
      </w:r>
    </w:p>
    <w:p>
      <w:pPr>
        <w:pStyle w:val="TextBody"/>
        <w:bidi w:val="0"/>
        <w:spacing w:before="120" w:after="0"/>
        <w:jc w:val="left"/>
        <w:rPr>
          <w:rFonts w:ascii="Times New Roman" w:hAnsi="Times New Roman"/>
          <w:sz w:val="20"/>
        </w:rPr>
      </w:pPr>
      <w:r>
        <w:rPr>
          <w:rFonts w:ascii="Times New Roman;serif" w:hAnsi="Times New Roman;serif"/>
          <w:b w:val="false"/>
          <w:sz w:val="20"/>
        </w:rPr>
        <w:t>On October 22, 2019, the Company entered into a License Agreement (as amended, the "Bausch License Agreement") with Bausch + Lomb (“Bausch”). Pursuant to the Bausch License Agreement, the Company has granted an exclusive license to Bausch to develop, manufacture, distribute, promote, market and commercialize XIPERE using the Company’s proprietary SCS Microinjector (the “Device”), as well as specified other steroids, corticosteroids and NSAIDs in combination with the Device (together with XIPERE, the “Products”), subject to specified exceptions, in the United States and Canada (the “Territory”) for the treatment of ophthalmology indications, including non-infectious uveitis.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Pursuant to the Bausch License Agreement, Bausch paid the Company an aggregate of $20.0</w:t>
      </w:r>
      <w:r>
        <w:rPr>
          <w:rFonts w:ascii="Times New Roman" w:hAnsi="Times New Roman"/>
          <w:sz w:val="20"/>
        </w:rPr>
        <w:t xml:space="preserve"> </w:t>
      </w:r>
      <w:r>
        <w:rPr>
          <w:rFonts w:ascii="Times New Roman;serif" w:hAnsi="Times New Roman;serif"/>
          <w:b w:val="false"/>
          <w:sz w:val="20"/>
        </w:rPr>
        <w:t>million in upfront and milestone payments.</w:t>
      </w:r>
      <w:r>
        <w:rPr>
          <w:rFonts w:ascii="Times New Roman" w:hAnsi="Times New Roman"/>
          <w:sz w:val="20"/>
        </w:rPr>
        <w:t xml:space="preserve"> </w:t>
      </w:r>
      <w:r>
        <w:rPr>
          <w:rFonts w:ascii="Times New Roman;serif" w:hAnsi="Times New Roman;serif"/>
          <w:b w:val="false"/>
          <w:sz w:val="20"/>
        </w:rPr>
        <w:t>In addition, Bausch has agreed to pay up to an aggregate of $55.0</w:t>
      </w:r>
      <w:r>
        <w:rPr>
          <w:rFonts w:ascii="Times New Roman" w:hAnsi="Times New Roman"/>
          <w:sz w:val="20"/>
        </w:rPr>
        <w:t xml:space="preserve"> </w:t>
      </w:r>
      <w:r>
        <w:rPr>
          <w:rFonts w:ascii="Times New Roman;serif" w:hAnsi="Times New Roman;serif"/>
          <w:b w:val="false"/>
          <w:sz w:val="20"/>
        </w:rPr>
        <w:t>million in additional milestone payments upon the achievement of (i) specified regulatory approvals for specified additional indications of XIPERE and (ii) specified levels of annual net sales (as defined in the Bausch License Agreement). Further, during the applicable royalty term, the Company will also be entitled to receive tiered royalties at increasing percentages, from the high-teens to twenty percent, based on XIPERE achieving certain annual net sales thresholds in the Territory, in each case subject to reductions in specified circumstances; provided that the Company will not receive any royalties on the first $45.0</w:t>
      </w:r>
      <w:r>
        <w:rPr>
          <w:rFonts w:ascii="Times New Roman" w:hAnsi="Times New Roman"/>
          <w:sz w:val="20"/>
        </w:rPr>
        <w:t xml:space="preserve"> </w:t>
      </w:r>
      <w:r>
        <w:rPr>
          <w:rFonts w:ascii="Times New Roman;serif" w:hAnsi="Times New Roman;serif"/>
          <w:b w:val="false"/>
          <w:sz w:val="20"/>
        </w:rPr>
        <w:t>million of cumulative net sales of all products in the Territory. Bausch launched XIPERE in the United States in the first quarter of 2022. The Company's rights to these royalties and milestone payments have been sold pursuant to the terms and conditions of the Purchase and Sale Agreement described in Note 5 to the consolidated financial statements.</w:t>
      </w:r>
    </w:p>
    <w:p>
      <w:pPr>
        <w:pStyle w:val="TextBody"/>
        <w:bidi w:val="0"/>
        <w:spacing w:before="0" w:after="0"/>
        <w:jc w:val="left"/>
        <w:rPr>
          <w:rFonts w:ascii="Times New Roman;serif" w:hAnsi="Times New Roman;serif"/>
          <w:b w:val="false"/>
          <w:i/>
          <w:sz w:val="20"/>
        </w:rPr>
      </w:pPr>
      <w:r>
        <w:rPr>
          <w:rFonts w:ascii="Times New Roman;serif" w:hAnsi="Times New Roman;serif"/>
          <w:b w:val="false"/>
          <w:i/>
          <w:sz w:val="20"/>
        </w:rPr>
        <w:t>Arctic Vision (Hong Kong) Limited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March 10, 2020, the Company entered into a License Agreement (the “Arctic License Agreement”) with Arctic Vision (Hong Kong) Limited (“Arctic Vision”). Pursuant to the Arctic License Agreement, the Company has granted an exclusive license to Arctic Vision to develop, distribute, promote, market and commercialize XIPERE, subject to specified exceptions, in China, Hong Kong, Macau, Taiwan and South Korea (the “Arctic Territory”). Under the terms of the Arctic License Agreement, neither party may commercialize XIPERE in the other party’s territory. Arctic Vision has agreed to use commercially reasonably efforts to pursue development and commercialization of XIPERE for indications associated with uveitis in the Arctic Territory. In addition, upon receipt of the Company’s consent, Arctic Vision will have the right, but not the obligation, to develop and commercialize XIPERE for additional indications in the Arctic Territory.</w:t>
      </w:r>
    </w:p>
    <w:p>
      <w:pPr>
        <w:pStyle w:val="TextBody"/>
        <w:bidi w:val="0"/>
        <w:spacing w:before="120" w:after="0"/>
        <w:jc w:val="left"/>
        <w:rPr>
          <w:rFonts w:ascii="Times New Roman" w:hAnsi="Times New Roman"/>
          <w:sz w:val="20"/>
        </w:rPr>
      </w:pPr>
      <w:r>
        <w:rPr>
          <w:rFonts w:ascii="Times New Roman;serif" w:hAnsi="Times New Roman;serif"/>
          <w:b w:val="false"/>
          <w:sz w:val="20"/>
        </w:rPr>
        <w:t>Pursuant to the Arctic License Agreement, Arctic Vision paid the Company an aggregate of $8.0</w:t>
      </w:r>
      <w:r>
        <w:rPr>
          <w:rFonts w:ascii="Times New Roman" w:hAnsi="Times New Roman"/>
          <w:sz w:val="20"/>
        </w:rPr>
        <w:t xml:space="preserve"> </w:t>
      </w:r>
      <w:r>
        <w:rPr>
          <w:rFonts w:ascii="Times New Roman;serif" w:hAnsi="Times New Roman;serif"/>
          <w:b w:val="false"/>
          <w:sz w:val="20"/>
        </w:rPr>
        <w:t>million in upfront and milestone payments. In addition, Arctic Vision has agreed to pay the Company up</w:t>
      </w:r>
      <w:r>
        <w:rPr>
          <w:rFonts w:ascii="Times New Roman" w:hAnsi="Times New Roman"/>
          <w:sz w:val="20"/>
        </w:rPr>
        <w:t xml:space="preserve"> </w:t>
      </w:r>
      <w:r>
        <w:rPr>
          <w:rFonts w:ascii="Times New Roman;serif" w:hAnsi="Times New Roman;serif"/>
          <w:b w:val="false"/>
          <w:sz w:val="20"/>
        </w:rPr>
        <w:t>to $24.0</w:t>
      </w:r>
      <w:r>
        <w:rPr>
          <w:rFonts w:ascii="Times New Roman" w:hAnsi="Times New Roman"/>
          <w:sz w:val="20"/>
        </w:rPr>
        <w:t xml:space="preserve"> </w:t>
      </w:r>
      <w:r>
        <w:rPr>
          <w:rFonts w:ascii="Times New Roman;serif" w:hAnsi="Times New Roman;serif"/>
          <w:b w:val="false"/>
          <w:sz w:val="20"/>
        </w:rPr>
        <w:t>million in</w:t>
      </w:r>
      <w:r>
        <w:rPr>
          <w:rFonts w:ascii="Times New Roman" w:hAnsi="Times New Roman"/>
          <w:sz w:val="20"/>
        </w:rPr>
        <w:t xml:space="preserve"> </w:t>
      </w:r>
      <w:r>
        <w:rPr>
          <w:rFonts w:ascii="Times New Roman;serif" w:hAnsi="Times New Roman;serif"/>
          <w:b w:val="false"/>
          <w:sz w:val="20"/>
        </w:rPr>
        <w:t>development and sales milestones. Further, during the applicable royalty term, the Company will also be entitled to receive tiered royalties of ten</w:t>
      </w:r>
      <w:r>
        <w:rPr>
          <w:rFonts w:ascii="Times New Roman" w:hAnsi="Times New Roman"/>
          <w:sz w:val="20"/>
        </w:rPr>
        <w:t xml:space="preserve"> </w:t>
      </w:r>
      <w:r>
        <w:rPr>
          <w:rFonts w:ascii="Times New Roman;serif" w:hAnsi="Times New Roman;serif"/>
          <w:b w:val="false"/>
          <w:sz w:val="20"/>
        </w:rPr>
        <w:t>to twelve</w:t>
      </w:r>
      <w:r>
        <w:rPr>
          <w:rFonts w:ascii="Times New Roman" w:hAnsi="Times New Roman"/>
          <w:sz w:val="20"/>
        </w:rPr>
        <w:t xml:space="preserve"> </w:t>
      </w:r>
      <w:r>
        <w:rPr>
          <w:rFonts w:ascii="Times New Roman;serif" w:hAnsi="Times New Roman;serif"/>
          <w:b w:val="false"/>
          <w:sz w:val="20"/>
        </w:rPr>
        <w:t>percent of net sales based on achieving certain annual net sales thresholds in the Territory, subject to customary reductions, payable on a product-by-product and country-by-country basis, commencing at launch in such country and lasting until the latest of (i) the date that all valid claims within the licensed patent rights covering XIPERE have expired, (ii) the date of the loss of marketing or regulatory exclusivity of XIPERE in a given country, or (iii) ten years from the first commercial sale of XIPERE in a given country. The Company's rights to these royalties and milestone payments have been sold pursuant to the terms and conditions of the Purchase and Sale Agreement described in Note 5 to the consolidated financial statements.</w:t>
      </w:r>
    </w:p>
    <w:p>
      <w:pPr>
        <w:pStyle w:val="TextBody"/>
        <w:bidi w:val="0"/>
        <w:spacing w:before="120" w:after="0"/>
        <w:jc w:val="left"/>
        <w:rPr>
          <w:rFonts w:ascii="Times New Roman" w:hAnsi="Times New Roman"/>
          <w:sz w:val="20"/>
        </w:rPr>
      </w:pPr>
      <w:r>
        <w:rPr>
          <w:rFonts w:ascii="Times New Roman;serif" w:hAnsi="Times New Roman;serif"/>
          <w:b w:val="false"/>
          <w:sz w:val="20"/>
        </w:rPr>
        <w:t>In August 2021, the Company entered into an amendment to the Arctic License Agreement to expand the territories covered by the license to include India and the ASEAN Countries (Brunei, Cambodia, Indonesia, Laos, Malaysia, Myanmar, the Philippines, Singapore, Thailand, and Vietnam). In September 2021, the Company entered into a second amendment to the Arctic Vision License Agreement to expand the Arctic Territory to include Australia and New Zealand. The Company</w:t>
      </w:r>
      <w:r>
        <w:rPr>
          <w:rFonts w:ascii="Times New Roman" w:hAnsi="Times New Roman"/>
          <w:sz w:val="20"/>
        </w:rPr>
        <w:t xml:space="preserve"> </w:t>
      </w:r>
      <w:r>
        <w:rPr>
          <w:rFonts w:ascii="Times New Roman;serif" w:hAnsi="Times New Roman;serif"/>
          <w:b w:val="false"/>
          <w:sz w:val="20"/>
        </w:rPr>
        <w:t>received an aggregate of $3.0</w:t>
      </w:r>
      <w:r>
        <w:rPr>
          <w:rFonts w:ascii="Times New Roman" w:hAnsi="Times New Roman"/>
          <w:sz w:val="20"/>
        </w:rPr>
        <w:t xml:space="preserve"> </w:t>
      </w:r>
      <w:r>
        <w:rPr>
          <w:rFonts w:ascii="Times New Roman;serif" w:hAnsi="Times New Roman;serif"/>
          <w:b w:val="false"/>
          <w:sz w:val="20"/>
        </w:rPr>
        <w:t>million in consideration for the expansion of the Arctic Territory.</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val="false"/>
          <w:i/>
          <w:sz w:val="20"/>
        </w:rPr>
      </w:pPr>
      <w:r>
        <w:rPr>
          <w:rFonts w:ascii="Times New Roman;serif" w:hAnsi="Times New Roman;serif"/>
          <w:b w:val="false"/>
          <w:i/>
          <w:sz w:val="20"/>
        </w:rPr>
        <w:t>Other</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periodically enters into short-term agreements with other customers to evaluate the potential use of its proprietary SCS Microinjector with third-party product candidates for the treatment of various diseases. Funds received from these agreements are recognized as revenue over the term of the agreement.</w:t>
      </w:r>
      <w:r>
        <w:rPr>
          <w:rFonts w:ascii="Times New Roman" w:hAnsi="Times New Roman"/>
          <w:sz w:val="20"/>
        </w:rPr>
        <w:t xml:space="preserve"> </w:t>
      </w:r>
    </w:p>
    <w:p>
      <w:pPr>
        <w:pStyle w:val="TextBody"/>
        <w:bidi w:val="0"/>
        <w:spacing w:before="240" w:after="0"/>
        <w:jc w:val="left"/>
        <w:rPr>
          <w:rFonts w:ascii="Times New Roman;serif" w:hAnsi="Times New Roman;serif"/>
          <w:b/>
          <w:sz w:val="20"/>
        </w:rPr>
      </w:pPr>
      <w:r>
        <w:rPr>
          <w:rFonts w:ascii="Times New Roman;serif" w:hAnsi="Times New Roman;serif"/>
          <w:b/>
          <w:sz w:val="20"/>
        </w:rPr>
        <w:t>11. Fair Value Measurements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Company’s material financial instruments at March 31, 2023 and December 31, 2022 consisted primarily of cash and cash equivalents. The fair values of cash and cash equivalents, other current assets and accounts payable approximate their respective carrying values due to the short term nature of these instruments and are classified as Level 1 in the fair value hierarchy. The fair value of liability related to the sales of future royalties approximates the carrying value due to the short period of time that has elapsed from the origination date and the absence of any identifiable factors that would be reasonably expected to materially impact the fair value of the liability.</w:t>
      </w:r>
    </w:p>
    <w:p>
      <w:pPr>
        <w:pStyle w:val="TextBody"/>
        <w:bidi w:val="0"/>
        <w:spacing w:before="120" w:after="0"/>
        <w:jc w:val="left"/>
        <w:rPr>
          <w:rFonts w:ascii="Times New Roman" w:hAnsi="Times New Roman"/>
          <w:sz w:val="20"/>
        </w:rPr>
      </w:pPr>
      <w:r>
        <w:rPr>
          <w:rFonts w:ascii="Times New Roman;serif" w:hAnsi="Times New Roman;serif"/>
          <w:b w:val="false"/>
          <w:sz w:val="20"/>
        </w:rPr>
        <w:t>There were no</w:t>
      </w:r>
      <w:r>
        <w:rPr>
          <w:rFonts w:ascii="Times New Roman" w:hAnsi="Times New Roman"/>
          <w:sz w:val="20"/>
        </w:rPr>
        <w:t xml:space="preserve"> </w:t>
      </w:r>
      <w:r>
        <w:rPr>
          <w:rFonts w:ascii="Times New Roman;serif" w:hAnsi="Times New Roman;serif"/>
          <w:b w:val="false"/>
          <w:sz w:val="20"/>
        </w:rPr>
        <w:t>transfers between Levels 1, 2 and 3 during the three months ended March 31, 2023 and the year ended December 31, 2022.</w:t>
      </w:r>
    </w:p>
    <w:p>
      <w:pPr>
        <w:pStyle w:val="TextBody"/>
        <w:bidi w:val="0"/>
        <w:spacing w:before="240" w:after="0"/>
        <w:jc w:val="left"/>
        <w:rPr>
          <w:rFonts w:ascii="Times New Roman;serif" w:hAnsi="Times New Roman;serif"/>
          <w:b/>
          <w:sz w:val="20"/>
        </w:rPr>
      </w:pPr>
      <w:r>
        <w:rPr>
          <w:rFonts w:ascii="Times New Roman;serif" w:hAnsi="Times New Roman;serif"/>
          <w:b/>
          <w:sz w:val="20"/>
        </w:rPr>
        <w:t>12. Net Loss Per Share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Basic net loss per share is calculated by dividing the net loss by the weighted average number of shares of common stock outstanding for the period, without consideration of the dilutive effect of potential common stock equivalents. Diluted net loss per share gives effect to all dilutive potential shares of common stock outstanding during this period. For all periods presented, the Company’s potential common stock equivalents, which included stock options, restricted stock units and stock purchase warrants, have been excluded from the computation of diluted net loss per share as their inclusion would have the effect of reducing the net loss per share. Therefore, the denominator used to calculate both basic and diluted net loss per share is the same in all periods presented. The Company’s potential common stock equivalents that have been excluded from the computation of diluted net loss per share for all periods presented because of their antidilutive effect consisted of the following:</w:t>
      </w:r>
    </w:p>
    <w:p>
      <w:pPr>
        <w:pStyle w:val="TextBody"/>
        <w:bidi w:val="0"/>
        <w:spacing w:before="120" w:after="0"/>
        <w:jc w:val="left"/>
        <w:rPr/>
      </w:pPr>
      <w:r>
        <w:rPr/>
        <w:t> </w:t>
      </w:r>
    </w:p>
    <w:tbl>
      <w:tblPr>
        <w:tblW w:w="5559" w:type="dxa"/>
        <w:jc w:val="left"/>
        <w:tblInd w:w="0" w:type="dxa"/>
        <w:tblLayout w:type="fixed"/>
        <w:tblCellMar>
          <w:top w:w="28" w:type="dxa"/>
          <w:left w:w="28" w:type="dxa"/>
          <w:bottom w:w="28" w:type="dxa"/>
          <w:right w:w="28" w:type="dxa"/>
        </w:tblCellMar>
      </w:tblPr>
      <w:tblGrid>
        <w:gridCol w:w="2776"/>
        <w:gridCol w:w="146"/>
        <w:gridCol w:w="146"/>
        <w:gridCol w:w="931"/>
        <w:gridCol w:w="146"/>
        <w:gridCol w:w="146"/>
        <w:gridCol w:w="146"/>
        <w:gridCol w:w="931"/>
        <w:gridCol w:w="19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 xml:space="preserve">Three Months Ended </w:t>
              <w:br/>
              <w:t>March 31,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8,931,659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7,050,541</w:t>
            </w:r>
          </w:p>
        </w:tc>
        <w:tc>
          <w:tcPr>
            <w:tcW w:w="191" w:type="dxa"/>
            <w:tcBorders/>
            <w:vAlign w:val="center"/>
          </w:tcPr>
          <w:p>
            <w:pPr>
              <w:pStyle w:val="TableContents"/>
              <w:bidi w:val="0"/>
              <w:spacing w:before="0" w:after="0"/>
              <w:ind w:left="0" w:right="0" w:hanging="0"/>
              <w:jc w:val="left"/>
              <w:rPr/>
            </w:pPr>
            <w:r>
              <w:rPr/>
              <w:t> </w:t>
            </w:r>
          </w:p>
        </w:tc>
      </w:tr>
      <w:tr>
        <w:trPr/>
        <w:tc>
          <w:tcPr>
            <w:tcW w:w="27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Non-vested restricted stock units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899,041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1,590,476</w:t>
            </w:r>
          </w:p>
        </w:tc>
        <w:tc>
          <w:tcPr>
            <w:tcW w:w="191" w:type="dxa"/>
            <w:tcBorders/>
            <w:vAlign w:val="center"/>
          </w:tcPr>
          <w:p>
            <w:pPr>
              <w:pStyle w:val="TableContents"/>
              <w:bidi w:val="0"/>
              <w:spacing w:before="0" w:after="0"/>
              <w:ind w:left="0" w:right="0" w:hanging="0"/>
              <w:jc w:val="left"/>
              <w:rPr/>
            </w:pPr>
            <w:r>
              <w:rPr/>
              <w:t> </w:t>
            </w:r>
          </w:p>
        </w:tc>
      </w:tr>
      <w:tr>
        <w:trPr/>
        <w:tc>
          <w:tcPr>
            <w:tcW w:w="27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 purchase warrants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29,796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29,796</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9,860,496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8,670,813</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4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360" w:after="0"/>
        <w:jc w:val="left"/>
        <w:rPr>
          <w:rFonts w:ascii="Times New Roman" w:hAnsi="Times New Roman"/>
          <w:sz w:val="20"/>
        </w:rPr>
      </w:pPr>
      <w:bookmarkStart w:id="7" w:name="item_2_managements_discussion_analysis_f"/>
      <w:bookmarkEnd w:id="7"/>
      <w:r>
        <w:rPr>
          <w:rFonts w:ascii="Times New Roman;serif" w:hAnsi="Times New Roman;serif"/>
          <w:b/>
          <w:sz w:val="20"/>
        </w:rPr>
        <w:t>Item 2. Management’s Discussion and Analysis of</w:t>
      </w:r>
      <w:r>
        <w:rPr>
          <w:rFonts w:ascii="Times New Roman" w:hAnsi="Times New Roman"/>
          <w:sz w:val="20"/>
        </w:rPr>
        <w:t xml:space="preserve"> </w:t>
      </w:r>
      <w:r>
        <w:rPr>
          <w:rFonts w:ascii="Times New Roman;serif" w:hAnsi="Times New Roman;serif"/>
          <w:b/>
          <w:sz w:val="20"/>
        </w:rPr>
        <w:t>Financial Condition and Results of Operations.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Certain statements contained in this Quarterly Report on Form 10-Q may constitute forward-looking statements within the meaning of Section 27A of the Securities Act of 1933, as amended, and Section 21E of the Securities Exchange Act of 1934, as amended. The words or phrases “would be,” “will allow,” “intends to,” “will likely result,” “are expected to,” “will continue,” “is anticipated,” “estimate,” “project,” or similar expressions, or the negative of such words or phrases, are intended to identify “forward-looking statements.” We have based these forward-looking statements on our current expectations and projections about future events. Because such statements include risks and uncertainties, actual results may differ materially from those expressed or implied by such forward-looking statements. Factors that could cause or contribute to these differences include those below and elsewhere in this Quarterly Report on Form 10-Q and our other filings with the Securities and Exchange Commission, or SEC, under the heading “Risk Factors”. Statements made herein are as of the date of the filing of this Form 10-Q with the SEC and should not be relied upon as of any subsequent date. Unless otherwise required by applicable law, we do not undertake, and we specifically disclaim, any obligation to update any forward-looking statements to reflect occurrences, developments, unanticipated events or circumstances after the date of such statement.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following discussion and analysis of our financial condition and results of operations should be read in conjunction with our unaudited financial statements and related notes that appear in Item 1 of this Quarterly Report on Form 10-Q and with our audited financial statements and related notes for the year ended December 31, 2022 appearing in our Annual Report on Form 10-K filed with the SEC on March 14, 2023.</w:t>
      </w:r>
    </w:p>
    <w:p>
      <w:pPr>
        <w:pStyle w:val="TextBody"/>
        <w:bidi w:val="0"/>
        <w:spacing w:before="240" w:after="0"/>
        <w:jc w:val="left"/>
        <w:rPr>
          <w:rFonts w:ascii="Times New Roman;serif" w:hAnsi="Times New Roman;serif"/>
          <w:b/>
          <w:sz w:val="20"/>
        </w:rPr>
      </w:pPr>
      <w:r>
        <w:rPr>
          <w:rFonts w:ascii="Times New Roman;serif" w:hAnsi="Times New Roman;serif"/>
          <w:b/>
          <w:sz w:val="20"/>
        </w:rPr>
        <w:t>Overview</w:t>
      </w:r>
    </w:p>
    <w:p>
      <w:pPr>
        <w:pStyle w:val="TextBody"/>
        <w:bidi w:val="0"/>
        <w:spacing w:before="120" w:after="0"/>
        <w:jc w:val="left"/>
        <w:rPr>
          <w:rFonts w:ascii="Times New Roman" w:hAnsi="Times New Roman"/>
          <w:sz w:val="20"/>
        </w:rPr>
      </w:pPr>
      <w:r>
        <w:rPr>
          <w:rFonts w:ascii="Times New Roman;serif" w:hAnsi="Times New Roman;serif"/>
          <w:b w:val="false"/>
          <w:sz w:val="20"/>
        </w:rPr>
        <w:t>We are a biopharmaceutical company focused on revolutionizing the delivery of therapies to the back of the eye through the suprachoroidal space, or SCS</w:t>
      </w:r>
      <w:r>
        <w:rPr>
          <w:rFonts w:ascii="Times New Roman;serif" w:hAnsi="Times New Roman;serif"/>
          <w:b w:val="false"/>
          <w:sz w:val="13"/>
        </w:rPr>
        <w:t>®</w:t>
      </w:r>
      <w:r>
        <w:rPr>
          <w:rFonts w:ascii="Times New Roman;serif" w:hAnsi="Times New Roman;serif"/>
          <w:b w:val="false"/>
          <w:sz w:val="20"/>
        </w:rPr>
        <w:t>. Our novel SCS injection platform, utilizing our proprietary SCS Microinjector</w:t>
      </w:r>
      <w:r>
        <w:rPr>
          <w:rFonts w:ascii="Times New Roman;serif" w:hAnsi="Times New Roman;serif"/>
          <w:b w:val="false"/>
          <w:sz w:val="13"/>
        </w:rPr>
        <w:t>®</w:t>
      </w:r>
      <w:r>
        <w:rPr>
          <w:rFonts w:ascii="Times New Roman;serif" w:hAnsi="Times New Roman;serif"/>
          <w:b w:val="false"/>
          <w:sz w:val="20"/>
        </w:rPr>
        <w:t>, enables an in-office, repeatable, non-surgical procedure for the targeted and compartmentalized delivery of a wide variety of therapies to the macula, retina or choroid to potentially preserve and improve vision in patients with sight-threatening eye diseases. Our SCS injection platform can be used in conjunction with existing drugs designed for delivery to the SCS, novel therapies and future therapeutic innovations. We believe our proprietary suprachoroidal administration platform has the potential to become a standard for delivery of therapies intended to treat chorioretinal diseases.</w:t>
      </w:r>
    </w:p>
    <w:p>
      <w:pPr>
        <w:pStyle w:val="TextBody"/>
        <w:bidi w:val="0"/>
        <w:spacing w:before="120" w:after="0"/>
        <w:jc w:val="left"/>
        <w:rPr>
          <w:rFonts w:ascii="Times New Roman" w:hAnsi="Times New Roman"/>
          <w:sz w:val="20"/>
        </w:rPr>
      </w:pPr>
      <w:r>
        <w:rPr>
          <w:rFonts w:ascii="Times New Roman;serif" w:hAnsi="Times New Roman;serif"/>
          <w:b w:val="false"/>
          <w:sz w:val="20"/>
        </w:rPr>
        <w:t>We are leveraging our SCS injection platform by building an internal research and development pipeline targeting retinal diseases and by creating external collaborations with other companies. We are developing our own pipeline of small molecule product candidates for administration via our SCS Microinjector, and we also strategically partner with companies developing other ophthalmic therapeutic innovations to be administered using our SCS injection platform. Our first product, XIPERE</w:t>
      </w:r>
      <w:r>
        <w:rPr>
          <w:rFonts w:ascii="Times New Roman;serif" w:hAnsi="Times New Roman;serif"/>
          <w:b w:val="false"/>
          <w:sz w:val="13"/>
        </w:rPr>
        <w:t xml:space="preserve">® </w:t>
      </w:r>
      <w:r>
        <w:rPr>
          <w:rFonts w:ascii="Times New Roman;serif" w:hAnsi="Times New Roman;serif"/>
          <w:b w:val="false"/>
          <w:sz w:val="20"/>
        </w:rPr>
        <w:t>(triamcinolone acetonide injectable suspension) for suprachoroidal use, was approved by the U.S. Food and Drug Administration, or the FDA, in October 2021. Approval of XIPERE was a significant milestone for us as it is the first approved therapeutic delivered into the SCS, the first commercial product developed by us and the first therapy for macular edema associated with uveitis. We believe that we are creating a broad therapeutic platform for developing product candidates to treat serious eye diseases.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current development status of our pipeline of internal product candidates and external collaborations is summarized in the chart below:</w:t>
      </w:r>
    </w:p>
    <w:p>
      <w:pPr>
        <w:pStyle w:val="TextBody"/>
        <w:bidi w:val="0"/>
        <w:spacing w:before="120" w:after="120"/>
        <w:jc w:val="left"/>
        <w:rPr/>
      </w:pPr>
      <w:r>
        <w:rPr/>
        <w:drawing>
          <wp:inline distT="0" distB="0" distL="0" distR="0">
            <wp:extent cx="6858000" cy="3162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3162300"/>
                    </a:xfrm>
                    <a:prstGeom prst="rect">
                      <a:avLst/>
                    </a:prstGeom>
                  </pic:spPr>
                </pic:pic>
              </a:graphicData>
            </a:graphic>
          </wp:inline>
        </w:drawing>
      </w:r>
      <w:r>
        <w:rPr/>
        <w:t> </w:t>
      </w:r>
    </w:p>
    <w:p>
      <w:pPr>
        <w:pStyle w:val="TextBody"/>
        <w:bidi w:val="0"/>
        <w:spacing w:before="240" w:after="0"/>
        <w:jc w:val="left"/>
        <w:rPr>
          <w:rFonts w:ascii="Times New Roman;serif" w:hAnsi="Times New Roman;serif"/>
          <w:b/>
          <w:sz w:val="20"/>
        </w:rPr>
      </w:pPr>
      <w:r>
        <w:rPr>
          <w:rFonts w:ascii="Times New Roman;serif" w:hAnsi="Times New Roman;serif"/>
          <w:b/>
          <w:sz w:val="20"/>
        </w:rPr>
        <w:t>Commercial Product</w:t>
      </w:r>
    </w:p>
    <w:p>
      <w:pPr>
        <w:pStyle w:val="TextBody"/>
        <w:bidi w:val="0"/>
        <w:spacing w:before="120" w:after="0"/>
        <w:jc w:val="left"/>
        <w:rPr>
          <w:rFonts w:ascii="Times New Roman" w:hAnsi="Times New Roman"/>
          <w:sz w:val="20"/>
        </w:rPr>
      </w:pPr>
      <w:r>
        <w:rPr>
          <w:rFonts w:ascii="Times New Roman;serif" w:hAnsi="Times New Roman;serif"/>
          <w:b w:val="false"/>
          <w:sz w:val="20"/>
        </w:rPr>
        <w:t>XIPERE</w:t>
      </w:r>
      <w:r>
        <w:rPr>
          <w:rFonts w:ascii="Times New Roman;serif" w:hAnsi="Times New Roman;serif"/>
          <w:b w:val="false"/>
          <w:sz w:val="13"/>
        </w:rPr>
        <w:t xml:space="preserve">® </w:t>
      </w:r>
      <w:r>
        <w:rPr>
          <w:rFonts w:ascii="Times New Roman;serif" w:hAnsi="Times New Roman;serif"/>
          <w:b w:val="false"/>
          <w:sz w:val="20"/>
        </w:rPr>
        <w:t>(triamcinolone acetonide injectable suspension) for suprachoroidal use, was approved by the U.S. Food and Drug Administration, or the FDA, in October 2021. XIPERE is the first approved therapeutic delivered into the SCS, the first commercial product developed by us and the first therapy for macular edema associated with uveitis.XIPERE commercialization rights are licensed to Bausch + Lomb in the U.S. and Arctic Vision in Asia.</w:t>
      </w:r>
    </w:p>
    <w:p>
      <w:pPr>
        <w:pStyle w:val="TextBody"/>
        <w:bidi w:val="0"/>
        <w:spacing w:before="240" w:after="0"/>
        <w:jc w:val="left"/>
        <w:rPr>
          <w:rFonts w:ascii="Times New Roman;serif" w:hAnsi="Times New Roman;serif"/>
          <w:b/>
          <w:sz w:val="20"/>
        </w:rPr>
      </w:pPr>
      <w:r>
        <w:rPr>
          <w:rFonts w:ascii="Times New Roman;serif" w:hAnsi="Times New Roman;serif"/>
          <w:b/>
          <w:sz w:val="20"/>
        </w:rPr>
        <w:t>Clinical Development Pipeline</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CLS-AX (axitinib injectable suspension)</w:t>
      </w:r>
    </w:p>
    <w:p>
      <w:pPr>
        <w:pStyle w:val="TextBody"/>
        <w:bidi w:val="0"/>
        <w:spacing w:before="120" w:after="0"/>
        <w:jc w:val="left"/>
        <w:rPr>
          <w:rFonts w:ascii="Times New Roman" w:hAnsi="Times New Roman"/>
          <w:sz w:val="20"/>
        </w:rPr>
      </w:pPr>
      <w:r>
        <w:rPr>
          <w:rFonts w:ascii="Times New Roman;serif" w:hAnsi="Times New Roman;serif"/>
          <w:b w:val="false"/>
          <w:sz w:val="20"/>
        </w:rPr>
        <w:t>CLS-AX, our most advanced product candidate, is our proprietary suspension of the TKI axitinib for suprachoroidal injection delivered via our SCS Microinjector. We are developing CLS-AX for administration to the SCS as a long-acting therapy for neovascular age related macular degeneration (wet AMD), a retinal degenerative disease that causes a progressive loss of central vision.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February 2, 2023, we announced the final, positive results from the OASIS Phase 1/2a clinical trial in wet AMD. CLS-AX was well-tolerated and demonstrated a favorable safety profile across all cohorts. The full extension data for Cohorts 3 and 4 showed promising durability and signs of biologic effect.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Based on the results from the OASIS trial, we are planning to conduct a randomized, controlled, double-masked, Phase 2b clinical trial of CLS-AX for the treatment of wet AMD, which we refer to as ODYSSEY. We expect to open enrollment in the second quarter of 2023, with data expected in the third quarter of 2024.</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Preclinical</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We have an experienced team of scientists and researchers evaluating small molecules that may be utilized as potential treatment options for back of the eye diseases utilizing our SCS Microinjector for delivery in the suprachoroidal space.</w:t>
      </w:r>
    </w:p>
    <w:p>
      <w:pPr>
        <w:pStyle w:val="TextBody"/>
        <w:bidi w:val="0"/>
        <w:spacing w:before="240" w:after="0"/>
        <w:jc w:val="left"/>
        <w:rPr>
          <w:rFonts w:ascii="Times New Roman;serif" w:hAnsi="Times New Roman;serif"/>
          <w:b/>
          <w:sz w:val="20"/>
        </w:rPr>
      </w:pPr>
      <w:r>
        <w:rPr>
          <w:rFonts w:ascii="Times New Roman;serif" w:hAnsi="Times New Roman;serif"/>
          <w:b/>
          <w:sz w:val="20"/>
        </w:rPr>
        <w:t>External Collaborations Pipeline</w:t>
      </w:r>
    </w:p>
    <w:p>
      <w:pPr>
        <w:pStyle w:val="TextBody"/>
        <w:bidi w:val="0"/>
        <w:spacing w:before="120" w:after="0"/>
        <w:jc w:val="left"/>
        <w:rPr>
          <w:rFonts w:ascii="Times New Roman" w:hAnsi="Times New Roman"/>
          <w:sz w:val="20"/>
        </w:rPr>
      </w:pPr>
      <w:r>
        <w:rPr>
          <w:rFonts w:ascii="Times New Roman;serif" w:hAnsi="Times New Roman;serif"/>
          <w:b w:val="false"/>
          <w:sz w:val="20"/>
        </w:rPr>
        <w:t>In order to expand the global reach of our suprachoroidal injection platform, we have strategically partnered some of our assets for development and/or commercialization and intend to continue partnering our assets. By entering into these partnerships, we have been able to expand the use of our suprachoroidal injection platform to other indications and geographies globally. We currently have collaborations with Bausch Health, Arctic Vision, REGENXBIO, Inc., and Aura Biosciences.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r>
        <w:rPr>
          <w:rFonts w:ascii="Times New Roman;serif" w:hAnsi="Times New Roman;serif"/>
          <w:b/>
          <w:sz w:val="20"/>
        </w:rPr>
        <w:t>Royalty Purchase and Sale Agreement</w:t>
      </w:r>
    </w:p>
    <w:p>
      <w:pPr>
        <w:pStyle w:val="TextBody"/>
        <w:bidi w:val="0"/>
        <w:spacing w:before="120" w:after="0"/>
        <w:jc w:val="left"/>
        <w:rPr>
          <w:rFonts w:ascii="Times New Roman" w:hAnsi="Times New Roman"/>
          <w:sz w:val="20"/>
        </w:rPr>
      </w:pPr>
      <w:r>
        <w:rPr>
          <w:rFonts w:ascii="Times New Roman;serif" w:hAnsi="Times New Roman;serif"/>
          <w:b w:val="false"/>
          <w:sz w:val="20"/>
        </w:rPr>
        <w:t>On August 8, 2022, or the Closing Date, we, through our wholly-owned subsidiary Clearside Royalty LLC, a Delaware limited liability company, or Royalty Sub, entered into a Purchase and Sale Agreement, or the Purchase and Sale Agreement, with entities managed by HealthCare Royalty Management, LLC, or HCR, pursuant to which Royalty Sub sold to HCR certain of its rights to receive royalty and milestone payments payable to Royalty Sub under the Arctic Vision License Agreement, the Bausch License Agreement, that certain License Agreement, effective as of July 3, 2019, by and between the Company and Aura, or the Aura License Agreement, the REGENXBIO Option and License Agreement and any and all out-license agreements following the Closing Date for, or related to XIPERE</w:t>
      </w:r>
      <w:r>
        <w:rPr>
          <w:rFonts w:ascii="Times New Roman" w:hAnsi="Times New Roman"/>
          <w:sz w:val="20"/>
        </w:rPr>
        <w:t xml:space="preserve"> </w:t>
      </w:r>
      <w:r>
        <w:rPr>
          <w:rFonts w:ascii="Times New Roman;serif" w:hAnsi="Times New Roman;serif"/>
          <w:b w:val="false"/>
          <w:sz w:val="20"/>
        </w:rPr>
        <w:t>or the SCS Microinjector technology (to be used in connection with compounds or products of any third parties delivered, in whole or in part, by means of the SCS Microinjector technology), excluding, for the avoidance of doubt, any in-licensed or internally developed therapies following the Closing Date, or the Royalties, in exchange for up to $65 million. In connection with this transaction, we assigned the Arctic Vision License Agreement, Bausch License Agreement, Aura License Agreement, REGENXBIO Option and License Agreement, our license agreement with Emory University and The Georgia Tech Research Corporation and related intellectual property rights to Royalty Sub.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Under the terms of the Purchase and Sale Agreement, Royalty Sub received an initial payment of $32.1 million, representing the $32.5 million to which we were entitled, net of certain of HCR's transaction-related expenses which we agreed to reimburse. An additional $12.5 million was deposited by HCR in an escrow account to be released to Royalty Sub upon attainment of a pre-specified XIPERE sales milestone achieved no later than March 31, 2024. The terms of the Purchase and Sale Agreement also provide for an additional $20.0 million milestone payment to Royalty Sub upon attainment of a second pre-specified sales milestone related to 2024 XIPERE sales, or the Second Milestone Event.</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Purchase and Sale Agreement will automatically expire, and the payment of Royalties from the Royalty Sub to HCR will cease, when HCR has received payments of the Royalties equal to 2.5 times the aggregate amount of payments made by HCR under the Agreement if the Second Milestone Event is achieved on or prior to December 31, 2024, or the Initial Cap. If the Second Milestone Event is not achieved on or prior to December 31, 2024, payment of Royalties from Royalty Sub to HCR will cease when HCR has received Royalties payments equal to 3.4 times the aggregate amount of payments under the Purchase and Sale Agreement, or the Alternative Cap. In the event of a change in control, acquiror will have the option to make a payment to HCR of the Initial Cap or the Alternative Cap, depending on which is then in effect, less the aggregate amount of Royalty payments made by Royalty Sub to HCR under the Purchase and Sale Agreement as a one-time payment at which time, payment of Royalties to HCR will cease. Alternatively, in the event of a change in control, the acquiror will have the option to make an initial payment of 1.0 times the aggregate amount of payments made by HCR under the Purchase and Sale Agreement as of the date of such change in control, then in that event, payment of Royalties from Royalty Sub to HCR will cease when HCR has received total Royalties payments (including the initial payment) equal to the Alternative Cap. After the Purchase and Sale Agreement expires, all rights to receive the Royalties return to Royalty Sub.</w:t>
      </w:r>
    </w:p>
    <w:p>
      <w:pPr>
        <w:pStyle w:val="TextBody"/>
        <w:bidi w:val="0"/>
        <w:spacing w:before="240" w:after="0"/>
        <w:jc w:val="left"/>
        <w:rPr>
          <w:rFonts w:ascii="Times New Roman;serif" w:hAnsi="Times New Roman;serif"/>
          <w:b/>
          <w:sz w:val="20"/>
        </w:rPr>
      </w:pPr>
      <w:r>
        <w:rPr>
          <w:rFonts w:ascii="Times New Roman;serif" w:hAnsi="Times New Roman;serif"/>
          <w:b/>
          <w:sz w:val="20"/>
        </w:rPr>
        <w:t>Operating Outlook</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We have incurred net losses since our inception. In recent years, our operations have consisted primarily of conducting preclinical studies and clinical trials, raising capital and undertaking other research and development initiatives. To date, we have not generated any revenue, other than license and other revenue, and we have primarily financed our operations through public offerings and private placements of our equity securities, issuances of convertible promissory notes and loan agreements. As of March 31, 2023, we had an accumulated deficit of $297.7 million. We recorded net losses of $9.3 million and $7.6 million for the three months ended March 31, 2023 and 2022, respectively. We anticipate that a substantial portion of our capital resources and efforts in the foreseeable future will be focused on completing the necessary development for and obtaining regulatory approval of our product candidates, as well as discovering compounds and developing proprietary formulations to utilize with our SCS Microinjector.</w:t>
      </w:r>
    </w:p>
    <w:p>
      <w:pPr>
        <w:pStyle w:val="TextBody"/>
        <w:bidi w:val="0"/>
        <w:spacing w:before="0" w:after="0"/>
        <w:jc w:val="left"/>
        <w:rPr>
          <w:rFonts w:ascii="Times New Roman" w:hAnsi="Times New Roman"/>
          <w:sz w:val="20"/>
        </w:rPr>
      </w:pPr>
      <w:r>
        <w:rPr>
          <w:rFonts w:ascii="Times New Roman;serif" w:hAnsi="Times New Roman;serif"/>
          <w:b w:val="false"/>
          <w:sz w:val="20"/>
        </w:rPr>
        <w:t>We expect to continue to incur significant and increasing operating losses at least for the next several years. We do not expect to generate significant product or license and other revenue unless and until XIPERE is successfully commercialized by our licensees or until we successfully complete development of, obtain regulatory approval for and commercialize additional product candidates, either on our own or together with a third party. Our financial results may fluctuate significantly from quarter to quarter and year to year, depending on the timing of our clinical trials and our expenditures on other research and development activities. We expect clinical trial expenses to increase in the remainder of 2023 as a result of our Phase 2b clinical trial of CLS-AX, as well as continuing our pipeline development. We also will continue our efforts to seek to discover, research and develop additional product candidates and regulatory approvals in additional regions for XIPERE for the treatment of macular edema associated with uveitis.</w:t>
      </w:r>
      <w:r>
        <w:rPr>
          <w:rFonts w:ascii="Times New Roman" w:hAnsi="Times New Roman"/>
          <w:sz w:val="20"/>
        </w:rPr>
        <w:t xml:space="preserve"> </w:t>
      </w:r>
    </w:p>
    <w:p>
      <w:pPr>
        <w:pStyle w:val="TextBody"/>
        <w:bidi w:val="0"/>
        <w:spacing w:before="240" w:after="0"/>
        <w:jc w:val="left"/>
        <w:rPr>
          <w:rFonts w:ascii="Times New Roman;serif" w:hAnsi="Times New Roman;serif"/>
          <w:b/>
          <w:sz w:val="20"/>
        </w:rPr>
      </w:pPr>
      <w:r>
        <w:rPr>
          <w:rFonts w:ascii="Times New Roman;serif" w:hAnsi="Times New Roman;serif"/>
          <w:b/>
          <w:sz w:val="20"/>
        </w:rPr>
        <w:t>Components of Operating Results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License and Other Revenue</w:t>
      </w:r>
    </w:p>
    <w:p>
      <w:pPr>
        <w:pStyle w:val="TextBody"/>
        <w:bidi w:val="0"/>
        <w:spacing w:before="120" w:after="0"/>
        <w:jc w:val="left"/>
        <w:rPr>
          <w:rFonts w:ascii="Times New Roman" w:hAnsi="Times New Roman"/>
          <w:sz w:val="20"/>
        </w:rPr>
      </w:pPr>
      <w:r>
        <w:rPr>
          <w:rFonts w:ascii="Times New Roman;serif" w:hAnsi="Times New Roman;serif"/>
          <w:b w:val="false"/>
          <w:sz w:val="20"/>
        </w:rPr>
        <w:t>We have not generated any revenue from the sale of XIPERE and we do not expect to generate any other product revenue unless or until we obtain regulatory approval of and commercialize our other product candidates, either on our own or with a third party. The revenue received under the Bausch license agreement, as well as other certain payments from our licensees, will be recorded as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non-cash revenue until we have fulfilled our obligations under the Purchase and Sale Agreement. Our revenue in recent years has been generated primarily from our license agreements. We are seeking to enter into additional license and other agreements with third parties to evaluate the potential use of our proprietary SCS Microinjector with the third party’s product candidates for the treatment of various eye diseases. These agreements may include payments to us for technology access, upfront license payments, regulatory and commercial milestone payments and royalties.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Research and Development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Research and development expenses consist primarily of costs incurred for the research and development of our preclinical and clinical product candidates, which include: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employee-related expenses, including salaries, benefits, travel and share-based compensation expense for research and development personnel;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expenses incurred under agreements with contract research organizations, or CROs, as well as contract manufacturing organizations and consultants that conduct clinical trials and preclinical studies;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costs associated with nonclinical activities and development activities;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costs associated with submitting regulatory approval applications for our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costs associated with training physicians on the suprachoroidal injection procedure and educating and providing them with appropriate product candidate information;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costs associated with technology and intellectual property licenses;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costs for our research and development facility;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depreciation expense for assets used in research and development activities.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expense research and development costs to operations as incurred. These costs include preclinical activities, such as manufacturing and stability and toxicology studies, that are supportive of a product candidate itself. In addition, there are expenses related to clinical trials and similar activities for each program, including costs associated with CROs. Clinical costs are recognized based on the terms of underlying agreements, as well as an evaluation of the progress to completion of specific tasks using data such as patient enrollment, clinical site activations and additional information provided to us by our vendors about their actual costs occurred. Expenses related to activities that support more than one development program or activity, such as salaries, share-based compensation and depreciation, are not classified as direct preclinical costs or clinical costs and are separately classified as unallocated.</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The following table shows our research and development expenses by program for the three months ended March 31, 2023 and 2022 (in thousands).</w:t>
      </w:r>
    </w:p>
    <w:tbl>
      <w:tblPr>
        <w:tblW w:w="6014" w:type="dxa"/>
        <w:jc w:val="left"/>
        <w:tblInd w:w="0" w:type="dxa"/>
        <w:tblLayout w:type="fixed"/>
        <w:tblCellMar>
          <w:top w:w="28" w:type="dxa"/>
          <w:left w:w="28" w:type="dxa"/>
          <w:bottom w:w="28" w:type="dxa"/>
          <w:right w:w="28" w:type="dxa"/>
        </w:tblCellMar>
      </w:tblPr>
      <w:tblGrid>
        <w:gridCol w:w="3421"/>
        <w:gridCol w:w="146"/>
        <w:gridCol w:w="211"/>
        <w:gridCol w:w="571"/>
        <w:gridCol w:w="146"/>
        <w:gridCol w:w="146"/>
        <w:gridCol w:w="211"/>
        <w:gridCol w:w="571"/>
        <w:gridCol w:w="59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4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Three Months Ended</w:t>
              <w:br/>
              <w:t>March 31,</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XIPERE (uveitis program)</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w:t>
            </w:r>
          </w:p>
        </w:tc>
        <w:tc>
          <w:tcPr>
            <w:tcW w:w="591" w:type="dxa"/>
            <w:tcBorders/>
            <w:vAlign w:val="center"/>
          </w:tcPr>
          <w:p>
            <w:pPr>
              <w:pStyle w:val="TableContents"/>
              <w:bidi w:val="0"/>
              <w:spacing w:before="0" w:after="0"/>
              <w:ind w:left="0" w:right="0" w:hanging="0"/>
              <w:jc w:val="left"/>
              <w:rPr/>
            </w:pPr>
            <w:r>
              <w:rPr/>
              <w:t> </w:t>
            </w:r>
          </w:p>
        </w:tc>
      </w:tr>
      <w:tr>
        <w:trPr/>
        <w:tc>
          <w:tcPr>
            <w:tcW w:w="34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CLS-AX (wet AMD program)</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1,108</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342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1,228</w:t>
            </w:r>
          </w:p>
        </w:tc>
        <w:tc>
          <w:tcPr>
            <w:tcW w:w="591" w:type="dxa"/>
            <w:tcBorders/>
            <w:vAlign w:val="center"/>
          </w:tcPr>
          <w:p>
            <w:pPr>
              <w:pStyle w:val="TableContents"/>
              <w:bidi w:val="0"/>
              <w:spacing w:before="0" w:after="0"/>
              <w:ind w:left="0" w:right="0" w:hanging="0"/>
              <w:jc w:val="left"/>
              <w:rPr/>
            </w:pPr>
            <w:r>
              <w:rPr/>
              <w:t> </w:t>
            </w:r>
          </w:p>
        </w:tc>
      </w:tr>
      <w:tr>
        <w:trPr/>
        <w:tc>
          <w:tcPr>
            <w:tcW w:w="34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Unallocated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3,064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3,308</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research and development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4,451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4,536</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 w:hAnsi="Times New Roman"/>
          <w:sz w:val="20"/>
        </w:rPr>
      </w:pPr>
      <w:r>
        <w:rPr>
          <w:rFonts w:ascii="Times New Roman;serif" w:hAnsi="Times New Roman;serif"/>
          <w:b w:val="false"/>
          <w:sz w:val="20"/>
        </w:rPr>
        <w:t>Our expenses related to clinical trials are based on estimates of patient enrollment and related expenses at clinical investigator sites as well as estimates for the services received and efforts expended under contracts with research institutions, consultants and CROs that conduct and manage clinical trials on our behalf. We generally accrue expenses related to clinical trials based on contracted amounts applied to the level of patient enrollment and activity according to the protocol. If future timelines or contracts are modified based upon changes in the clinical trial protocol or scope of work to be performed, we would modify our estimates of accrued expenses accordingly on a prospective basis.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However, it is difficult to determine with certainty the duration and completion costs of our current or future preclinical programs and clinical trials of our product candidates, or if, when or to what extent we will generate revenues from the commercialization and sale of any of our product candidates that obtain regulatory approval. We may never succeed in achieving regulatory approval for any of our current or future product candidates.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duration, costs and timing of clinical trials and development of our product candidates will depend on a variety of factors that may include, among others: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costs associated with process development, scale-up and manufacturing of our product candidates including the SCS Microinjector for clinical trials and for requirements associated with regulatory filings;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number of trials required for approval and any requirement for extension trials;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per patient trial costs;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number of patients that participate in the trials;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number of sites included in the trials;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countries in which the trials are conducted;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length of time required to enroll eligible patients;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number of doses that patients receive;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drop-out or discontinuation rates of patients;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potential additional safety monitoring or other studies requested by regulatory agencies;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duration of patient follow-up;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efficacy and safety profiles of the product candidates.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pStyle w:val="TextBody"/>
        <w:bidi w:val="0"/>
        <w:spacing w:before="240" w:after="0"/>
        <w:jc w:val="left"/>
        <w:rPr>
          <w:rFonts w:ascii="Times New Roman;serif" w:hAnsi="Times New Roman;serif"/>
          <w:b/>
          <w:i/>
          <w:sz w:val="20"/>
        </w:rPr>
      </w:pPr>
      <w:r>
        <w:rPr>
          <w:rFonts w:ascii="Times New Roman;serif" w:hAnsi="Times New Roman;serif"/>
          <w:b/>
          <w:i/>
          <w:sz w:val="20"/>
        </w:rPr>
        <w:t>General and Administrative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General and administrative expenses consist primarily of salaries and other related costs, including share-based compensation, for personnel in executive, finance and administrative functions. General and administrative costs historically included commercial pre-launch preparations for XIPERE, and also include facility related costs not otherwise included in research and development expenses, as well as professional fees for legal, patent, consulting, and accounting and audit services.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Other Income</w:t>
      </w:r>
    </w:p>
    <w:p>
      <w:pPr>
        <w:pStyle w:val="TextBody"/>
        <w:bidi w:val="0"/>
        <w:spacing w:before="120" w:after="0"/>
        <w:jc w:val="left"/>
        <w:rPr>
          <w:rFonts w:ascii="Times New Roman" w:hAnsi="Times New Roman"/>
          <w:sz w:val="20"/>
        </w:rPr>
      </w:pPr>
      <w:r>
        <w:rPr>
          <w:rFonts w:ascii="Times New Roman;serif" w:hAnsi="Times New Roman;serif"/>
          <w:b w:val="false"/>
          <w:sz w:val="20"/>
        </w:rPr>
        <w:t>Other income consists of the accrued interest and interest income earned on our cash and cash equivalents. Interest income is not considered significant to our financial statements.</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Non-cash Interest Expense on Liability Related to the Sales of Future Royalties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Non-cash interest expense on liability related to the sales of future royalties consists of imputed interest on the carrying value of the liability and the amortization of the related issuance costs.</w:t>
      </w:r>
    </w:p>
    <w:p>
      <w:pPr>
        <w:pStyle w:val="TextBody"/>
        <w:bidi w:val="0"/>
        <w:spacing w:before="240" w:after="0"/>
        <w:jc w:val="left"/>
        <w:rPr>
          <w:rFonts w:ascii="Times New Roman;serif" w:hAnsi="Times New Roman;serif"/>
          <w:b/>
          <w:sz w:val="20"/>
        </w:rPr>
      </w:pPr>
      <w:r>
        <w:rPr>
          <w:rFonts w:ascii="Times New Roman;serif" w:hAnsi="Times New Roman;serif"/>
          <w:b/>
          <w:sz w:val="20"/>
        </w:rPr>
        <w:t>Critical Accounting Policies and Significant Judgments and Estimates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management’s discussion and analysis of our financial condition and results of operations is based on our consolidated financial statements, which have been prepared in accordance with accounting principles generally accepted in the United States of America, or U.S. GAAP. The preparation of these consolidated financial statements requires us to make estimates, judgments and assumptions that affect the reported amounts of assets and liabilities, disclosure of contingent assets and liabilities as of the dates of the balance sheets and the reported amounts of expenses during the reporting periods. In accordance with U.S. GAAP, we evaluate our estimates and judgments on an ongoing basis. Significant estimates include assumptions used in the determination of share-based compensation and some of our research and development expenses.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120" w:after="0"/>
        <w:jc w:val="left"/>
        <w:rPr>
          <w:rFonts w:ascii="Times New Roman" w:hAnsi="Times New Roman"/>
          <w:sz w:val="20"/>
        </w:rPr>
      </w:pPr>
      <w:r>
        <w:rPr>
          <w:rFonts w:ascii="Times New Roman;serif" w:hAnsi="Times New Roman;serif"/>
          <w:b w:val="false"/>
          <w:sz w:val="20"/>
        </w:rPr>
        <w:t>We define our critical accounting policies as those accounting principles generally accepted in the United States of America that require us to make subjective estimates and judgments about matters that are uncertain and are likely to have a material impact on our financial condition and results of operations, as well as the specific manner in which we apply those principles. During the three months ended March 31, 2023, there were no significant changes to our critical accounting policies disclosed in our audited financial</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statements for the year ended December 31, 2022, which are included in our Annual Report on Form 10-K, as filed with the SEC on March 14, 2023.</w:t>
      </w:r>
    </w:p>
    <w:p>
      <w:pPr>
        <w:pStyle w:val="TextBody"/>
        <w:bidi w:val="0"/>
        <w:spacing w:before="240" w:after="0"/>
        <w:jc w:val="left"/>
        <w:rPr>
          <w:rFonts w:ascii="Times New Roman;serif" w:hAnsi="Times New Roman;serif"/>
          <w:b/>
          <w:sz w:val="20"/>
        </w:rPr>
      </w:pPr>
      <w:r>
        <w:rPr>
          <w:rFonts w:ascii="Times New Roman;serif" w:hAnsi="Times New Roman;serif"/>
          <w:b/>
          <w:sz w:val="20"/>
        </w:rPr>
        <w:t>Results of Operations for the Three Months Ended March 31, 2023 and 2022</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The following table sets forth our results of operations for the three months ended March 31, 2023 and 2022.</w:t>
      </w:r>
    </w:p>
    <w:tbl>
      <w:tblPr>
        <w:tblW w:w="7672" w:type="dxa"/>
        <w:jc w:val="left"/>
        <w:tblInd w:w="0" w:type="dxa"/>
        <w:tblLayout w:type="fixed"/>
        <w:tblCellMar>
          <w:top w:w="28" w:type="dxa"/>
          <w:left w:w="28" w:type="dxa"/>
          <w:bottom w:w="28" w:type="dxa"/>
          <w:right w:w="28" w:type="dxa"/>
        </w:tblCellMar>
      </w:tblPr>
      <w:tblGrid>
        <w:gridCol w:w="3241"/>
        <w:gridCol w:w="146"/>
        <w:gridCol w:w="211"/>
        <w:gridCol w:w="631"/>
        <w:gridCol w:w="166"/>
        <w:gridCol w:w="146"/>
        <w:gridCol w:w="211"/>
        <w:gridCol w:w="631"/>
        <w:gridCol w:w="166"/>
        <w:gridCol w:w="146"/>
        <w:gridCol w:w="342"/>
        <w:gridCol w:w="1024"/>
        <w:gridCol w:w="61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Three Months Ended</w:t>
              <w:br/>
              <w:t>March 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66"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Period-to-Period</w:t>
            </w:r>
          </w:p>
        </w:tc>
        <w:tc>
          <w:tcPr>
            <w:tcW w:w="611" w:type="dxa"/>
            <w:tcBorders/>
            <w:vAlign w:val="center"/>
          </w:tcPr>
          <w:p>
            <w:pPr>
              <w:pStyle w:val="TableContents"/>
              <w:bidi w:val="0"/>
              <w:spacing w:before="0" w:after="0"/>
              <w:ind w:left="0" w:right="0" w:hanging="0"/>
              <w:jc w:val="center"/>
              <w:rPr/>
            </w:pPr>
            <w:r>
              <w:rPr/>
              <w:t> </w:t>
            </w:r>
          </w:p>
        </w:tc>
      </w:tr>
      <w:tr>
        <w:trPr/>
        <w:tc>
          <w:tcPr>
            <w:tcW w:w="3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6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Change</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74" w:type="dxa"/>
            <w:gridSpan w:val="10"/>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(in thousands)</w:t>
            </w:r>
          </w:p>
        </w:tc>
        <w:tc>
          <w:tcPr>
            <w:tcW w:w="611" w:type="dxa"/>
            <w:tcBorders/>
            <w:vAlign w:val="center"/>
          </w:tcPr>
          <w:p>
            <w:pPr>
              <w:pStyle w:val="TableContents"/>
              <w:bidi w:val="0"/>
              <w:spacing w:before="0" w:after="0"/>
              <w:ind w:left="0" w:right="0" w:hanging="0"/>
              <w:jc w:val="center"/>
              <w:rPr/>
            </w:pPr>
            <w:r>
              <w:rPr/>
              <w:t> </w:t>
            </w:r>
          </w:p>
        </w:tc>
      </w:tr>
      <w:tr>
        <w:trPr/>
        <w:tc>
          <w:tcPr>
            <w:tcW w:w="32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License and other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2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(343</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66"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32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4,536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2"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2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3,158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3,457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(299</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324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7,609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7,993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(384</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(7,605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(7,646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42"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c>
          <w:tcPr>
            <w:tcW w:w="611" w:type="dxa"/>
            <w:tcBorders/>
            <w:vAlign w:val="center"/>
          </w:tcPr>
          <w:p>
            <w:pPr>
              <w:pStyle w:val="TableContents"/>
              <w:bidi w:val="0"/>
              <w:spacing w:before="0" w:after="0"/>
              <w:ind w:left="0" w:right="0" w:hanging="0"/>
              <w:jc w:val="left"/>
              <w:rPr/>
            </w:pPr>
            <w:r>
              <w:rPr/>
              <w:t> </w:t>
            </w:r>
          </w:p>
        </w:tc>
      </w:tr>
      <w:tr>
        <w:trPr/>
        <w:tc>
          <w:tcPr>
            <w:tcW w:w="32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2"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490</w:t>
            </w:r>
          </w:p>
        </w:tc>
        <w:tc>
          <w:tcPr>
            <w:tcW w:w="611" w:type="dxa"/>
            <w:tcBorders/>
            <w:vAlign w:val="center"/>
          </w:tcPr>
          <w:p>
            <w:pPr>
              <w:pStyle w:val="TableContents"/>
              <w:bidi w:val="0"/>
              <w:spacing w:before="0" w:after="0"/>
              <w:ind w:left="0" w:right="0" w:hanging="0"/>
              <w:jc w:val="left"/>
              <w:rPr/>
            </w:pPr>
            <w:r>
              <w:rPr/>
              <w:t> </w:t>
            </w:r>
          </w:p>
        </w:tc>
      </w:tr>
      <w:tr>
        <w:trPr/>
        <w:tc>
          <w:tcPr>
            <w:tcW w:w="32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Non-cash interest expense on liability</w:t>
              <w:br/>
              <w:t>   related to the sales of future royalties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(2,167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(2,167</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(9,280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(7,644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(1,636</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120" w:after="0"/>
        <w:jc w:val="left"/>
        <w:rPr>
          <w:rFonts w:ascii="Times New Roman" w:hAnsi="Times New Roman"/>
          <w:sz w:val="20"/>
        </w:rPr>
      </w:pPr>
      <w:r>
        <w:rPr>
          <w:rFonts w:ascii="Times New Roman;serif" w:hAnsi="Times New Roman;serif"/>
          <w:b w:val="false"/>
          <w:i/>
          <w:sz w:val="20"/>
        </w:rPr>
        <w:t>Revenue</w:t>
      </w:r>
      <w:r>
        <w:rPr>
          <w:rFonts w:ascii="Times New Roman;serif" w:hAnsi="Times New Roman;serif"/>
          <w:b w:val="false"/>
          <w:sz w:val="20"/>
        </w:rPr>
        <w:t>. In the three months ended March 31, 2023 and 2022, we recognized $4,000 and $0.3 million, respectively, of revenue associated with our license agreements.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Research and development</w:t>
      </w:r>
      <w:r>
        <w:rPr>
          <w:rFonts w:ascii="Times New Roman;serif" w:hAnsi="Times New Roman;serif"/>
          <w:b w:val="false"/>
          <w:sz w:val="20"/>
        </w:rPr>
        <w:t>. Research and development expense decreased by $0.1 million for the three months ended March 31, 2022 compared to the three months ended March 31, 2023. This decrease was due to a $0.4 million research and development tax credit received in the current period. This is partially offset by a $0.3 million increase in costs related to the CLS-AX program, which includes the final costs for our OASIS Phase 1/2a clinical trial and OASIS extension study, and the startup costs for ODYSSEY, our Phase 2b clinical trial.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General and administrative</w:t>
      </w:r>
      <w:r>
        <w:rPr>
          <w:rFonts w:ascii="Times New Roman;serif" w:hAnsi="Times New Roman;serif"/>
          <w:b w:val="false"/>
          <w:sz w:val="20"/>
        </w:rPr>
        <w:t>. General and administrative expenses decreased by $0.3 million, from $3.5 million for the three months ended March 31, 2022 to $3.2 million for the three months ended March 31, 2023. This was primarily attributable to a $0.3 million decrease in consulting fees and a $0.2 million decrease in employee related costs and is offset by a $0.3 million increase in professional fees.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 xml:space="preserve">Other income. </w:t>
      </w:r>
      <w:r>
        <w:rPr>
          <w:rFonts w:ascii="Times New Roman;serif" w:hAnsi="Times New Roman;serif"/>
          <w:b w:val="false"/>
          <w:sz w:val="20"/>
        </w:rPr>
        <w:t>Other income for the three months ended March 31, 2023 and 2022 was comprised of interest income from cash and cash equivalents. The increase is due to the higher interest rates earned on our cash and cash equivalents.</w:t>
      </w:r>
    </w:p>
    <w:p>
      <w:pPr>
        <w:pStyle w:val="TextBody"/>
        <w:bidi w:val="0"/>
        <w:spacing w:before="120" w:after="0"/>
        <w:jc w:val="left"/>
        <w:rPr>
          <w:rFonts w:ascii="Times New Roman" w:hAnsi="Times New Roman"/>
          <w:sz w:val="20"/>
        </w:rPr>
      </w:pPr>
      <w:r>
        <w:rPr>
          <w:rFonts w:ascii="Times New Roman;serif" w:hAnsi="Times New Roman;serif"/>
          <w:b w:val="false"/>
          <w:i/>
          <w:sz w:val="20"/>
        </w:rPr>
        <w:t>Non-cash interest expense from liability related to the sales of future royalties</w:t>
      </w:r>
      <w:r>
        <w:rPr>
          <w:rFonts w:ascii="Times New Roman;serif" w:hAnsi="Times New Roman;serif"/>
          <w:b w:val="false"/>
          <w:sz w:val="20"/>
        </w:rPr>
        <w:t>. Non-cash interest expense for the three months ended March 31, 2023 was comprised of imputed interest on the liability related to the sales of future royalties and the amortization of the associated issuance costs.</w:t>
      </w:r>
    </w:p>
    <w:p>
      <w:pPr>
        <w:pStyle w:val="TextBody"/>
        <w:bidi w:val="0"/>
        <w:spacing w:before="360" w:after="0"/>
        <w:jc w:val="left"/>
        <w:rPr>
          <w:rFonts w:ascii="Times New Roman;serif" w:hAnsi="Times New Roman;serif"/>
          <w:b/>
          <w:sz w:val="20"/>
        </w:rPr>
      </w:pPr>
      <w:r>
        <w:rPr>
          <w:rFonts w:ascii="Times New Roman;serif" w:hAnsi="Times New Roman;serif"/>
          <w:b/>
          <w:sz w:val="20"/>
        </w:rPr>
        <w:t>Liquidity and Capital Resources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Sources of Liquidity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funded our operations primarily through the proceeds of public offerings of our common stock, sales of convertible preferred stock and the issuance of long-term debt. As of March 31, 2023, we had cash and cash equivalents of $41.4 million. We invest any cash in excess of our immediate requirements primarily with a view to liquidity and capital preservation. As of March 31, 2023, our funds were held in cash and money market funds.</w:t>
      </w:r>
    </w:p>
    <w:p>
      <w:pPr>
        <w:pStyle w:val="TextBody"/>
        <w:bidi w:val="0"/>
        <w:spacing w:before="120" w:after="0"/>
        <w:jc w:val="left"/>
        <w:rPr>
          <w:rFonts w:ascii="Times New Roman" w:hAnsi="Times New Roman"/>
          <w:sz w:val="20"/>
        </w:rPr>
      </w:pPr>
      <w:r>
        <w:rPr>
          <w:rFonts w:ascii="Times New Roman;serif" w:hAnsi="Times New Roman;serif"/>
          <w:b w:val="false"/>
          <w:sz w:val="20"/>
        </w:rPr>
        <w:t>On August 8, 2022, or the Closing Date, we, through our wholly-owned subsidiary Clearside Royalty LLC, a Delaware limited liability company, or Royalty Sub, entered into a Purchase and Sale Agreement with entities managed by HealthCare Royalty Management, LLC, or HCR, pursuant to which Royalty Sub sold to HCR certain of its rights to receive royalty and milestone payments payable to Royalty Sub under the Arctic Vision License Agreement, Bausch License Agreement, that certain License Agreement, effective as of July 3, 2019, by and between us and Aura Biosciences, Inc., that certain Option and License Agreement, dated as of August 29, 2019, by and between REGENXBIO Inc. and us, and any and all out-license agreements following the Closing Date for, or related to XIPERE or the SCS Microinjector technology to be used in connection with compounds or products of any third parties delivered, in whole or in part, by means of the SCS Microinjector technology, excluding, for the avoidance of doubt, any in-licensed or internally developed therapies following the Closing Date, in exchange for up to $65 million. Under the terms of the Purchase and Sale Agreement, Royalty Sub received a payment of $32.1 million, representing the $32.5 million to which we were entitled less certain expenses. There were additional issuance costs of $1.5 million related to the Purchase and Sale Agreement resulting in net proceeds of $30.6 million. An additional $12.5 million was deposited in an escrow account by HCR to be released to Royalty Sub upon attainment of a pre-specified XIPERE sales milestone achieved no later than March 31, 2024. The terms of the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Purchase and Sale Agreement also provide for an additional $20 million milestone payment to Royalty Sub upon attainment of a second pre-specified sales milestone related to 2024 XIPERE sales.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During the three months ended March 31, 2023, we sold 214,128 shares of our common stock for net proceeds of $0.3 million under its at-the-market agreement with Cowen and Company, LLC, or the ATM Agreement. Subsequent to March 31, 2023, we sold an additional 301,831 shares of our common stock pursuant to the ATM Agreement for net proceeds of $0.4 million.</w:t>
      </w:r>
    </w:p>
    <w:p>
      <w:pPr>
        <w:pStyle w:val="TextBody"/>
        <w:bidi w:val="0"/>
        <w:spacing w:before="240" w:after="0"/>
        <w:jc w:val="left"/>
        <w:rPr>
          <w:rFonts w:ascii="Times New Roman;serif" w:hAnsi="Times New Roman;serif"/>
          <w:b/>
          <w:i/>
          <w:sz w:val="20"/>
        </w:rPr>
      </w:pPr>
      <w:r>
        <w:rPr>
          <w:rFonts w:ascii="Times New Roman;serif" w:hAnsi="Times New Roman;serif"/>
          <w:b/>
          <w:i/>
          <w:sz w:val="20"/>
        </w:rPr>
        <w:t>Funding Requirements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primary uses of capital are, and we expect will continue to be, compensation and related expenses, research and development costs to build our product candidate pipeline, legal and other regulatory expenses and general overhead costs. In addition, we have certain contractual obligations for future payments. Refer to Note 9 to our consolidated financial statements included in this Quarterly Report on Form 10-Q.</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successful development of our product candidates is highly uncertain. As such, at this time, we cannot reasonably estimate or know the nature, timing and estimated costs of the efforts that will be necessary to complete the development of CLS-AX or any future product candidates. We are also unable to predict when, if ever, material net cash inflows will commence from product sales. This is due to the numerous risks and uncertainties associated with developing drugs, including the uncertainty of:</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successful enrollment in, and completion of, clinical trials;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receipt of marketing approvals from applicable regulatory authorities;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establishing commercial manufacturing capabilities or making arrangements with third-party manufacturers;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obtaining and maintaining patent and trade secret protection and regulatory exclusivity for our product candidates;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launching commercial sales of the products, if and when approved, whether alone or in collaboration with others.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change in the outcome of any of these variables with respect to the development of any of our product candidates would significantly change the costs and timing associated with the development of that candidate.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Until such time, if ever, as we can generate substantial product revenue, we expect to finance our cash needs through a combination of equity offerings, debt financings and potential collaboration, license and development agreements. Other than potential payments we may receive under our license and other agreements, we do not currently have any committed external source of funds, though, as described above, we may also be able to sell our common stock under the ATM Agreement subject to the terms of that agreement and depending on market conditions. We expect that we will require additional capital to fund our ongoing operations. Additional funds may not be available to us on a timely basis, on commercially reasonable terms, or at all. Our ability to raise additional capital may be adversely impacted by potential worsening global economic conditions and the recent disruptions to, and volatility in, the credit and financial markets in the United States and worldwide resulting from macroeconomic conditions, such as inflation.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we raise funds through additional collaborations, strategic alliances or marketing, distribution or licensing arrangements with third parties, including any future collaboration or licensing arrangement for XIPERE outside of the territories in which we have previously licensed or granted options to license XIPERE, we may be required to relinquish additional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product candidates that we would otherwise prefer to develop and market ourselves.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also incur costs as a public company, including costs and expenses for fees to members of our board of directors, accounting and finance personnel costs, directors and officers insurance premiums, audit and legal fees, investor relations fees and expenses for compliance with reporting requirements under the Exchange Act and rules implemented by the SEC and Nasdaq.</w:t>
      </w:r>
    </w:p>
    <w:p>
      <w:pPr>
        <w:pStyle w:val="TextBody"/>
        <w:bidi w:val="0"/>
        <w:spacing w:before="240" w:after="0"/>
        <w:jc w:val="left"/>
        <w:rPr>
          <w:rFonts w:ascii="Times New Roman;serif" w:hAnsi="Times New Roman;serif"/>
          <w:b/>
          <w:i/>
          <w:sz w:val="20"/>
        </w:rPr>
      </w:pPr>
      <w:r>
        <w:rPr>
          <w:rFonts w:ascii="Times New Roman;serif" w:hAnsi="Times New Roman;serif"/>
          <w:b/>
          <w:i/>
          <w:sz w:val="20"/>
        </w:rPr>
        <w:t>Outlook</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suffered recurring losses and negative cash flows from operations since inception and anticipate incurring additional losses until such time, if ever, that we can generate significant milestone payments and royalties from XIPERE and other licensing arrangements or revenues from other product candidates. We will need additional financing to fund our operations. Our plans primarily consist of raising additional capital, potentially in a combination of equity or debt financings, monetizing royalties, or restructurings, or potentially entering into additional collaborations, partnerships and other strategic arrangements.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Based on our current plans and forecasted expenses, we expect that our cash and cash equivalents will enable us to fund our planned operating expenses and capital expenditure requirements beyond 12 months from the filing date of May 12, 2024. We have based this estimate on assumptions that may prove to be wrong, and we could exhaust our capital resources sooner than we expect. We will require additional capital in order to complete clinical development of CLS-AX.</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Cash Flows</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The following is a summary of the net cash flows provided by (used in) our operating, investing and financing activities (in thousands):</w:t>
      </w:r>
    </w:p>
    <w:tbl>
      <w:tblPr>
        <w:tblW w:w="5864" w:type="dxa"/>
        <w:jc w:val="left"/>
        <w:tblInd w:w="0" w:type="dxa"/>
        <w:tblLayout w:type="fixed"/>
        <w:tblCellMar>
          <w:top w:w="28" w:type="dxa"/>
          <w:left w:w="28" w:type="dxa"/>
          <w:bottom w:w="28" w:type="dxa"/>
          <w:right w:w="28" w:type="dxa"/>
        </w:tblCellMar>
      </w:tblPr>
      <w:tblGrid>
        <w:gridCol w:w="3391"/>
        <w:gridCol w:w="146"/>
        <w:gridCol w:w="211"/>
        <w:gridCol w:w="631"/>
        <w:gridCol w:w="166"/>
        <w:gridCol w:w="146"/>
        <w:gridCol w:w="211"/>
        <w:gridCol w:w="571"/>
        <w:gridCol w:w="3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Three Months Ended</w:t>
              <w:br/>
              <w:t>March 31,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(used in):</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339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(7,216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3,871</w:t>
            </w:r>
          </w:p>
        </w:tc>
        <w:tc>
          <w:tcPr>
            <w:tcW w:w="391" w:type="dxa"/>
            <w:tcBorders/>
            <w:vAlign w:val="center"/>
          </w:tcPr>
          <w:p>
            <w:pPr>
              <w:pStyle w:val="TableContents"/>
              <w:bidi w:val="0"/>
              <w:spacing w:before="0" w:after="0"/>
              <w:ind w:left="0" w:right="0" w:firstLine="200"/>
              <w:jc w:val="left"/>
              <w:rPr/>
            </w:pPr>
            <w:r>
              <w:rPr/>
              <w:t> </w:t>
            </w:r>
          </w:p>
        </w:tc>
      </w:tr>
      <w:tr>
        <w:trPr/>
        <w:tc>
          <w:tcPr>
            <w:tcW w:w="339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Investing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firstLine="200"/>
              <w:jc w:val="left"/>
              <w:rPr/>
            </w:pPr>
            <w:r>
              <w:rPr/>
              <w:t> </w:t>
            </w:r>
          </w:p>
        </w:tc>
      </w:tr>
      <w:tr>
        <w:trPr/>
        <w:tc>
          <w:tcPr>
            <w:tcW w:w="339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Financing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change in 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(6,999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3,936</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 w:hAnsi="Times New Roman"/>
          <w:sz w:val="20"/>
        </w:rPr>
      </w:pPr>
      <w:r>
        <w:rPr>
          <w:rFonts w:ascii="Times New Roman;serif" w:hAnsi="Times New Roman;serif"/>
          <w:b w:val="false"/>
          <w:sz w:val="20"/>
        </w:rPr>
        <w:t>During the three months ended March 31, 2023, our operating activities used net cash of $7.2 million and during the three months ended March 31, 2022 our operating activities provided net cash of $3.9 million. The net cash used in operating activities for the three months ended March 31, 2023 was due to ongoing research and development expenses to develop our pipeline and startup costs for ODYSSEY, the Phase 2b clinical trial for CLS-AX, as well as the supporting general and administrative costs. The net cash provided for the three months ended March 31, 2022 was primarily due to the receipt of the $10.0 million milestone payment received from Bausch in connection with pre-launch activities for XIPERE offset by research and development expenses related to the preclinical and clinical programs and general and administrative expenses.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During the three months ended March 31, 2023, our investing activities used net cash of $0.1 million and consisted of the acquisition of property and equipment.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During the three months ended March 31, 2023 and 2022 our net cash provided by financing activities was $0.3 million and $65,000, respectively. The cash provided by financing activities for the three months ended March 31, 2023 consisted primarily of $0.3 million of net proceeds from the sale of shares of our common stock under the ATM Agreement. The cash provided by financing activities for the three months ended March 31, 2022 consisted of stock option exercises and the sale of common shares under an employee stock purchase plan.</w:t>
      </w:r>
    </w:p>
    <w:p>
      <w:pPr>
        <w:pStyle w:val="TextBody"/>
        <w:bidi w:val="0"/>
        <w:spacing w:before="240" w:after="0"/>
        <w:jc w:val="left"/>
        <w:rPr>
          <w:rFonts w:ascii="Times New Roman;serif" w:hAnsi="Times New Roman;serif"/>
          <w:b/>
          <w:sz w:val="20"/>
        </w:rPr>
      </w:pPr>
      <w:bookmarkStart w:id="8" w:name="item_3_quantitative_qualitative_disclosu"/>
      <w:bookmarkEnd w:id="8"/>
      <w:r>
        <w:rPr>
          <w:rFonts w:ascii="Times New Roman;serif" w:hAnsi="Times New Roman;serif"/>
          <w:b/>
          <w:sz w:val="20"/>
        </w:rPr>
        <w:t>Item 3. Quantitative and Qualitative Disclosures about Market Risk</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a smaller reporting company as defined by Rule 12b-2 of the Exchange Act and are not required to provide the information required under this item.</w:t>
      </w:r>
    </w:p>
    <w:p>
      <w:pPr>
        <w:pStyle w:val="TextBody"/>
        <w:bidi w:val="0"/>
        <w:spacing w:before="240" w:after="0"/>
        <w:jc w:val="left"/>
        <w:rPr>
          <w:rFonts w:ascii="Times New Roman" w:hAnsi="Times New Roman"/>
          <w:sz w:val="20"/>
        </w:rPr>
      </w:pPr>
      <w:bookmarkStart w:id="9" w:name="item_4_controls_procedures"/>
      <w:bookmarkEnd w:id="9"/>
      <w:r>
        <w:rPr>
          <w:rFonts w:ascii="Times New Roman;serif" w:hAnsi="Times New Roman;serif"/>
          <w:b/>
          <w:sz w:val="20"/>
        </w:rPr>
        <w:t>Item 4. Controls</w:t>
      </w:r>
      <w:r>
        <w:rPr>
          <w:rFonts w:ascii="Times New Roman" w:hAnsi="Times New Roman"/>
          <w:sz w:val="20"/>
        </w:rPr>
        <w:t xml:space="preserve"> </w:t>
      </w:r>
      <w:r>
        <w:rPr>
          <w:rFonts w:ascii="Times New Roman;serif" w:hAnsi="Times New Roman;serif"/>
          <w:b/>
          <w:sz w:val="20"/>
        </w:rPr>
        <w:t>and Procedures</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Evaluation of Disclosure Controls and Procedures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term “disclosure controls and procedures,” as defined in Rules 13a-15(e) and 15d-15(e) under the Securities Exchange Act of 1934, as amended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pStyle w:val="TextBody"/>
        <w:bidi w:val="0"/>
        <w:spacing w:before="120" w:after="0"/>
        <w:jc w:val="left"/>
        <w:rPr>
          <w:rFonts w:ascii="Times New Roman" w:hAnsi="Times New Roman"/>
          <w:sz w:val="20"/>
        </w:rPr>
      </w:pPr>
      <w:r>
        <w:rPr>
          <w:rFonts w:ascii="Times New Roman;serif" w:hAnsi="Times New Roman;serif"/>
          <w:b w:val="false"/>
          <w:sz w:val="20"/>
        </w:rPr>
        <w:t>Our management, with the participation of our Chief Executive Officer and our Chief Financial Officer, has evaluated the effectiveness of our disclosure controls and procedures as of the end of the period covered by this report. Based on that evaluation, our</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Chief Executive Officer and our Chief Financial Officer concluded that our disclosure controls and procedures were effective as of the end of the period covered by this report at the reasonable assurance level.</w:t>
      </w:r>
    </w:p>
    <w:p>
      <w:pPr>
        <w:pStyle w:val="TextBody"/>
        <w:bidi w:val="0"/>
        <w:spacing w:before="240" w:after="0"/>
        <w:jc w:val="left"/>
        <w:rPr>
          <w:rFonts w:ascii="Times New Roman;serif" w:hAnsi="Times New Roman;serif"/>
          <w:b/>
          <w:i/>
          <w:sz w:val="20"/>
        </w:rPr>
      </w:pPr>
      <w:r>
        <w:rPr>
          <w:rFonts w:ascii="Times New Roman;serif" w:hAnsi="Times New Roman;serif"/>
          <w:b/>
          <w:i/>
          <w:sz w:val="20"/>
        </w:rPr>
        <w:t>Changes in Internal Control over Financial Reporting</w:t>
      </w:r>
    </w:p>
    <w:p>
      <w:pPr>
        <w:pStyle w:val="TextBody"/>
        <w:bidi w:val="0"/>
        <w:spacing w:before="120" w:after="0"/>
        <w:jc w:val="left"/>
        <w:rPr>
          <w:rFonts w:ascii="Times New Roman" w:hAnsi="Times New Roman"/>
          <w:sz w:val="20"/>
        </w:rPr>
      </w:pPr>
      <w:r>
        <w:rPr>
          <w:rFonts w:ascii="Times New Roman;serif" w:hAnsi="Times New Roman;serif"/>
          <w:b w:val="false"/>
          <w:sz w:val="20"/>
        </w:rPr>
        <w:t>There has been no change in our internal control over financial reporting during the quarter ended March 31, 2023 that has materially affected, or is reasonably likely to materially affect, our internal control over financial reporting. We have not experienced any material impact to our internal control over financial reporting.</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10" w:name="part_ii_or_information"/>
      <w:bookmarkEnd w:id="10"/>
      <w:r>
        <w:rPr>
          <w:rFonts w:ascii="Times New Roman;serif" w:hAnsi="Times New Roman;serif"/>
          <w:b/>
          <w:sz w:val="20"/>
        </w:rPr>
        <w:t>PART II – OTHER INFORMATION</w:t>
      </w:r>
    </w:p>
    <w:p>
      <w:pPr>
        <w:pStyle w:val="TextBody"/>
        <w:bidi w:val="0"/>
        <w:spacing w:before="360" w:after="0"/>
        <w:jc w:val="left"/>
        <w:rPr>
          <w:rFonts w:ascii="Times New Roman" w:hAnsi="Times New Roman"/>
          <w:sz w:val="20"/>
        </w:rPr>
      </w:pPr>
      <w:bookmarkStart w:id="11" w:name="item_1_legal_proceedings"/>
      <w:bookmarkEnd w:id="11"/>
      <w:r>
        <w:rPr>
          <w:rFonts w:ascii="Times New Roman;serif" w:hAnsi="Times New Roman;serif"/>
          <w:b/>
          <w:sz w:val="20"/>
        </w:rPr>
        <w:t>Item 1. Legal</w:t>
      </w:r>
      <w:r>
        <w:rPr>
          <w:rFonts w:ascii="Times New Roman" w:hAnsi="Times New Roman"/>
          <w:sz w:val="20"/>
        </w:rPr>
        <w:t xml:space="preserve"> </w:t>
      </w:r>
      <w:r>
        <w:rPr>
          <w:rFonts w:ascii="Times New Roman;serif" w:hAnsi="Times New Roman;serif"/>
          <w:b/>
          <w:sz w:val="20"/>
        </w:rPr>
        <w:t>Proceedings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From time to time, we may be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cash flows or financial condition.</w:t>
      </w:r>
    </w:p>
    <w:p>
      <w:pPr>
        <w:pStyle w:val="TextBody"/>
        <w:bidi w:val="0"/>
        <w:spacing w:before="360" w:after="0"/>
        <w:jc w:val="left"/>
        <w:rPr>
          <w:rFonts w:ascii="Times New Roman" w:hAnsi="Times New Roman"/>
          <w:sz w:val="20"/>
        </w:rPr>
      </w:pPr>
      <w:bookmarkStart w:id="12" w:name="item_1a_risk_factors"/>
      <w:bookmarkEnd w:id="12"/>
      <w:r>
        <w:rPr>
          <w:rFonts w:ascii="Times New Roman;serif" w:hAnsi="Times New Roman;serif"/>
          <w:b/>
          <w:sz w:val="20"/>
        </w:rPr>
        <w:t>Item 1A. Risk Factors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business is subject to risks and events that, if they occur, could adversely affect our financial condition and results of operations and the trading price of our securities. In addition to the other information set forth in this quarterly report on Form 10-Q, you should carefully consider the factors described below and in “Part I, Item 1A. Risk Factors” of our Annual Report on Form 10-K for the fiscal year ended December 31, 2022, filed with the Securities and Exchange Commission on March 14, 2023. There have been no material changes to the risk factors described in that report.</w:t>
      </w:r>
    </w:p>
    <w:p>
      <w:pPr>
        <w:pStyle w:val="TextBody"/>
        <w:bidi w:val="0"/>
        <w:spacing w:before="360" w:after="0"/>
        <w:jc w:val="left"/>
        <w:rPr>
          <w:rFonts w:ascii="Times New Roman;serif" w:hAnsi="Times New Roman;serif"/>
          <w:b/>
          <w:sz w:val="20"/>
        </w:rPr>
      </w:pPr>
      <w:bookmarkStart w:id="13" w:name="item_2_unregistered_sales_equity_securit"/>
      <w:bookmarkEnd w:id="13"/>
      <w:r>
        <w:rPr>
          <w:rFonts w:ascii="Times New Roman;serif" w:hAnsi="Times New Roman;serif"/>
          <w:b/>
          <w:sz w:val="20"/>
        </w:rPr>
        <w:t>Item 2. Unregistered Sales of Equity Securities and Use of Proceeds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Sales of Unregistered Securities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Issuer Purchases of Equity Securities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bookmarkStart w:id="14" w:name="item_6_exhibits"/>
      <w:bookmarkEnd w:id="14"/>
      <w:r>
        <w:rPr>
          <w:rFonts w:ascii="Times New Roman;serif" w:hAnsi="Times New Roman;serif"/>
          <w:b/>
          <w:sz w:val="20"/>
        </w:rPr>
        <w:t>Item 6. Exhibits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845"/>
        <w:gridCol w:w="146"/>
        <w:gridCol w:w="9214"/>
      </w:tblGrid>
      <w:tr>
        <w:trPr/>
        <w:tc>
          <w:tcPr>
            <w:tcW w:w="8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14" w:type="dxa"/>
            <w:tcBorders/>
            <w:vAlign w:val="center"/>
          </w:tcPr>
          <w:p>
            <w:pPr>
              <w:pStyle w:val="TableContents"/>
              <w:bidi w:val="0"/>
              <w:spacing w:before="0" w:after="283"/>
              <w:jc w:val="left"/>
              <w:rPr>
                <w:sz w:val="4"/>
                <w:szCs w:val="4"/>
              </w:rPr>
            </w:pPr>
            <w:r>
              <w:rPr>
                <w:sz w:val="4"/>
                <w:szCs w:val="4"/>
              </w:rPr>
            </w:r>
          </w:p>
        </w:tc>
      </w:tr>
      <w:tr>
        <w:trPr/>
        <w:tc>
          <w:tcPr>
            <w:tcW w:w="8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Description</w:t>
            </w:r>
          </w:p>
        </w:tc>
      </w:tr>
      <w:tr>
        <w:trPr/>
        <w:tc>
          <w:tcPr>
            <w:tcW w:w="845"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214" w:type="dxa"/>
            <w:tcBorders/>
            <w:vAlign w:val="center"/>
          </w:tcPr>
          <w:p>
            <w:pPr>
              <w:pStyle w:val="TableContents"/>
              <w:bidi w:val="0"/>
              <w:spacing w:before="0" w:after="283"/>
              <w:ind w:left="0" w:right="0" w:hanging="0"/>
              <w:jc w:val="left"/>
              <w:rPr>
                <w:sz w:val="4"/>
                <w:szCs w:val="4"/>
              </w:rPr>
            </w:pPr>
            <w:r>
              <w:rPr>
                <w:sz w:val="4"/>
                <w:szCs w:val="4"/>
              </w:rPr>
            </w:r>
          </w:p>
        </w:tc>
      </w:tr>
      <w:tr>
        <w:trPr/>
        <w:tc>
          <w:tcPr>
            <w:tcW w:w="8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214" w:type="dxa"/>
            <w:tcBorders/>
            <w:vAlign w:val="center"/>
          </w:tcPr>
          <w:p>
            <w:pPr>
              <w:pStyle w:val="TableContents"/>
              <w:bidi w:val="0"/>
              <w:spacing w:before="0" w:after="0"/>
              <w:ind w:left="0" w:right="0" w:hanging="0"/>
              <w:jc w:val="left"/>
              <w:rPr/>
            </w:pPr>
            <w:hyperlink r:id="rId3">
              <w:r>
                <w:rPr>
                  <w:rStyle w:val="InternetLink"/>
                  <w:rFonts w:ascii="Times New Roman;serif" w:hAnsi="Times New Roman;serif"/>
                  <w:b w:val="false"/>
                  <w:sz w:val="20"/>
                  <w:u w:val="single"/>
                </w:rPr>
                <w:t>Amended and Restated Certificate of Incorporation (incorporated herein by reference to Exhibit 3.1 to the Registrant’s Current Report on Form 8-K (File No. 001-37783) filed with the SEC on June 7, 2016).</w:t>
              </w:r>
            </w:hyperlink>
          </w:p>
        </w:tc>
      </w:tr>
      <w:tr>
        <w:trPr/>
        <w:tc>
          <w:tcPr>
            <w:tcW w:w="845"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214" w:type="dxa"/>
            <w:tcBorders/>
            <w:vAlign w:val="center"/>
          </w:tcPr>
          <w:p>
            <w:pPr>
              <w:pStyle w:val="TableContents"/>
              <w:bidi w:val="0"/>
              <w:spacing w:before="0" w:after="283"/>
              <w:ind w:left="0" w:right="0" w:hanging="0"/>
              <w:jc w:val="left"/>
              <w:rPr>
                <w:sz w:val="4"/>
                <w:szCs w:val="4"/>
              </w:rPr>
            </w:pPr>
            <w:r>
              <w:rPr>
                <w:sz w:val="4"/>
                <w:szCs w:val="4"/>
              </w:rPr>
            </w:r>
          </w:p>
        </w:tc>
      </w:tr>
      <w:tr>
        <w:trPr/>
        <w:tc>
          <w:tcPr>
            <w:tcW w:w="8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3.2</w:t>
            </w:r>
          </w:p>
        </w:tc>
        <w:tc>
          <w:tcPr>
            <w:tcW w:w="146" w:type="dxa"/>
            <w:tcBorders/>
            <w:vAlign w:val="center"/>
          </w:tcPr>
          <w:p>
            <w:pPr>
              <w:pStyle w:val="TableContents"/>
              <w:bidi w:val="0"/>
              <w:spacing w:before="0" w:after="0"/>
              <w:ind w:left="0" w:right="0" w:hanging="0"/>
              <w:jc w:val="left"/>
              <w:rPr/>
            </w:pPr>
            <w:r>
              <w:rPr/>
              <w:t> </w:t>
            </w:r>
          </w:p>
        </w:tc>
        <w:tc>
          <w:tcPr>
            <w:tcW w:w="9214" w:type="dxa"/>
            <w:tcBorders/>
            <w:vAlign w:val="center"/>
          </w:tcPr>
          <w:p>
            <w:pPr>
              <w:pStyle w:val="TableContents"/>
              <w:bidi w:val="0"/>
              <w:spacing w:before="0" w:after="0"/>
              <w:ind w:left="0" w:right="0" w:hanging="0"/>
              <w:jc w:val="left"/>
              <w:rPr/>
            </w:pPr>
            <w:hyperlink r:id="rId4">
              <w:r>
                <w:rPr>
                  <w:rStyle w:val="InternetLink"/>
                  <w:rFonts w:ascii="Times New Roman;serif" w:hAnsi="Times New Roman;serif"/>
                  <w:b w:val="false"/>
                  <w:sz w:val="20"/>
                  <w:u w:val="single"/>
                </w:rPr>
                <w:t>Certificate of Amendment to Amended and Restated Certificate of Incorporation (incorporated herein by reference to Exhibit 3.1 to the Registrant's Current Report on Form 8-K (File No. 001-37783) filed with the SEC on June 23, 2022).</w:t>
              </w:r>
            </w:hyperlink>
          </w:p>
        </w:tc>
      </w:tr>
      <w:tr>
        <w:trPr/>
        <w:tc>
          <w:tcPr>
            <w:tcW w:w="84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14" w:type="dxa"/>
            <w:tcBorders/>
            <w:vAlign w:val="center"/>
          </w:tcPr>
          <w:p>
            <w:pPr>
              <w:pStyle w:val="TableContents"/>
              <w:bidi w:val="0"/>
              <w:spacing w:before="0" w:after="0"/>
              <w:ind w:left="0" w:right="0" w:hanging="0"/>
              <w:jc w:val="left"/>
              <w:rPr/>
            </w:pPr>
            <w:r>
              <w:rPr/>
              <w:t> </w:t>
            </w:r>
          </w:p>
        </w:tc>
      </w:tr>
      <w:tr>
        <w:trPr/>
        <w:tc>
          <w:tcPr>
            <w:tcW w:w="8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3.3</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214" w:type="dxa"/>
            <w:tcBorders/>
            <w:vAlign w:val="center"/>
          </w:tcPr>
          <w:p>
            <w:pPr>
              <w:pStyle w:val="TableContents"/>
              <w:bidi w:val="0"/>
              <w:spacing w:before="0" w:after="0"/>
              <w:ind w:left="0" w:right="0" w:hanging="0"/>
              <w:jc w:val="left"/>
              <w:rPr/>
            </w:pPr>
            <w:hyperlink r:id="rId5">
              <w:r>
                <w:rPr>
                  <w:rStyle w:val="InternetLink"/>
                  <w:rFonts w:ascii="Times New Roman;serif" w:hAnsi="Times New Roman;serif"/>
                  <w:b w:val="false"/>
                  <w:sz w:val="20"/>
                  <w:u w:val="single"/>
                </w:rPr>
                <w:t>Amended and Restated Bylaws (incorporated herein by reference to Exhibit 3.2 to the Registrant’s Current Report on Form 8-K (File No. 001-37783) filed with the SEC on June 7, 2016).</w:t>
              </w:r>
            </w:hyperlink>
          </w:p>
        </w:tc>
      </w:tr>
      <w:tr>
        <w:trPr/>
        <w:tc>
          <w:tcPr>
            <w:tcW w:w="84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214" w:type="dxa"/>
            <w:tcBorders/>
            <w:vAlign w:val="center"/>
          </w:tcPr>
          <w:p>
            <w:pPr>
              <w:pStyle w:val="TableContents"/>
              <w:bidi w:val="0"/>
              <w:spacing w:before="0" w:after="0"/>
              <w:ind w:left="0" w:right="0" w:hanging="0"/>
              <w:jc w:val="left"/>
              <w:rPr/>
            </w:pPr>
            <w:r>
              <w:rPr/>
              <w:t> </w:t>
            </w:r>
          </w:p>
        </w:tc>
      </w:tr>
      <w:tr>
        <w:trPr/>
        <w:tc>
          <w:tcPr>
            <w:tcW w:w="8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w:t>
            </w:r>
          </w:p>
        </w:tc>
        <w:tc>
          <w:tcPr>
            <w:tcW w:w="146" w:type="dxa"/>
            <w:tcBorders/>
            <w:vAlign w:val="center"/>
          </w:tcPr>
          <w:p>
            <w:pPr>
              <w:pStyle w:val="TableContents"/>
              <w:bidi w:val="0"/>
              <w:spacing w:before="0" w:after="0"/>
              <w:ind w:left="0" w:right="0" w:hanging="0"/>
              <w:jc w:val="left"/>
              <w:rPr/>
            </w:pPr>
            <w:r>
              <w:rPr/>
              <w:t> </w:t>
            </w:r>
          </w:p>
        </w:tc>
        <w:tc>
          <w:tcPr>
            <w:tcW w:w="9214" w:type="dxa"/>
            <w:tcBorders/>
            <w:vAlign w:val="center"/>
          </w:tcPr>
          <w:p>
            <w:pPr>
              <w:pStyle w:val="TableContents"/>
              <w:bidi w:val="0"/>
              <w:spacing w:before="0" w:after="0"/>
              <w:ind w:left="0" w:right="0" w:hanging="0"/>
              <w:jc w:val="left"/>
              <w:rPr/>
            </w:pPr>
            <w:hyperlink r:id="rId6">
              <w:r>
                <w:rPr>
                  <w:rStyle w:val="InternetLink"/>
                  <w:rFonts w:ascii="Times New Roman;serif" w:hAnsi="Times New Roman;serif"/>
                  <w:b w:val="false"/>
                  <w:sz w:val="20"/>
                  <w:u w:val="single"/>
                </w:rPr>
                <w:t>First Amendment to Option and License Agreement, by and between the Registrant and REGENXBIO, Inc., dated as of January 14, 2023 (incorporated herein by reference to Exhibit 10.30 to the Registrant's Annual Report on Form 10-K (File No. 001-37783), filed with the Commission on March 14, 2023).</w:t>
              </w:r>
            </w:hyperlink>
          </w:p>
        </w:tc>
      </w:tr>
      <w:tr>
        <w:trPr/>
        <w:tc>
          <w:tcPr>
            <w:tcW w:w="84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14" w:type="dxa"/>
            <w:tcBorders/>
            <w:vAlign w:val="center"/>
          </w:tcPr>
          <w:p>
            <w:pPr>
              <w:pStyle w:val="TableContents"/>
              <w:bidi w:val="0"/>
              <w:spacing w:before="0" w:after="0"/>
              <w:ind w:left="0" w:right="0" w:hanging="0"/>
              <w:jc w:val="left"/>
              <w:rPr/>
            </w:pPr>
            <w:r>
              <w:rPr/>
              <w:t> </w:t>
            </w:r>
          </w:p>
        </w:tc>
      </w:tr>
      <w:tr>
        <w:trPr/>
        <w:tc>
          <w:tcPr>
            <w:tcW w:w="8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10.2</w:t>
            </w:r>
          </w:p>
        </w:tc>
        <w:tc>
          <w:tcPr>
            <w:tcW w:w="146" w:type="dxa"/>
            <w:tcBorders/>
            <w:vAlign w:val="center"/>
          </w:tcPr>
          <w:p>
            <w:pPr>
              <w:pStyle w:val="TableContents"/>
              <w:bidi w:val="0"/>
              <w:spacing w:before="0" w:after="0"/>
              <w:ind w:left="0" w:right="0" w:hanging="0"/>
              <w:jc w:val="left"/>
              <w:rPr/>
            </w:pPr>
            <w:r>
              <w:rPr/>
              <w:t> </w:t>
            </w:r>
          </w:p>
        </w:tc>
        <w:tc>
          <w:tcPr>
            <w:tcW w:w="9214" w:type="dxa"/>
            <w:tcBorders/>
            <w:vAlign w:val="center"/>
          </w:tcPr>
          <w:p>
            <w:pPr>
              <w:pStyle w:val="TableContents"/>
              <w:bidi w:val="0"/>
              <w:spacing w:before="0" w:after="0"/>
              <w:ind w:left="0" w:right="0" w:hanging="0"/>
              <w:jc w:val="left"/>
              <w:rPr/>
            </w:pPr>
            <w:hyperlink r:id="rId7">
              <w:r>
                <w:rPr>
                  <w:rStyle w:val="InternetLink"/>
                  <w:rFonts w:ascii="Times New Roman;serif" w:hAnsi="Times New Roman;serif"/>
                  <w:b w:val="false"/>
                  <w:sz w:val="20"/>
                  <w:u w:val="single"/>
                </w:rPr>
                <w:t>Consulting Agreement, by and between the Registrant and Thomas Ciulla, dated as of February 17, 2023 (incorporated herein by reference to Exhibit 10.1 to the Registrant's Current Report on Form 8-K (File No. 001-37783), filed with the Commission on February 21, 2023).</w:t>
              </w:r>
            </w:hyperlink>
          </w:p>
        </w:tc>
      </w:tr>
      <w:tr>
        <w:trPr/>
        <w:tc>
          <w:tcPr>
            <w:tcW w:w="84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14" w:type="dxa"/>
            <w:tcBorders/>
            <w:vAlign w:val="center"/>
          </w:tcPr>
          <w:p>
            <w:pPr>
              <w:pStyle w:val="TableContents"/>
              <w:bidi w:val="0"/>
              <w:spacing w:before="0" w:after="0"/>
              <w:ind w:left="0" w:right="0" w:hanging="0"/>
              <w:jc w:val="left"/>
              <w:rPr/>
            </w:pPr>
            <w:r>
              <w:rPr/>
              <w:t> </w:t>
            </w:r>
          </w:p>
        </w:tc>
      </w:tr>
      <w:tr>
        <w:trPr/>
        <w:tc>
          <w:tcPr>
            <w:tcW w:w="8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31.1*</w:t>
            </w:r>
          </w:p>
        </w:tc>
        <w:tc>
          <w:tcPr>
            <w:tcW w:w="146" w:type="dxa"/>
            <w:tcBorders/>
            <w:vAlign w:val="center"/>
          </w:tcPr>
          <w:p>
            <w:pPr>
              <w:pStyle w:val="TableContents"/>
              <w:bidi w:val="0"/>
              <w:spacing w:before="0" w:after="0"/>
              <w:ind w:left="0" w:right="0" w:hanging="0"/>
              <w:jc w:val="left"/>
              <w:rPr/>
            </w:pPr>
            <w:r>
              <w:rPr/>
              <w:t> </w:t>
            </w:r>
          </w:p>
        </w:tc>
        <w:tc>
          <w:tcPr>
            <w:tcW w:w="9214" w:type="dxa"/>
            <w:tcBorders/>
            <w:vAlign w:val="center"/>
          </w:tcPr>
          <w:p>
            <w:pPr>
              <w:pStyle w:val="TableContents"/>
              <w:bidi w:val="0"/>
              <w:spacing w:before="0" w:after="0"/>
              <w:ind w:left="0" w:right="0" w:hanging="0"/>
              <w:jc w:val="left"/>
              <w:rPr/>
            </w:pPr>
            <w:hyperlink w:anchor="clsd-ex31_1.htm">
              <w:r>
                <w:rPr>
                  <w:rStyle w:val="InternetLink"/>
                  <w:rFonts w:ascii="Times New Roman;serif" w:hAnsi="Times New Roman;serif"/>
                  <w:b w:val="false"/>
                  <w:sz w:val="20"/>
                  <w:u w:val="single"/>
                </w:rPr>
                <w:t>Certification of Principal Executive Officer under Section 302 of the Sarbanes-Oxley Act.</w:t>
              </w:r>
            </w:hyperlink>
          </w:p>
        </w:tc>
      </w:tr>
      <w:tr>
        <w:trPr/>
        <w:tc>
          <w:tcPr>
            <w:tcW w:w="84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14" w:type="dxa"/>
            <w:tcBorders/>
            <w:vAlign w:val="center"/>
          </w:tcPr>
          <w:p>
            <w:pPr>
              <w:pStyle w:val="TableContents"/>
              <w:bidi w:val="0"/>
              <w:spacing w:before="0" w:after="0"/>
              <w:ind w:left="0" w:right="0" w:hanging="0"/>
              <w:jc w:val="left"/>
              <w:rPr/>
            </w:pPr>
            <w:r>
              <w:rPr/>
              <w:t> </w:t>
            </w:r>
          </w:p>
        </w:tc>
      </w:tr>
      <w:tr>
        <w:trPr/>
        <w:tc>
          <w:tcPr>
            <w:tcW w:w="8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31.2*</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214" w:type="dxa"/>
            <w:tcBorders/>
            <w:vAlign w:val="center"/>
          </w:tcPr>
          <w:p>
            <w:pPr>
              <w:pStyle w:val="TableContents"/>
              <w:bidi w:val="0"/>
              <w:spacing w:before="0" w:after="0"/>
              <w:ind w:left="0" w:right="0" w:hanging="0"/>
              <w:jc w:val="left"/>
              <w:rPr/>
            </w:pPr>
            <w:hyperlink w:anchor="clsd-ex31_2.htm">
              <w:r>
                <w:rPr>
                  <w:rStyle w:val="InternetLink"/>
                  <w:rFonts w:ascii="Times New Roman;serif" w:hAnsi="Times New Roman;serif"/>
                  <w:b w:val="false"/>
                  <w:sz w:val="20"/>
                  <w:u w:val="single"/>
                </w:rPr>
                <w:t>Certification of Principal Financial Officer under Section 302 of the Sarbanes-Oxley Act.</w:t>
              </w:r>
            </w:hyperlink>
          </w:p>
        </w:tc>
      </w:tr>
      <w:tr>
        <w:trPr/>
        <w:tc>
          <w:tcPr>
            <w:tcW w:w="845"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214" w:type="dxa"/>
            <w:tcBorders/>
            <w:vAlign w:val="center"/>
          </w:tcPr>
          <w:p>
            <w:pPr>
              <w:pStyle w:val="TableContents"/>
              <w:bidi w:val="0"/>
              <w:spacing w:before="0" w:after="283"/>
              <w:ind w:left="0" w:right="0" w:hanging="0"/>
              <w:jc w:val="left"/>
              <w:rPr>
                <w:sz w:val="4"/>
                <w:szCs w:val="4"/>
              </w:rPr>
            </w:pPr>
            <w:r>
              <w:rPr>
                <w:sz w:val="4"/>
                <w:szCs w:val="4"/>
              </w:rPr>
            </w:r>
          </w:p>
        </w:tc>
      </w:tr>
      <w:tr>
        <w:trPr/>
        <w:tc>
          <w:tcPr>
            <w:tcW w:w="8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32.1**</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214" w:type="dxa"/>
            <w:tcBorders/>
            <w:vAlign w:val="center"/>
          </w:tcPr>
          <w:p>
            <w:pPr>
              <w:pStyle w:val="TableContents"/>
              <w:bidi w:val="0"/>
              <w:spacing w:before="0" w:after="0"/>
              <w:ind w:left="0" w:right="0" w:hanging="0"/>
              <w:jc w:val="left"/>
              <w:rPr/>
            </w:pPr>
            <w:hyperlink w:anchor="clsd-ex32_1.htm">
              <w:r>
                <w:rPr>
                  <w:rStyle w:val="InternetLink"/>
                  <w:rFonts w:ascii="Times New Roman;serif" w:hAnsi="Times New Roman;serif"/>
                  <w:b w:val="false"/>
                  <w:sz w:val="20"/>
                  <w:u w:val="single"/>
                </w:rPr>
                <w:t>Certifications of Principal Executive Officer and Principal Financial Officer under Section 906 of the Sarbanes-Oxley Act.</w:t>
              </w:r>
            </w:hyperlink>
            <w:r>
              <w:rPr>
                <w:rFonts w:ascii="Times New Roman" w:hAnsi="Times New Roman"/>
                <w:sz w:val="20"/>
              </w:rPr>
              <w:t xml:space="preserve"> </w:t>
            </w:r>
          </w:p>
        </w:tc>
      </w:tr>
      <w:tr>
        <w:trPr/>
        <w:tc>
          <w:tcPr>
            <w:tcW w:w="84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14" w:type="dxa"/>
            <w:tcBorders/>
            <w:vAlign w:val="center"/>
          </w:tcPr>
          <w:p>
            <w:pPr>
              <w:pStyle w:val="TableContents"/>
              <w:bidi w:val="0"/>
              <w:spacing w:before="0" w:after="0"/>
              <w:ind w:left="0" w:right="0" w:hanging="0"/>
              <w:jc w:val="left"/>
              <w:rPr/>
            </w:pPr>
            <w:r>
              <w:rPr/>
              <w:t> </w:t>
            </w:r>
          </w:p>
        </w:tc>
      </w:tr>
      <w:tr>
        <w:trPr/>
        <w:tc>
          <w:tcPr>
            <w:tcW w:w="8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101.INS</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w:t>
            </w:r>
          </w:p>
        </w:tc>
      </w:tr>
      <w:tr>
        <w:trPr/>
        <w:tc>
          <w:tcPr>
            <w:tcW w:w="845"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214" w:type="dxa"/>
            <w:tcBorders/>
            <w:vAlign w:val="center"/>
          </w:tcPr>
          <w:p>
            <w:pPr>
              <w:pStyle w:val="TableContents"/>
              <w:bidi w:val="0"/>
              <w:spacing w:before="0" w:after="283"/>
              <w:ind w:left="0" w:right="0" w:hanging="0"/>
              <w:jc w:val="left"/>
              <w:rPr>
                <w:sz w:val="4"/>
                <w:szCs w:val="4"/>
              </w:rPr>
            </w:pPr>
            <w:r>
              <w:rPr>
                <w:sz w:val="4"/>
                <w:szCs w:val="4"/>
              </w:rPr>
            </w:r>
          </w:p>
        </w:tc>
      </w:tr>
      <w:tr>
        <w:trPr/>
        <w:tc>
          <w:tcPr>
            <w:tcW w:w="8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101.SCH</w:t>
            </w:r>
          </w:p>
        </w:tc>
        <w:tc>
          <w:tcPr>
            <w:tcW w:w="146" w:type="dxa"/>
            <w:tcBorders/>
            <w:vAlign w:val="center"/>
          </w:tcPr>
          <w:p>
            <w:pPr>
              <w:pStyle w:val="TableContents"/>
              <w:bidi w:val="0"/>
              <w:spacing w:before="0" w:after="0"/>
              <w:ind w:left="0" w:right="0" w:hanging="0"/>
              <w:jc w:val="left"/>
              <w:rPr/>
            </w:pPr>
            <w:r>
              <w:rPr/>
              <w:t> </w:t>
            </w:r>
          </w:p>
        </w:tc>
        <w:tc>
          <w:tcPr>
            <w:tcW w:w="9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r>
      <w:tr>
        <w:trPr/>
        <w:tc>
          <w:tcPr>
            <w:tcW w:w="845"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214" w:type="dxa"/>
            <w:tcBorders/>
            <w:vAlign w:val="center"/>
          </w:tcPr>
          <w:p>
            <w:pPr>
              <w:pStyle w:val="TableContents"/>
              <w:bidi w:val="0"/>
              <w:spacing w:before="0" w:after="283"/>
              <w:ind w:left="0" w:right="0" w:hanging="0"/>
              <w:jc w:val="left"/>
              <w:rPr>
                <w:sz w:val="4"/>
                <w:szCs w:val="4"/>
              </w:rPr>
            </w:pPr>
            <w:r>
              <w:rPr>
                <w:sz w:val="4"/>
                <w:szCs w:val="4"/>
              </w:rPr>
            </w:r>
          </w:p>
        </w:tc>
      </w:tr>
      <w:tr>
        <w:trPr/>
        <w:tc>
          <w:tcPr>
            <w:tcW w:w="8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101.CAL</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r>
      <w:tr>
        <w:trPr/>
        <w:tc>
          <w:tcPr>
            <w:tcW w:w="845"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214" w:type="dxa"/>
            <w:tcBorders/>
            <w:vAlign w:val="center"/>
          </w:tcPr>
          <w:p>
            <w:pPr>
              <w:pStyle w:val="TableContents"/>
              <w:bidi w:val="0"/>
              <w:spacing w:before="0" w:after="283"/>
              <w:ind w:left="0" w:right="0" w:hanging="0"/>
              <w:jc w:val="left"/>
              <w:rPr>
                <w:sz w:val="4"/>
                <w:szCs w:val="4"/>
              </w:rPr>
            </w:pPr>
            <w:r>
              <w:rPr>
                <w:sz w:val="4"/>
                <w:szCs w:val="4"/>
              </w:rPr>
            </w:r>
          </w:p>
        </w:tc>
      </w:tr>
      <w:tr>
        <w:trPr/>
        <w:tc>
          <w:tcPr>
            <w:tcW w:w="8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101.DEF</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r>
      <w:tr>
        <w:trPr/>
        <w:tc>
          <w:tcPr>
            <w:tcW w:w="845"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214" w:type="dxa"/>
            <w:tcBorders/>
            <w:vAlign w:val="center"/>
          </w:tcPr>
          <w:p>
            <w:pPr>
              <w:pStyle w:val="TableContents"/>
              <w:bidi w:val="0"/>
              <w:spacing w:before="0" w:after="283"/>
              <w:ind w:left="0" w:right="0" w:hanging="0"/>
              <w:jc w:val="left"/>
              <w:rPr>
                <w:sz w:val="4"/>
                <w:szCs w:val="4"/>
              </w:rPr>
            </w:pPr>
            <w:r>
              <w:rPr>
                <w:sz w:val="4"/>
                <w:szCs w:val="4"/>
              </w:rPr>
            </w:r>
          </w:p>
        </w:tc>
      </w:tr>
      <w:tr>
        <w:trPr/>
        <w:tc>
          <w:tcPr>
            <w:tcW w:w="8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101.LAB</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r>
      <w:tr>
        <w:trPr/>
        <w:tc>
          <w:tcPr>
            <w:tcW w:w="845"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214" w:type="dxa"/>
            <w:tcBorders/>
            <w:vAlign w:val="center"/>
          </w:tcPr>
          <w:p>
            <w:pPr>
              <w:pStyle w:val="TableContents"/>
              <w:bidi w:val="0"/>
              <w:spacing w:before="0" w:after="283"/>
              <w:ind w:left="0" w:right="0" w:hanging="0"/>
              <w:jc w:val="left"/>
              <w:rPr>
                <w:sz w:val="4"/>
                <w:szCs w:val="4"/>
              </w:rPr>
            </w:pPr>
            <w:r>
              <w:rPr>
                <w:sz w:val="4"/>
                <w:szCs w:val="4"/>
              </w:rPr>
            </w:r>
          </w:p>
        </w:tc>
      </w:tr>
      <w:tr>
        <w:trPr/>
        <w:tc>
          <w:tcPr>
            <w:tcW w:w="8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101.PRE</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r>
      <w:tr>
        <w:trPr/>
        <w:tc>
          <w:tcPr>
            <w:tcW w:w="84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14" w:type="dxa"/>
            <w:tcBorders/>
            <w:vAlign w:val="center"/>
          </w:tcPr>
          <w:p>
            <w:pPr>
              <w:pStyle w:val="TableContents"/>
              <w:bidi w:val="0"/>
              <w:spacing w:before="0" w:after="0"/>
              <w:ind w:left="0" w:right="0" w:hanging="0"/>
              <w:jc w:val="left"/>
              <w:rPr/>
            </w:pPr>
            <w:r>
              <w:rPr/>
              <w:t> </w:t>
            </w:r>
          </w:p>
        </w:tc>
      </w:tr>
      <w:tr>
        <w:trPr/>
        <w:tc>
          <w:tcPr>
            <w:tcW w:w="8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vAlign w:val="center"/>
          </w:tcPr>
          <w:p>
            <w:pPr>
              <w:pStyle w:val="TableContents"/>
              <w:bidi w:val="0"/>
              <w:spacing w:before="0" w:after="0"/>
              <w:ind w:left="0" w:right="0" w:hanging="0"/>
              <w:jc w:val="left"/>
              <w:rPr/>
            </w:pPr>
            <w:r>
              <w:rPr/>
              <w:t> </w:t>
            </w:r>
          </w:p>
        </w:tc>
        <w:tc>
          <w:tcPr>
            <w:tcW w:w="9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(formatted as inline XBRL and contained in Exhibit 101)</w:t>
            </w:r>
          </w:p>
        </w:tc>
      </w:tr>
    </w:tbl>
    <w:p>
      <w:pPr>
        <w:pStyle w:val="TextBody"/>
        <w:pBdr>
          <w:bottom w:val="single" w:sz="4" w:space="1" w:color="000000"/>
        </w:pBdr>
        <w:bidi w:val="0"/>
        <w:spacing w:before="0" w:after="0"/>
        <w:jc w:val="left"/>
        <w:rPr/>
      </w:pPr>
      <w:r>
        <w:rPr/>
        <w:t> </w:t>
      </w:r>
    </w:p>
    <w:p>
      <w:pPr>
        <w:pStyle w:val="TextBody"/>
        <w:bidi w:val="0"/>
        <w:spacing w:before="40" w:after="0"/>
        <w:jc w:val="left"/>
        <w:rPr/>
      </w:pPr>
      <w:r>
        <w:rPr/>
        <w:t> </w:t>
      </w:r>
    </w:p>
    <w:tbl>
      <w:tblPr>
        <w:tblW w:w="10205" w:type="dxa"/>
        <w:jc w:val="left"/>
        <w:tblInd w:w="0" w:type="dxa"/>
        <w:tblLayout w:type="fixed"/>
        <w:tblCellMar>
          <w:top w:w="28" w:type="dxa"/>
          <w:left w:w="28" w:type="dxa"/>
          <w:bottom w:w="28" w:type="dxa"/>
          <w:right w:w="28" w:type="dxa"/>
        </w:tblCellMar>
      </w:tblPr>
      <w:tblGrid>
        <w:gridCol w:w="252"/>
        <w:gridCol w:w="9953"/>
      </w:tblGrid>
      <w:tr>
        <w:trPr/>
        <w:tc>
          <w:tcPr>
            <w:tcW w:w="252" w:type="dxa"/>
            <w:tcBorders/>
            <w:vAlign w:val="center"/>
          </w:tcPr>
          <w:p>
            <w:pPr>
              <w:pStyle w:val="TableContents"/>
              <w:bidi w:val="0"/>
              <w:spacing w:before="0" w:after="283"/>
              <w:jc w:val="left"/>
              <w:rPr>
                <w:sz w:val="4"/>
                <w:szCs w:val="4"/>
              </w:rPr>
            </w:pPr>
            <w:r>
              <w:rPr>
                <w:sz w:val="4"/>
                <w:szCs w:val="4"/>
              </w:rPr>
            </w:r>
          </w:p>
        </w:tc>
        <w:tc>
          <w:tcPr>
            <w:tcW w:w="9953" w:type="dxa"/>
            <w:tcBorders/>
            <w:vAlign w:val="center"/>
          </w:tcPr>
          <w:p>
            <w:pPr>
              <w:pStyle w:val="TableContents"/>
              <w:bidi w:val="0"/>
              <w:spacing w:before="0" w:after="283"/>
              <w:jc w:val="left"/>
              <w:rPr>
                <w:sz w:val="4"/>
                <w:szCs w:val="4"/>
              </w:rPr>
            </w:pPr>
            <w:r>
              <w:rPr>
                <w:sz w:val="4"/>
                <w:szCs w:val="4"/>
              </w:rPr>
            </w:r>
          </w:p>
        </w:tc>
      </w:tr>
      <w:tr>
        <w:trPr/>
        <w:tc>
          <w:tcPr>
            <w:tcW w:w="25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5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Filed herewith.</w:t>
            </w:r>
          </w:p>
        </w:tc>
      </w:tr>
      <w:tr>
        <w:trPr/>
        <w:tc>
          <w:tcPr>
            <w:tcW w:w="25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5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tc>
      </w:tr>
      <w:tr>
        <w:trPr/>
        <w:tc>
          <w:tcPr>
            <w:tcW w:w="25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5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Pursuant to Item 601(b)(10)(iv) of Regulation S-K promulgated by the Securities and Exchange Commission, certain portions of this exhibit (indicated by asterisks) have been omitted because they are not material and are the type that the Registrant treats as private or confidential. The Registrant hereby agrees to furnish supplementally to the Securities and Exchange Commission, upon its request, an unredacted copy of this exhibit.</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15" w:name="signatures"/>
      <w:bookmarkEnd w:id="15"/>
      <w:r>
        <w:rPr>
          <w:rFonts w:ascii="Times New Roman;serif" w:hAnsi="Times New Roman;serif"/>
          <w:b/>
          <w:sz w:val="20"/>
        </w:rPr>
        <w:t>SIGNATURES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tbl>
      <w:tblPr>
        <w:tblW w:w="5257" w:type="dxa"/>
        <w:jc w:val="left"/>
        <w:tblInd w:w="0" w:type="dxa"/>
        <w:tblLayout w:type="fixed"/>
        <w:tblCellMar>
          <w:top w:w="28" w:type="dxa"/>
          <w:left w:w="28" w:type="dxa"/>
          <w:bottom w:w="28" w:type="dxa"/>
          <w:right w:w="28" w:type="dxa"/>
        </w:tblCellMar>
      </w:tblPr>
      <w:tblGrid>
        <w:gridCol w:w="1741"/>
        <w:gridCol w:w="109"/>
        <w:gridCol w:w="406"/>
        <w:gridCol w:w="3001"/>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0"/>
              <w:ind w:left="0" w:right="0" w:hanging="0"/>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407" w:type="dxa"/>
            <w:gridSpan w:val="2"/>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Clearside Biomedical, Inc.</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00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12,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00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/s/ Charles A. Deignan</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00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Charles A. Deignan</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00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Chief Financial Officer</w:t>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00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 xml:space="preserve">(On behalf of the Registrant and as </w:t>
              <w:br/>
              <w:t>Principal Financial Officer)</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26</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16" w:name="clsd-ex31_1.htm"/>
      <w:bookmarkStart w:id="17" w:name="ksclsdex31_1"/>
      <w:bookmarkEnd w:id="16"/>
      <w:bookmarkEnd w:id="17"/>
      <w:r>
        <w:rPr>
          <w:rFonts w:ascii="Times New Roman;serif" w:hAnsi="Times New Roman;serif"/>
          <w:b/>
          <w:sz w:val="20"/>
        </w:rPr>
        <w:t>Exhibit 31.1</w:t>
      </w:r>
      <w:r>
        <w:br w:type="page"/>
      </w:r>
    </w:p>
    <w:p>
      <w:pPr>
        <w:pStyle w:val="TextBody"/>
        <w:bidi w:val="0"/>
        <w:spacing w:before="240" w:after="0"/>
        <w:jc w:val="center"/>
        <w:rPr>
          <w:rFonts w:ascii="Times New Roman;serif" w:hAnsi="Times New Roman;serif"/>
          <w:b/>
          <w:sz w:val="20"/>
        </w:rPr>
      </w:pPr>
      <w:r>
        <w:rPr>
          <w:rFonts w:ascii="Times New Roman;serif" w:hAnsi="Times New Roman;serif"/>
          <w:b/>
          <w:sz w:val="20"/>
        </w:rPr>
        <w:t>CERTIFICATION OF PRINCIPAL EXECUTIVE OFFICER</w:t>
      </w:r>
    </w:p>
    <w:p>
      <w:pPr>
        <w:pStyle w:val="TextBody"/>
        <w:bidi w:val="0"/>
        <w:spacing w:before="0" w:after="0"/>
        <w:jc w:val="center"/>
        <w:rPr>
          <w:rFonts w:ascii="Times New Roman;serif" w:hAnsi="Times New Roman;serif"/>
          <w:b/>
          <w:sz w:val="20"/>
        </w:rPr>
      </w:pPr>
      <w:r>
        <w:rPr>
          <w:rFonts w:ascii="Times New Roman;serif" w:hAnsi="Times New Roman;serif"/>
          <w:b/>
          <w:sz w:val="20"/>
        </w:rPr>
        <w:t>PURSUANT TO SECTION 302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George Lasezkay, certify that:</w:t>
      </w:r>
    </w:p>
    <w:p>
      <w:pPr>
        <w:pStyle w:val="TextBody"/>
        <w:bidi w:val="0"/>
        <w:spacing w:before="120" w:after="0"/>
        <w:jc w:val="left"/>
        <w:rPr>
          <w:rFonts w:ascii="Times New Roman" w:hAnsi="Times New Roman"/>
          <w:b w:val="false"/>
          <w:sz w:val="20"/>
        </w:rPr>
      </w:pPr>
      <w:r>
        <w:rPr>
          <w:rFonts w:ascii="Times New Roman" w:hAnsi="Times New Roman"/>
          <w:b w:val="false"/>
          <w:sz w:val="20"/>
        </w:rPr>
        <w:t>1.</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 have reviewed this Quarterly Report on Form 10-Q for the period ended March 31, 2023 of Clearside Biomedical, Inc. (the “registrant”);</w:t>
      </w:r>
    </w:p>
    <w:p>
      <w:pPr>
        <w:pStyle w:val="TextBody"/>
        <w:bidi w:val="0"/>
        <w:spacing w:before="120" w:after="0"/>
        <w:jc w:val="left"/>
        <w:rPr>
          <w:rFonts w:ascii="Times New Roman" w:hAnsi="Times New Roman"/>
          <w:b w:val="false"/>
          <w:sz w:val="20"/>
        </w:rPr>
      </w:pPr>
      <w:r>
        <w:rPr>
          <w:rFonts w:ascii="Times New Roman" w:hAnsi="Times New Roman"/>
          <w:b w:val="false"/>
          <w:sz w:val="20"/>
        </w:rPr>
        <w:t>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0"/>
        <w:jc w:val="left"/>
        <w:rPr>
          <w:rFonts w:ascii="Times New Roman" w:hAnsi="Times New Roman"/>
          <w:b w:val="false"/>
          <w:sz w:val="20"/>
        </w:rPr>
      </w:pPr>
      <w:r>
        <w:rPr>
          <w:rFonts w:ascii="Times New Roman" w:hAnsi="Times New Roman"/>
          <w:b w:val="false"/>
          <w:sz w:val="20"/>
        </w:rPr>
        <w:t>3.</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0"/>
        <w:jc w:val="left"/>
        <w:rPr>
          <w:rFonts w:ascii="Times New Roman" w:hAnsi="Times New Roman"/>
          <w:b w:val="false"/>
          <w:sz w:val="20"/>
        </w:rPr>
      </w:pPr>
      <w:r>
        <w:rPr>
          <w:rFonts w:ascii="Times New Roman" w:hAnsi="Times New Roman"/>
          <w:b w:val="false"/>
          <w:sz w:val="20"/>
        </w:rPr>
        <w:t>4.</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0"/>
        <w:jc w:val="left"/>
        <w:rPr>
          <w:rFonts w:ascii="Times New Roman" w:hAnsi="Times New Roman"/>
          <w:b w:val="false"/>
          <w:sz w:val="20"/>
        </w:rPr>
      </w:pPr>
      <w:r>
        <w:rPr>
          <w:rFonts w:ascii="Times New Roman" w:hAnsi="Times New Roman"/>
          <w:b w:val="false"/>
          <w:sz w:val="20"/>
        </w:rPr>
        <w:t>(c)</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0"/>
        <w:jc w:val="left"/>
        <w:rPr>
          <w:rFonts w:ascii="Times New Roman" w:hAnsi="Times New Roman"/>
          <w:b w:val="false"/>
          <w:sz w:val="20"/>
        </w:rPr>
      </w:pPr>
      <w:r>
        <w:rPr>
          <w:rFonts w:ascii="Times New Roman" w:hAnsi="Times New Roman"/>
          <w:b w:val="false"/>
          <w:sz w:val="20"/>
        </w:rPr>
        <w:t>(d)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w:t>
      </w:r>
    </w:p>
    <w:p>
      <w:pPr>
        <w:pStyle w:val="TextBody"/>
        <w:bidi w:val="0"/>
        <w:spacing w:before="120" w:after="0"/>
        <w:jc w:val="left"/>
        <w:rPr>
          <w:rFonts w:ascii="Times New Roman" w:hAnsi="Times New Roman"/>
          <w:b w:val="false"/>
          <w:sz w:val="20"/>
        </w:rPr>
      </w:pPr>
      <w:r>
        <w:rPr>
          <w:rFonts w:ascii="Times New Roman" w:hAnsi="Times New Roman"/>
          <w:b w:val="false"/>
          <w:sz w:val="20"/>
        </w:rPr>
        <w:t>5.</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Date: May 12, 2023</w:t>
      </w:r>
    </w:p>
    <w:tbl>
      <w:tblPr>
        <w:tblW w:w="3335" w:type="dxa"/>
        <w:jc w:val="left"/>
        <w:tblInd w:w="0" w:type="dxa"/>
        <w:tblLayout w:type="fixed"/>
        <w:tblCellMar>
          <w:top w:w="28" w:type="dxa"/>
          <w:left w:w="28" w:type="dxa"/>
          <w:bottom w:w="28" w:type="dxa"/>
          <w:right w:w="28" w:type="dxa"/>
        </w:tblCellMar>
      </w:tblPr>
      <w:tblGrid>
        <w:gridCol w:w="124"/>
        <w:gridCol w:w="3211"/>
      </w:tblGrid>
      <w:tr>
        <w:trPr/>
        <w:tc>
          <w:tcPr>
            <w:tcW w:w="124"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21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George Lasezkay, Pharm.D., J.D.</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George Lasezkay, Pharm. D., J.D.</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President and Chief Executive Officer</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executive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18" w:name="clsd-ex31_2.htm"/>
      <w:bookmarkStart w:id="19" w:name="ksclsdex31_2"/>
      <w:bookmarkEnd w:id="18"/>
      <w:bookmarkEnd w:id="19"/>
      <w:r>
        <w:rPr>
          <w:rFonts w:ascii="Times New Roman;serif" w:hAnsi="Times New Roman;serif"/>
          <w:b/>
          <w:sz w:val="20"/>
        </w:rPr>
        <w:t>Exhibit 31.2</w:t>
      </w:r>
      <w:r>
        <w:br w:type="page"/>
      </w:r>
    </w:p>
    <w:p>
      <w:pPr>
        <w:pStyle w:val="TextBody"/>
        <w:bidi w:val="0"/>
        <w:spacing w:before="240" w:after="0"/>
        <w:jc w:val="center"/>
        <w:rPr>
          <w:rFonts w:ascii="Times New Roman;serif" w:hAnsi="Times New Roman;serif"/>
          <w:b/>
          <w:sz w:val="20"/>
        </w:rPr>
      </w:pPr>
      <w:r>
        <w:rPr>
          <w:rFonts w:ascii="Times New Roman;serif" w:hAnsi="Times New Roman;serif"/>
          <w:b/>
          <w:sz w:val="20"/>
        </w:rPr>
        <w:t>CERTIFICATION OF PRINCIPAL FINANCIAL OFFICER</w:t>
      </w:r>
    </w:p>
    <w:p>
      <w:pPr>
        <w:pStyle w:val="TextBody"/>
        <w:bidi w:val="0"/>
        <w:spacing w:before="0" w:after="0"/>
        <w:jc w:val="center"/>
        <w:rPr>
          <w:rFonts w:ascii="Times New Roman;serif" w:hAnsi="Times New Roman;serif"/>
          <w:b/>
          <w:sz w:val="20"/>
        </w:rPr>
      </w:pPr>
      <w:r>
        <w:rPr>
          <w:rFonts w:ascii="Times New Roman;serif" w:hAnsi="Times New Roman;serif"/>
          <w:b/>
          <w:sz w:val="20"/>
        </w:rPr>
        <w:t>PURSUANT TO SECTION 302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Charles A. Deignan, certify that:</w:t>
      </w:r>
    </w:p>
    <w:p>
      <w:pPr>
        <w:pStyle w:val="TextBody"/>
        <w:bidi w:val="0"/>
        <w:spacing w:before="120" w:after="0"/>
        <w:jc w:val="left"/>
        <w:rPr>
          <w:rFonts w:ascii="Times New Roman" w:hAnsi="Times New Roman"/>
          <w:b w:val="false"/>
          <w:sz w:val="20"/>
        </w:rPr>
      </w:pPr>
      <w:r>
        <w:rPr>
          <w:rFonts w:ascii="Times New Roman" w:hAnsi="Times New Roman"/>
          <w:b w:val="false"/>
          <w:sz w:val="20"/>
        </w:rPr>
        <w:t>1.</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 have reviewed this Quarterly Report on Form 10-Q for the period ended March 31, 2023 of Clearside Biomedical, Inc. (the “registrant”);</w:t>
      </w:r>
    </w:p>
    <w:p>
      <w:pPr>
        <w:pStyle w:val="TextBody"/>
        <w:bidi w:val="0"/>
        <w:spacing w:before="120" w:after="0"/>
        <w:jc w:val="left"/>
        <w:rPr>
          <w:rFonts w:ascii="Times New Roman" w:hAnsi="Times New Roman"/>
          <w:b w:val="false"/>
          <w:sz w:val="20"/>
        </w:rPr>
      </w:pPr>
      <w:r>
        <w:rPr>
          <w:rFonts w:ascii="Times New Roman" w:hAnsi="Times New Roman"/>
          <w:b w:val="false"/>
          <w:sz w:val="20"/>
        </w:rPr>
        <w:t>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0"/>
        <w:jc w:val="left"/>
        <w:rPr>
          <w:rFonts w:ascii="Times New Roman" w:hAnsi="Times New Roman"/>
          <w:b w:val="false"/>
          <w:sz w:val="20"/>
        </w:rPr>
      </w:pPr>
      <w:r>
        <w:rPr>
          <w:rFonts w:ascii="Times New Roman" w:hAnsi="Times New Roman"/>
          <w:b w:val="false"/>
          <w:sz w:val="20"/>
        </w:rPr>
        <w:t>3.</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0"/>
        <w:jc w:val="left"/>
        <w:rPr>
          <w:rFonts w:ascii="Times New Roman" w:hAnsi="Times New Roman"/>
          <w:b w:val="false"/>
          <w:sz w:val="20"/>
        </w:rPr>
      </w:pPr>
      <w:r>
        <w:rPr>
          <w:rFonts w:ascii="Times New Roman" w:hAnsi="Times New Roman"/>
          <w:b w:val="false"/>
          <w:sz w:val="20"/>
        </w:rPr>
        <w:t>4.</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0"/>
        <w:jc w:val="left"/>
        <w:rPr>
          <w:rFonts w:ascii="Times New Roman" w:hAnsi="Times New Roman"/>
          <w:b w:val="false"/>
          <w:sz w:val="20"/>
        </w:rPr>
      </w:pPr>
      <w:r>
        <w:rPr>
          <w:rFonts w:ascii="Times New Roman" w:hAnsi="Times New Roman"/>
          <w:b w:val="false"/>
          <w:sz w:val="20"/>
        </w:rPr>
        <w:t>(c)</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0"/>
        <w:jc w:val="left"/>
        <w:rPr>
          <w:rFonts w:ascii="Times New Roman" w:hAnsi="Times New Roman"/>
          <w:b w:val="false"/>
          <w:sz w:val="20"/>
        </w:rPr>
      </w:pPr>
      <w:r>
        <w:rPr>
          <w:rFonts w:ascii="Times New Roman" w:hAnsi="Times New Roman"/>
          <w:b w:val="false"/>
          <w:sz w:val="20"/>
        </w:rPr>
        <w:t>(d)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120" w:after="0"/>
        <w:jc w:val="left"/>
        <w:rPr>
          <w:rFonts w:ascii="Times New Roman" w:hAnsi="Times New Roman"/>
          <w:b w:val="false"/>
          <w:sz w:val="20"/>
        </w:rPr>
      </w:pPr>
      <w:r>
        <w:rPr>
          <w:rFonts w:ascii="Times New Roman" w:hAnsi="Times New Roman"/>
          <w:b w:val="false"/>
          <w:sz w:val="20"/>
        </w:rPr>
        <w:t>5.</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Date: May 12, 2023</w:t>
      </w:r>
    </w:p>
    <w:tbl>
      <w:tblPr>
        <w:tblW w:w="2465" w:type="dxa"/>
        <w:jc w:val="left"/>
        <w:tblInd w:w="0" w:type="dxa"/>
        <w:tblLayout w:type="fixed"/>
        <w:tblCellMar>
          <w:top w:w="28" w:type="dxa"/>
          <w:left w:w="28" w:type="dxa"/>
          <w:bottom w:w="28" w:type="dxa"/>
          <w:right w:w="28" w:type="dxa"/>
        </w:tblCellMar>
      </w:tblPr>
      <w:tblGrid>
        <w:gridCol w:w="124"/>
        <w:gridCol w:w="2341"/>
      </w:tblGrid>
      <w:tr>
        <w:trPr/>
        <w:tc>
          <w:tcPr>
            <w:tcW w:w="124"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34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Charles A. Deignan</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3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Charles A. Deignan</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3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3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financial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20" w:name="clsd-ex32_1.htm"/>
      <w:bookmarkStart w:id="21" w:name="ksclsdex32_1"/>
      <w:bookmarkEnd w:id="20"/>
      <w:bookmarkEnd w:id="21"/>
      <w:r>
        <w:rPr>
          <w:rFonts w:ascii="Times New Roman;serif" w:hAnsi="Times New Roman;serif"/>
          <w:b/>
          <w:sz w:val="20"/>
        </w:rPr>
        <w:t>Exhibit 32.1</w:t>
      </w:r>
      <w:r>
        <w:br w:type="page"/>
      </w:r>
    </w:p>
    <w:p>
      <w:pPr>
        <w:pStyle w:val="TextBody"/>
        <w:bidi w:val="0"/>
        <w:spacing w:before="240" w:after="0"/>
        <w:jc w:val="center"/>
        <w:rPr>
          <w:rFonts w:ascii="Times New Roman;serif" w:hAnsi="Times New Roman;serif"/>
          <w:b/>
          <w:sz w:val="20"/>
        </w:rPr>
      </w:pPr>
      <w:r>
        <w:rPr>
          <w:rFonts w:ascii="Times New Roman;serif" w:hAnsi="Times New Roman;serif"/>
          <w:b/>
          <w:sz w:val="20"/>
        </w:rPr>
        <w:t>CERTIFICATIONS OF</w:t>
      </w:r>
    </w:p>
    <w:p>
      <w:pPr>
        <w:pStyle w:val="TextBody"/>
        <w:bidi w:val="0"/>
        <w:spacing w:before="0" w:after="0"/>
        <w:jc w:val="center"/>
        <w:rPr>
          <w:rFonts w:ascii="Times New Roman;serif" w:hAnsi="Times New Roman;serif"/>
          <w:b/>
          <w:sz w:val="20"/>
        </w:rPr>
      </w:pPr>
      <w:r>
        <w:rPr>
          <w:rFonts w:ascii="Times New Roman;serif" w:hAnsi="Times New Roman;serif"/>
          <w:b/>
          <w:sz w:val="20"/>
        </w:rPr>
        <w:t>PRINCIPAL EXECUTIVE OFFICER AND PRINCIPAL FINANCIAL OFFICER</w:t>
      </w:r>
    </w:p>
    <w:p>
      <w:pPr>
        <w:pStyle w:val="TextBody"/>
        <w:bidi w:val="0"/>
        <w:spacing w:before="0" w:after="0"/>
        <w:jc w:val="center"/>
        <w:rPr>
          <w:rFonts w:ascii="Times New Roman;serif" w:hAnsi="Times New Roman;serif"/>
          <w:b/>
          <w:sz w:val="20"/>
        </w:rPr>
      </w:pPr>
      <w:r>
        <w:rPr>
          <w:rFonts w:ascii="Times New Roman;serif" w:hAnsi="Times New Roman;serif"/>
          <w:b/>
          <w:sz w:val="20"/>
        </w:rPr>
        <w:t>PURSUANT TO 18 U.S.C. SECTION 1350,</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Pursuant to the requirement set forth in Rule 13a-14(b) of the Securities Exchange Act of 1934, as amended, (the “Exchange Act”) and Section 1350 of Chapter 63 of Title 18 of the United States Code (18 U.S.C. §1350), George Lasezkay, President and Chief Executive Officer of Clearside Biomedical, Inc. (the “Company”), and Charles A. Deignan, Chief Financial Officer of the Company, each hereby certifies that, to the best of his knowledge:</w:t>
      </w:r>
    </w:p>
    <w:p>
      <w:pPr>
        <w:pStyle w:val="TextBody"/>
        <w:bidi w:val="0"/>
        <w:spacing w:before="120" w:after="0"/>
        <w:jc w:val="left"/>
        <w:rPr>
          <w:rFonts w:ascii="Times New Roman" w:hAnsi="Times New Roman"/>
          <w:b w:val="false"/>
          <w:sz w:val="20"/>
        </w:rPr>
      </w:pPr>
      <w:r>
        <w:rPr>
          <w:rFonts w:ascii="Times New Roman" w:hAnsi="Times New Roman"/>
          <w:b w:val="false"/>
          <w:sz w:val="20"/>
        </w:rPr>
        <w:t>1.</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Company’s Quarterly Report on Form 10-Q for the period ended March 31, 2023, to which this Certification is attached as Exhibit 32.1 (the “Periodic Report”), fully complies with the requirements of Section 13(a) or Section 15(d) of the Exchange Act; and</w:t>
      </w:r>
    </w:p>
    <w:p>
      <w:pPr>
        <w:pStyle w:val="TextBody"/>
        <w:bidi w:val="0"/>
        <w:spacing w:before="120" w:after="0"/>
        <w:jc w:val="left"/>
        <w:rPr>
          <w:rFonts w:ascii="Times New Roman" w:hAnsi="Times New Roman"/>
          <w:b w:val="false"/>
          <w:sz w:val="20"/>
        </w:rPr>
      </w:pPr>
      <w:r>
        <w:rPr>
          <w:rFonts w:ascii="Times New Roman" w:hAnsi="Times New Roman"/>
          <w:b w:val="false"/>
          <w:sz w:val="20"/>
        </w:rPr>
        <w:t>2.</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information contained in the Periodic Report fairly presents, in all material respects, the financial condition and results of operations of the Company.</w:t>
      </w:r>
    </w:p>
    <w:p>
      <w:pPr>
        <w:pStyle w:val="TextBody"/>
        <w:bidi w:val="0"/>
        <w:spacing w:before="240" w:after="0"/>
        <w:jc w:val="left"/>
        <w:rPr>
          <w:rFonts w:ascii="Times New Roman" w:hAnsi="Times New Roman"/>
          <w:sz w:val="20"/>
        </w:rPr>
      </w:pPr>
      <w:r>
        <w:rPr>
          <w:rFonts w:ascii="Times New Roman;serif" w:hAnsi="Times New Roman;serif"/>
          <w:b/>
          <w:sz w:val="20"/>
        </w:rPr>
        <w:t>IN WITNESS WHEREOF</w:t>
      </w:r>
      <w:r>
        <w:rPr>
          <w:rFonts w:ascii="Times New Roman;serif" w:hAnsi="Times New Roman;serif"/>
          <w:b w:val="false"/>
          <w:sz w:val="20"/>
        </w:rPr>
        <w:t>, the undersigned have set their hands hereto as of the 12th day of May, 2023.</w:t>
      </w:r>
    </w:p>
    <w:tbl>
      <w:tblPr>
        <w:tblW w:w="5676" w:type="dxa"/>
        <w:jc w:val="left"/>
        <w:tblInd w:w="0" w:type="dxa"/>
        <w:tblLayout w:type="fixed"/>
        <w:tblCellMar>
          <w:top w:w="28" w:type="dxa"/>
          <w:left w:w="28" w:type="dxa"/>
          <w:bottom w:w="28" w:type="dxa"/>
          <w:right w:w="28" w:type="dxa"/>
        </w:tblCellMar>
      </w:tblPr>
      <w:tblGrid>
        <w:gridCol w:w="3226"/>
        <w:gridCol w:w="109"/>
        <w:gridCol w:w="2341"/>
      </w:tblGrid>
      <w:tr>
        <w:trPr/>
        <w:tc>
          <w:tcPr>
            <w:tcW w:w="3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r>
      <w:tr>
        <w:trPr/>
        <w:tc>
          <w:tcPr>
            <w:tcW w:w="322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George Lasezkay, Pharm. D., J.D.</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34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Charles. A. Deignan</w:t>
            </w:r>
          </w:p>
        </w:tc>
      </w:tr>
      <w:tr>
        <w:trPr/>
        <w:tc>
          <w:tcPr>
            <w:tcW w:w="3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George Lasezkay, Pharm. D., J.D.</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3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Charles A. Deignan</w:t>
            </w:r>
          </w:p>
        </w:tc>
      </w:tr>
      <w:tr>
        <w:trPr/>
        <w:tc>
          <w:tcPr>
            <w:tcW w:w="3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President and Chief Executive Officer </w:t>
              <w:br/>
              <w:t>(principal executive officer)</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3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Chief Financial Officer </w:t>
              <w:br/>
              <w:t>(principal financial officer)</w:t>
            </w:r>
          </w:p>
        </w:tc>
      </w:tr>
    </w:tbl>
    <w:p>
      <w:pPr>
        <w:pStyle w:val="TextBody"/>
        <w:bidi w:val="0"/>
        <w:spacing w:before="0" w:after="0"/>
        <w:jc w:val="left"/>
        <w:rPr/>
      </w:pPr>
      <w:r>
        <w:rPr/>
        <w:t> </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 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539029/000119312516615374/d208521dex31.htm" TargetMode="External"/><Relationship Id="rId4" Type="http://schemas.openxmlformats.org/officeDocument/2006/relationships/hyperlink" Target="https://www.sec.gov/Archives/edgar/data/1539029/000095017022012039/clsd-ex3_1.htm" TargetMode="External"/><Relationship Id="rId5" Type="http://schemas.openxmlformats.org/officeDocument/2006/relationships/hyperlink" Target="https://www.sec.gov/Archives/edgar/data/1539029/000119312516615374/d208521dex32.htm" TargetMode="External"/><Relationship Id="rId6" Type="http://schemas.openxmlformats.org/officeDocument/2006/relationships/hyperlink" Target="https://www.sec.gov/Archives/edgar/data/1539029/000095017023007732/clsd-ex10_30.htm" TargetMode="External"/><Relationship Id="rId7" Type="http://schemas.openxmlformats.org/officeDocument/2006/relationships/hyperlink" Target="https://www.sec.gov/Archives/edgar/data/1539029/000095017023003293/clsd-ex10_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13798</Words>
  <Characters>76426</Characters>
  <CharactersWithSpaces>90444</CharactersWithSpaces>
  <Paragraphs>2389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