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780" w:right="1880" w:hanging="3772"/>
        <w:spacing w:after="0" w:line="328" w:lineRule="auto"/>
        <w:tabs>
          <w:tab w:leader="none" w:pos="20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0" w:right="1860" w:hanging="4192"/>
        <w:spacing w:after="0" w:line="360" w:lineRule="auto"/>
        <w:tabs>
          <w:tab w:leader="none" w:pos="21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Clearside Biomedical, Inc.</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p>
      <w:pPr>
        <w:spacing w:after="0" w:line="374"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45-2437375</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140" w:space="720"/>
            <w:col w:w="3380"/>
          </w:cols>
          <w:pgMar w:left="320" w:top="724" w:right="339" w:bottom="1440" w:gutter="0" w:footer="0" w:header="0"/>
          <w:type w:val="continuous"/>
        </w:sectPr>
      </w:pPr>
    </w:p>
    <w:p>
      <w:pPr>
        <w:ind w:left="1440"/>
        <w:spacing w:after="0"/>
        <w:rPr>
          <w:sz w:val="20"/>
          <w:szCs w:val="20"/>
          <w:color w:val="auto"/>
        </w:rPr>
      </w:pPr>
      <w:r>
        <w:rPr>
          <w:rFonts w:ascii="Arial" w:cs="Arial" w:eastAsia="Arial" w:hAnsi="Arial"/>
          <w:sz w:val="18"/>
          <w:szCs w:val="18"/>
          <w:b w:val="1"/>
          <w:bCs w:val="1"/>
          <w:color w:val="auto"/>
        </w:rPr>
        <w:t>900 North Point Parkway, Suite 200</w:t>
      </w:r>
    </w:p>
    <w:p>
      <w:pPr>
        <w:spacing w:after="0" w:line="21" w:lineRule="exact"/>
        <w:rPr>
          <w:sz w:val="24"/>
          <w:szCs w:val="24"/>
          <w:color w:val="auto"/>
        </w:rPr>
      </w:pPr>
    </w:p>
    <w:p>
      <w:pPr>
        <w:ind w:left="2220"/>
        <w:spacing w:after="0"/>
        <w:tabs>
          <w:tab w:leader="none" w:pos="8180" w:val="left"/>
        </w:tabs>
        <w:rPr>
          <w:sz w:val="20"/>
          <w:szCs w:val="20"/>
          <w:color w:val="auto"/>
        </w:rPr>
      </w:pPr>
      <w:r>
        <w:rPr>
          <w:rFonts w:ascii="Arial" w:cs="Arial" w:eastAsia="Arial" w:hAnsi="Arial"/>
          <w:sz w:val="18"/>
          <w:szCs w:val="18"/>
          <w:b w:val="1"/>
          <w:bCs w:val="1"/>
          <w:color w:val="auto"/>
        </w:rPr>
        <w:t>Alpharetta, GA</w:t>
      </w:r>
      <w:r>
        <w:rPr>
          <w:sz w:val="20"/>
          <w:szCs w:val="20"/>
          <w:color w:val="auto"/>
        </w:rPr>
        <w:tab/>
      </w:r>
      <w:r>
        <w:rPr>
          <w:rFonts w:ascii="Arial" w:cs="Arial" w:eastAsia="Arial" w:hAnsi="Arial"/>
          <w:sz w:val="16"/>
          <w:szCs w:val="16"/>
          <w:b w:val="1"/>
          <w:bCs w:val="1"/>
          <w:color w:val="auto"/>
        </w:rPr>
        <w:t>30005</w:t>
      </w:r>
    </w:p>
    <w:p>
      <w:pPr>
        <w:spacing w:after="0" w:line="13"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270-3631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9" w:lineRule="exact"/>
        <w:rPr>
          <w:sz w:val="24"/>
          <w:szCs w:val="24"/>
          <w:color w:val="auto"/>
        </w:rPr>
      </w:pPr>
    </w:p>
    <w:p>
      <w:pPr>
        <w:ind w:left="1440"/>
        <w:spacing w:after="0"/>
        <w:tabs>
          <w:tab w:leader="none" w:pos="4640" w:val="left"/>
          <w:tab w:leader="none" w:pos="73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36" w:lineRule="exact"/>
        <w:rPr>
          <w:sz w:val="24"/>
          <w:szCs w:val="24"/>
          <w:color w:val="auto"/>
        </w:rPr>
      </w:pPr>
    </w:p>
    <w:p>
      <w:pPr>
        <w:ind w:left="540"/>
        <w:spacing w:after="0"/>
        <w:tabs>
          <w:tab w:leader="none" w:pos="5100" w:val="left"/>
          <w:tab w:leader="none" w:pos="776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8"/>
          <w:szCs w:val="18"/>
          <w:color w:val="auto"/>
        </w:rPr>
        <w:t>CLSD</w:t>
      </w:r>
      <w:r>
        <w:rPr>
          <w:sz w:val="20"/>
          <w:szCs w:val="20"/>
          <w:color w:val="auto"/>
        </w:rPr>
        <w:tab/>
      </w:r>
      <w:r>
        <w:rPr>
          <w:rFonts w:ascii="Arial" w:cs="Arial" w:eastAsia="Arial" w:hAnsi="Arial"/>
          <w:sz w:val="16"/>
          <w:szCs w:val="16"/>
          <w:color w:val="auto"/>
        </w:rPr>
        <w:t>The Nasdaq Stock Market LLC</w:t>
      </w:r>
    </w:p>
    <w:p>
      <w:pPr>
        <w:spacing w:after="0" w:line="90" w:lineRule="exact"/>
        <w:rPr>
          <w:sz w:val="24"/>
          <w:szCs w:val="24"/>
          <w:color w:val="auto"/>
        </w:rPr>
      </w:pPr>
    </w:p>
    <w:p>
      <w:pPr>
        <w:ind w:right="6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ind w:firstLine="50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12, 2021, the registrant had 57,578,725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20" w:type="dxa"/>
            <w:vAlign w:val="bottom"/>
            <w:gridSpan w:val="7"/>
            <w:vMerge w:val="restart"/>
          </w:tcPr>
          <w:p>
            <w:pPr>
              <w:jc w:val="center"/>
              <w:ind w:right="2440"/>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20" w:type="dxa"/>
            <w:vAlign w:val="bottom"/>
            <w:gridSpan w:val="7"/>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660" w:type="dxa"/>
            <w:vAlign w:val="bottom"/>
            <w:gridSpan w:val="13"/>
          </w:tcPr>
          <w:p>
            <w:pPr>
              <w:spacing w:after="0"/>
              <w:rPr>
                <w:sz w:val="20"/>
                <w:szCs w:val="20"/>
                <w:color w:val="auto"/>
              </w:rPr>
            </w:pPr>
            <w:r>
              <w:rPr>
                <w:rFonts w:ascii="Arial" w:cs="Arial" w:eastAsia="Arial" w:hAnsi="Arial"/>
                <w:sz w:val="18"/>
                <w:szCs w:val="18"/>
                <w:color w:val="auto"/>
              </w:rPr>
              <w:t>Financial Statements (unaudited)</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60" w:type="dxa"/>
            <w:vAlign w:val="bottom"/>
            <w:gridSpan w:val="13"/>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Balance Sheets as of March 31, 2021 and December 31, 2020</w:t>
              </w:r>
            </w:hyperlink>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6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Statements of Operations for the three months ended March 31, 2021 and 2020</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Statements of Stockholders’ Equity for the three months ended March 31, 2021 and 2020</w:t>
              </w:r>
            </w:hyperlink>
          </w:p>
        </w:tc>
        <w:tc>
          <w:tcPr>
            <w:tcW w:w="322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Statements of Cash Flows for the three months ended March 31, 2021 and 2020</w:t>
              </w:r>
            </w:hyperlink>
          </w:p>
        </w:tc>
        <w:tc>
          <w:tcPr>
            <w:tcW w:w="3900" w:type="dxa"/>
            <w:vAlign w:val="bottom"/>
            <w:gridSpan w:val="3"/>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660" w:type="dxa"/>
            <w:vAlign w:val="bottom"/>
            <w:gridSpan w:val="1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4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3"/>
              </w:rPr>
            </w:pPr>
            <w:hyperlink w:anchor="page24">
              <w:r>
                <w:rPr>
                  <w:rFonts w:ascii="Arial" w:cs="Arial" w:eastAsia="Arial" w:hAnsi="Arial"/>
                  <w:sz w:val="18"/>
                  <w:szCs w:val="18"/>
                  <w:color w:val="0000FF"/>
                  <w:w w:val="93"/>
                </w:rPr>
                <w:t>Quantitative and Qualitative Disclosures About Market Risk</w:t>
              </w:r>
            </w:hyperlink>
          </w:p>
        </w:tc>
        <w:tc>
          <w:tcPr>
            <w:tcW w:w="2000" w:type="dxa"/>
            <w:vAlign w:val="bottom"/>
            <w:tcBorders>
              <w:top w:val="single" w:sz="8" w:color="0000FF"/>
            </w:tcBorders>
            <w:gridSpan w:val="4"/>
          </w:tcPr>
          <w:p>
            <w:pPr>
              <w:spacing w:after="0"/>
              <w:rPr>
                <w:sz w:val="19"/>
                <w:szCs w:val="19"/>
                <w:color w:val="auto"/>
              </w:rPr>
            </w:pPr>
          </w:p>
        </w:tc>
        <w:tc>
          <w:tcPr>
            <w:tcW w:w="3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660" w:type="dxa"/>
            <w:vAlign w:val="bottom"/>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60" w:type="dxa"/>
            <w:vAlign w:val="bottom"/>
          </w:tcPr>
          <w:p>
            <w:pPr>
              <w:spacing w:after="0"/>
              <w:rPr>
                <w:sz w:val="22"/>
                <w:szCs w:val="22"/>
                <w:color w:val="auto"/>
              </w:rPr>
            </w:pPr>
          </w:p>
        </w:tc>
        <w:tc>
          <w:tcPr>
            <w:tcW w:w="7220" w:type="dxa"/>
            <w:vAlign w:val="bottom"/>
            <w:gridSpan w:val="7"/>
          </w:tcPr>
          <w:p>
            <w:pPr>
              <w:jc w:val="center"/>
              <w:ind w:right="2440"/>
              <w:spacing w:after="0"/>
              <w:rPr>
                <w:sz w:val="20"/>
                <w:szCs w:val="20"/>
                <w:color w:val="auto"/>
              </w:rPr>
            </w:pPr>
            <w:r>
              <w:rPr>
                <w:rFonts w:ascii="Arial" w:cs="Arial" w:eastAsia="Arial" w:hAnsi="Arial"/>
                <w:sz w:val="18"/>
                <w:szCs w:val="18"/>
                <w:b w:val="1"/>
                <w:bCs w:val="1"/>
                <w:color w:val="auto"/>
              </w:rPr>
              <w:t>PART II - OTHER INFORMATION</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3"/>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8320" w:type="dxa"/>
            <w:vAlign w:val="bottom"/>
            <w:gridSpan w:val="9"/>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Unregistered Sales of Equity Securities and Use of Proceeds</w:t>
              </w:r>
            </w:hyperlink>
          </w:p>
        </w:tc>
        <w:tc>
          <w:tcPr>
            <w:tcW w:w="5300" w:type="dxa"/>
            <w:vAlign w:val="bottom"/>
            <w:gridSpan w:val="6"/>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660" w:type="dxa"/>
            <w:vAlign w:val="bottom"/>
            <w:gridSpan w:val="1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gridSpan w:val="9"/>
          </w:tcPr>
          <w:p>
            <w:pPr>
              <w:ind w:left="44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26,147</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26,699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7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27,821</w:t>
            </w:r>
          </w:p>
        </w:tc>
        <w:tc>
          <w:tcPr>
            <w:tcW w:w="3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10,297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9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10,836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and no</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shares issued at March 31, 2021 and December 31, 2020</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$0.001 par value; 100,000,000 shares authorized at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400"/>
              <w:spacing w:after="0"/>
              <w:rPr>
                <w:sz w:val="20"/>
                <w:szCs w:val="20"/>
                <w:color w:val="auto"/>
              </w:rPr>
            </w:pPr>
            <w:r>
              <w:rPr>
                <w:rFonts w:ascii="Arial" w:cs="Arial" w:eastAsia="Arial" w:hAnsi="Arial"/>
                <w:sz w:val="18"/>
                <w:szCs w:val="18"/>
                <w:color w:val="auto"/>
              </w:rPr>
              <w:t>March 31, 2021 and December 31, 2020; 57,578,725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400"/>
              <w:spacing w:after="0"/>
              <w:rPr>
                <w:sz w:val="20"/>
                <w:szCs w:val="20"/>
                <w:color w:val="auto"/>
              </w:rPr>
            </w:pPr>
            <w:r>
              <w:rPr>
                <w:rFonts w:ascii="Arial" w:cs="Arial" w:eastAsia="Arial" w:hAnsi="Arial"/>
                <w:sz w:val="18"/>
                <w:szCs w:val="18"/>
                <w:color w:val="auto"/>
              </w:rPr>
              <w:t>51,860,941 shares issued and outstanding at March 31, 2021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40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280,145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264,578</w:t>
            </w:r>
          </w:p>
        </w:tc>
        <w:tc>
          <w:tcPr>
            <w:tcW w:w="100" w:type="dxa"/>
            <w:vAlign w:val="bottom"/>
            <w:shd w:val="clear" w:color="auto" w:fill="CFF0FC"/>
          </w:tcPr>
          <w:p>
            <w:pPr>
              <w:spacing w:after="0"/>
              <w:rPr>
                <w:sz w:val="21"/>
                <w:szCs w:val="2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(263,218 )</w:t>
            </w: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(255,867 )</w:t>
            </w:r>
          </w:p>
        </w:tc>
      </w:tr>
      <w:tr>
        <w:trPr>
          <w:trHeight w:val="223"/>
        </w:trPr>
        <w:tc>
          <w:tcPr>
            <w:tcW w:w="772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16,985</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9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27,821</w:t>
            </w:r>
          </w:p>
        </w:tc>
        <w:tc>
          <w:tcPr>
            <w:tcW w:w="3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-4150995</wp:posOffset>
            </wp:positionV>
            <wp:extent cx="196850"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-4150995</wp:posOffset>
            </wp:positionV>
            <wp:extent cx="68580" cy="476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-3533775</wp:posOffset>
            </wp:positionV>
            <wp:extent cx="196850" cy="4763"/>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-3533775</wp:posOffset>
            </wp:positionV>
            <wp:extent cx="68580" cy="476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-2273935</wp:posOffset>
            </wp:positionV>
            <wp:extent cx="196850" cy="4763"/>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-2273935</wp:posOffset>
            </wp:positionV>
            <wp:extent cx="68580"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-1965325</wp:posOffset>
            </wp:positionV>
            <wp:extent cx="196850" cy="4763"/>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-1965325</wp:posOffset>
            </wp:positionV>
            <wp:extent cx="68580"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-182245</wp:posOffset>
            </wp:positionV>
            <wp:extent cx="196850"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FF0FC"/>
          </w:tcPr>
          <w:p>
            <w:pPr>
              <w:spacing w:after="0"/>
              <w:rPr>
                <w:sz w:val="21"/>
                <w:szCs w:val="2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(8,349 )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(2,836 )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9"/>
                <w:szCs w:val="19"/>
                <w:color w:val="auto"/>
              </w:rPr>
            </w:pPr>
          </w:p>
        </w:tc>
        <w:tc>
          <w:tcPr>
            <w:tcW w:w="1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(0.13 )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(0.07 )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57,038,664</w:t>
            </w:r>
          </w:p>
        </w:tc>
        <w:tc>
          <w:tcPr>
            <w:tcW w:w="3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44,753,510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-1005205</wp:posOffset>
            </wp:positionV>
            <wp:extent cx="196850" cy="4763"/>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476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-385445</wp:posOffset>
            </wp:positionV>
            <wp:extent cx="196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-368300</wp:posOffset>
            </wp:positionV>
            <wp:extent cx="196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1968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96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w w:val="95"/>
              </w:rPr>
              <w:t>Three Months Ended March 31, 2021</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4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r>
      <w:tr>
        <w:trPr>
          <w:trHeight w:val="228"/>
        </w:trPr>
        <w:tc>
          <w:tcPr>
            <w:tcW w:w="458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21"/>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r>
      <w:tr>
        <w:trPr>
          <w:trHeight w:val="223"/>
        </w:trPr>
        <w:tc>
          <w:tcPr>
            <w:tcW w:w="4580" w:type="dxa"/>
            <w:vAlign w:val="bottom"/>
          </w:tcPr>
          <w:p>
            <w:pPr>
              <w:spacing w:after="0"/>
              <w:rPr>
                <w:sz w:val="19"/>
                <w:szCs w:val="19"/>
                <w:color w:val="auto"/>
              </w:rPr>
            </w:pPr>
          </w:p>
        </w:tc>
        <w:tc>
          <w:tcPr>
            <w:tcW w:w="10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9"/>
                <w:szCs w:val="19"/>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51,860,941</w:t>
            </w:r>
          </w:p>
        </w:tc>
        <w:tc>
          <w:tcPr>
            <w:tcW w:w="1080" w:type="dxa"/>
            <w:vAlign w:val="bottom"/>
            <w:gridSpan w:val="2"/>
            <w:shd w:val="clear" w:color="auto" w:fill="CFF0FC"/>
          </w:tcPr>
          <w:p>
            <w:pPr>
              <w:jc w:val="right"/>
              <w:ind w:right="6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264,578</w:t>
            </w:r>
          </w:p>
        </w:tc>
        <w:tc>
          <w:tcPr>
            <w:tcW w:w="4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(255,867 )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8,763</w:t>
            </w:r>
          </w:p>
        </w:tc>
        <w:tc>
          <w:tcPr>
            <w:tcW w:w="100" w:type="dxa"/>
            <w:vAlign w:val="bottom"/>
            <w:shd w:val="clear" w:color="auto" w:fill="CFF0FC"/>
          </w:tcPr>
          <w:p>
            <w:pPr>
              <w:spacing w:after="0"/>
              <w:rPr>
                <w:sz w:val="20"/>
                <w:szCs w:val="20"/>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Issuance of common shares under a direct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registered offering</w:t>
            </w:r>
          </w:p>
        </w:tc>
        <w:tc>
          <w:tcPr>
            <w:tcW w:w="1020" w:type="dxa"/>
            <w:vAlign w:val="bottom"/>
          </w:tcPr>
          <w:p>
            <w:pPr>
              <w:jc w:val="right"/>
              <w:spacing w:after="0"/>
              <w:rPr>
                <w:sz w:val="20"/>
                <w:szCs w:val="20"/>
                <w:color w:val="auto"/>
              </w:rPr>
            </w:pPr>
            <w:r>
              <w:rPr>
                <w:rFonts w:ascii="Arial" w:cs="Arial" w:eastAsia="Arial" w:hAnsi="Arial"/>
                <w:sz w:val="16"/>
                <w:szCs w:val="16"/>
                <w:color w:val="auto"/>
              </w:rPr>
              <w:t>4,209,050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1,186,579</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3,249</w:t>
            </w:r>
          </w:p>
        </w:tc>
        <w:tc>
          <w:tcPr>
            <w:tcW w:w="100" w:type="dxa"/>
            <w:vAlign w:val="bottom"/>
            <w:shd w:val="clear" w:color="auto" w:fill="CFF0FC"/>
          </w:tcPr>
          <w:p>
            <w:pPr>
              <w:spacing w:after="0"/>
              <w:rPr>
                <w:sz w:val="19"/>
                <w:szCs w:val="19"/>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62,493</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r>
      <w:tr>
        <w:trPr>
          <w:trHeight w:val="253"/>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227,754</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Issuance of common shares under employee stock</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31,908</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r>
      <w:tr>
        <w:trPr>
          <w:trHeight w:val="253"/>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FF0FC"/>
          </w:tcPr>
          <w:p>
            <w:pPr>
              <w:spacing w:after="0"/>
              <w:rPr>
                <w:sz w:val="21"/>
                <w:szCs w:val="2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(7,351 )</w:t>
            </w: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(7,351 )</w:t>
            </w:r>
          </w:p>
        </w:tc>
      </w:tr>
      <w:tr>
        <w:trPr>
          <w:trHeight w:val="20"/>
        </w:trPr>
        <w:tc>
          <w:tcPr>
            <w:tcW w:w="4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3"/>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57,578,725</w:t>
            </w:r>
          </w:p>
        </w:tc>
        <w:tc>
          <w:tcPr>
            <w:tcW w:w="28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624"/>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280,145</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(263,218 )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16,985</w:t>
            </w:r>
          </w:p>
        </w:tc>
        <w:tc>
          <w:tcPr>
            <w:tcW w:w="100" w:type="dxa"/>
            <w:vAlign w:val="bottom"/>
            <w:shd w:val="clear" w:color="auto" w:fill="CFF0FC"/>
          </w:tcPr>
          <w:p>
            <w:pPr>
              <w:spacing w:after="0"/>
              <w:rPr>
                <w:sz w:val="22"/>
                <w:szCs w:val="22"/>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179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179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1625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162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163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63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625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625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6350</wp:posOffset>
            </wp:positionV>
            <wp:extent cx="4157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62"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Total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December 31, 2019</w:t>
      </w:r>
    </w:p>
    <w:p>
      <w:pPr>
        <w:spacing w:after="0" w:line="59" w:lineRule="exact"/>
        <w:rPr>
          <w:sz w:val="20"/>
          <w:szCs w:val="20"/>
          <w:color w:val="auto"/>
        </w:rPr>
      </w:pPr>
    </w:p>
    <w:p>
      <w:pPr>
        <w:ind w:left="140" w:right="720" w:hanging="121"/>
        <w:spacing w:after="0" w:line="281" w:lineRule="auto"/>
        <w:rPr>
          <w:sz w:val="20"/>
          <w:szCs w:val="20"/>
          <w:color w:val="auto"/>
        </w:rPr>
      </w:pPr>
      <w:r>
        <w:rPr>
          <w:rFonts w:ascii="Arial" w:cs="Arial" w:eastAsia="Arial" w:hAnsi="Arial"/>
          <w:sz w:val="16"/>
          <w:szCs w:val="16"/>
          <w:color w:val="auto"/>
        </w:rPr>
        <w:t>Issuance of common shares under at-the-market sales agreement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 expense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23"/>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Stockholders'</w:t>
            </w:r>
          </w:p>
        </w:tc>
      </w:tr>
      <w:tr>
        <w:trPr>
          <w:trHeight w:val="223"/>
        </w:trPr>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Equity</w:t>
            </w:r>
          </w:p>
        </w:tc>
      </w:tr>
      <w:tr>
        <w:trPr>
          <w:trHeight w:val="217"/>
        </w:trPr>
        <w:tc>
          <w:tcPr>
            <w:tcW w:w="1020" w:type="dxa"/>
            <w:vAlign w:val="bottom"/>
          </w:tcPr>
          <w:p>
            <w:pPr>
              <w:jc w:val="right"/>
              <w:spacing w:after="0"/>
              <w:rPr>
                <w:sz w:val="20"/>
                <w:szCs w:val="20"/>
                <w:color w:val="auto"/>
              </w:rPr>
            </w:pPr>
            <w:r>
              <w:rPr>
                <w:rFonts w:ascii="Arial" w:cs="Arial" w:eastAsia="Arial" w:hAnsi="Arial"/>
                <w:sz w:val="16"/>
                <w:szCs w:val="16"/>
                <w:color w:val="auto"/>
              </w:rPr>
              <w:t>44,413,372</w:t>
            </w:r>
          </w:p>
        </w:tc>
        <w:tc>
          <w:tcPr>
            <w:tcW w:w="1080" w:type="dxa"/>
            <w:vAlign w:val="bottom"/>
            <w:gridSpan w:val="2"/>
          </w:tcPr>
          <w:p>
            <w:pPr>
              <w:jc w:val="right"/>
              <w:ind w:right="628"/>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44</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248,770</w:t>
            </w:r>
          </w:p>
        </w:tc>
        <w:tc>
          <w:tcPr>
            <w:tcW w:w="44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(237,657 )   $</w:t>
            </w:r>
          </w:p>
        </w:tc>
        <w:tc>
          <w:tcPr>
            <w:tcW w:w="1100" w:type="dxa"/>
            <w:vAlign w:val="bottom"/>
          </w:tcPr>
          <w:p>
            <w:pPr>
              <w:jc w:val="right"/>
              <w:spacing w:after="0"/>
              <w:rPr>
                <w:sz w:val="20"/>
                <w:szCs w:val="20"/>
                <w:color w:val="auto"/>
              </w:rPr>
            </w:pPr>
            <w:r>
              <w:rPr>
                <w:rFonts w:ascii="Arial" w:cs="Arial" w:eastAsia="Arial" w:hAnsi="Arial"/>
                <w:sz w:val="16"/>
                <w:szCs w:val="16"/>
                <w:color w:val="auto"/>
              </w:rPr>
              <w:t>11,157</w:t>
            </w:r>
          </w:p>
        </w:tc>
      </w:tr>
      <w:tr>
        <w:trPr>
          <w:trHeight w:val="432"/>
        </w:trPr>
        <w:tc>
          <w:tcPr>
            <w:tcW w:w="1020" w:type="dxa"/>
            <w:vAlign w:val="bottom"/>
          </w:tcPr>
          <w:p>
            <w:pPr>
              <w:jc w:val="right"/>
              <w:spacing w:after="0"/>
              <w:rPr>
                <w:sz w:val="20"/>
                <w:szCs w:val="20"/>
                <w:color w:val="auto"/>
              </w:rPr>
            </w:pPr>
            <w:r>
              <w:rPr>
                <w:rFonts w:ascii="Arial" w:cs="Arial" w:eastAsia="Arial" w:hAnsi="Arial"/>
                <w:sz w:val="16"/>
                <w:szCs w:val="16"/>
                <w:color w:val="auto"/>
              </w:rPr>
              <w:t>455,186</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43"/>
        </w:trPr>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-415290</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60" w:space="720"/>
            <w:col w:w="66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ind w:left="38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(2,911 )</w:t>
            </w:r>
          </w:p>
        </w:tc>
        <w:tc>
          <w:tcPr>
            <w:tcW w:w="4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(2,911 )</w:t>
            </w:r>
          </w:p>
        </w:tc>
      </w:tr>
      <w:tr>
        <w:trPr>
          <w:trHeight w:val="20"/>
        </w:trPr>
        <w:tc>
          <w:tcPr>
            <w:tcW w:w="45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1"/>
        </w:trPr>
        <w:tc>
          <w:tcPr>
            <w:tcW w:w="458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1020" w:type="dxa"/>
            <w:vAlign w:val="bottom"/>
          </w:tcPr>
          <w:p>
            <w:pPr>
              <w:jc w:val="right"/>
              <w:spacing w:after="0"/>
              <w:rPr>
                <w:sz w:val="20"/>
                <w:szCs w:val="20"/>
                <w:color w:val="auto"/>
              </w:rPr>
            </w:pPr>
            <w:r>
              <w:rPr>
                <w:rFonts w:ascii="Arial" w:cs="Arial" w:eastAsia="Arial" w:hAnsi="Arial"/>
                <w:sz w:val="16"/>
                <w:szCs w:val="16"/>
                <w:color w:val="auto"/>
              </w:rPr>
              <w:t>44,868,558</w:t>
            </w:r>
          </w:p>
        </w:tc>
        <w:tc>
          <w:tcPr>
            <w:tcW w:w="2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380"/>
              <w:spacing w:after="0"/>
              <w:rPr>
                <w:sz w:val="20"/>
                <w:szCs w:val="20"/>
                <w:color w:val="auto"/>
              </w:rPr>
            </w:pPr>
            <w:r>
              <w:rPr>
                <w:rFonts w:ascii="Arial" w:cs="Arial" w:eastAsia="Arial" w:hAnsi="Arial"/>
                <w:sz w:val="16"/>
                <w:szCs w:val="16"/>
                <w:color w:val="auto"/>
                <w:w w:val="89"/>
              </w:rPr>
              <w:t>45</w:t>
            </w:r>
          </w:p>
        </w:tc>
        <w:tc>
          <w:tcPr>
            <w:tcW w:w="24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250,963</w:t>
            </w:r>
          </w:p>
        </w:tc>
        <w:tc>
          <w:tcPr>
            <w:tcW w:w="2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(240,568 )</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10,440</w:t>
            </w:r>
          </w:p>
        </w:tc>
        <w:tc>
          <w:tcPr>
            <w:tcW w:w="10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-182245</wp:posOffset>
            </wp:positionV>
            <wp:extent cx="179705" cy="4763"/>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705" cy="4763"/>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-182245</wp:posOffset>
            </wp:positionV>
            <wp:extent cx="162560" cy="4763"/>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560" cy="4763"/>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-182245</wp:posOffset>
            </wp:positionV>
            <wp:extent cx="163195" cy="4763"/>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4763"/>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-182245</wp:posOffset>
            </wp:positionV>
            <wp:extent cx="162560" cy="4763"/>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(7,351 )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(2,911 )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98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(998 )</w:t>
            </w:r>
          </w:p>
        </w:tc>
        <w:tc>
          <w:tcPr>
            <w:tcW w:w="40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Accretion of debt discount</w:t>
            </w:r>
          </w:p>
        </w:tc>
        <w:tc>
          <w:tcPr>
            <w:tcW w:w="980" w:type="dxa"/>
            <w:vAlign w:val="bottom"/>
          </w:tcPr>
          <w:p>
            <w:pPr>
              <w:spacing w:after="0"/>
              <w:rPr>
                <w:sz w:val="20"/>
                <w:szCs w:val="20"/>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assets and liabilities</w:t>
            </w:r>
          </w:p>
        </w:tc>
        <w:tc>
          <w:tcPr>
            <w:tcW w:w="9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(36 )</w:t>
            </w: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1"/>
                <w:szCs w:val="2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 and accrued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1,348</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(1,086 )</w:t>
            </w: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of property and equipment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registered direct offering, net of issuance costs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11,078</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at-the-market sales agreement, net of issuance costs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shares issued under employee stock purchase plan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14,419</w:t>
            </w:r>
          </w:p>
        </w:tc>
        <w:tc>
          <w:tcPr>
            <w:tcW w:w="32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top w:val="single" w:sz="8" w:color="CFF0FC"/>
            </w:tcBorders>
          </w:tcPr>
          <w:p>
            <w:pPr>
              <w:spacing w:after="0"/>
              <w:rPr>
                <w:sz w:val="19"/>
                <w:szCs w:val="19"/>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17,647</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00" w:type="dxa"/>
            <w:vAlign w:val="bottom"/>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26,507</w:t>
            </w:r>
          </w:p>
        </w:tc>
        <w:tc>
          <w:tcPr>
            <w:tcW w:w="3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Forgiveness of PPP Loan and accrued interest</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432"/>
        </w:trPr>
        <w:tc>
          <w:tcPr>
            <w:tcW w:w="772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7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26,147</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20,930</w:t>
            </w:r>
          </w:p>
        </w:tc>
        <w:tc>
          <w:tcPr>
            <w:tcW w:w="100" w:type="dxa"/>
            <w:vAlign w:val="bottom"/>
            <w:shd w:val="clear" w:color="auto" w:fill="CFF0FC"/>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26,507</w:t>
            </w:r>
          </w:p>
        </w:tc>
        <w:tc>
          <w:tcPr>
            <w:tcW w:w="3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-2950845</wp:posOffset>
            </wp:positionV>
            <wp:extent cx="196850" cy="4763"/>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-2950845</wp:posOffset>
            </wp:positionV>
            <wp:extent cx="68580" cy="4763"/>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-2025015</wp:posOffset>
            </wp:positionV>
            <wp:extent cx="196850" cy="4763"/>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-2025015</wp:posOffset>
            </wp:positionV>
            <wp:extent cx="68580" cy="4763"/>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-1405255</wp:posOffset>
            </wp:positionV>
            <wp:extent cx="1968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-1388110</wp:posOffset>
            </wp:positionV>
            <wp:extent cx="1968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968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968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Clearside Biomedical, Inc. (the “Company”) is a biopharmaceutical company dedicated to developing and delivering treatments that restore and preserve vision for people with serious back of the eye diseases. The Company’s proprietary SCS Microinjector targets the suprachoroidal space and offers unique access to the macula, retina and choroid where sight-threatening disease often occurs. This suprachoroidal space injection is an inherently flexible, in-office, non-surgical procedure, intended to provide targeted delivery to the site of disease and to work with both established and new formulations of medications, as well as future therapeutic innovations. Incorporated in the State of Delaware on May 26, 2011, the Company has its corporate headquarters in Alpharetta, Georgia.</w:t>
      </w:r>
    </w:p>
    <w:p>
      <w:pPr>
        <w:spacing w:after="0" w:line="84"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Company had cash and cash equivalents of $26.1 million as of March 31, 2021. 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 In addition, during the three months ended March 31, 2021, the Company sold 1.2 million shares of its common stock for net proceeds of $3.2 million under its at-the-market agreement with Cowen and Company, LLC.</w:t>
      </w:r>
    </w:p>
    <w:p>
      <w:pPr>
        <w:spacing w:after="0" w:line="80"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The Company has funded its operations primarily through the sale of common stock and convertible preferred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financing to prepare for the potential commercialization of its product candidates, if the Company decides to commercialize the products on its own.</w:t>
      </w:r>
    </w:p>
    <w:p>
      <w:pPr>
        <w:spacing w:after="0" w:line="70" w:lineRule="exact"/>
        <w:rPr>
          <w:sz w:val="20"/>
          <w:szCs w:val="20"/>
          <w:color w:val="auto"/>
        </w:rPr>
      </w:pPr>
    </w:p>
    <w:p>
      <w:pPr>
        <w:ind w:right="140" w:firstLine="441"/>
        <w:spacing w:after="0" w:line="301" w:lineRule="auto"/>
        <w:rPr>
          <w:sz w:val="20"/>
          <w:szCs w:val="20"/>
          <w:color w:val="auto"/>
        </w:rPr>
      </w:pPr>
      <w:r>
        <w:rPr>
          <w:rFonts w:ascii="Arial" w:cs="Arial" w:eastAsia="Arial" w:hAnsi="Arial"/>
          <w:sz w:val="16"/>
          <w:szCs w:val="16"/>
          <w:color w:val="auto"/>
        </w:rPr>
        <w:t>The Company has suffered recurring losses and negative cash flows from operations since inception and anticipates incurring additional losses until such time, if ever, that it can obtain regulatory approval to sell, and then generate significant revenue from commercializing its lead product candidate, XIPERE™ (triamcinolone acetonide suprachoroidal injectable suspension) with its licensees. In the absence of product or other revenues, the amount, timing, nature or source of which cannot be predicted, the Company’s losses will continue as it conducts its research and development activities.</w:t>
      </w:r>
    </w:p>
    <w:p>
      <w:pPr>
        <w:spacing w:after="0" w:line="4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within one year after the date the financial statements are issued. Based on its current plans and forecasted expenses, the Company expects that its cash and cash equivalents as of the filing date, May 17, 2021, will enable it to fund its planned operating expenses and capital expenditure requirements into the first quarter of 2022. This estimate does not give effect to additional development milestone payments the Company might receive under the agreements with Bausch, REGENXBIO or Arctic Vision, or in connection with any other potential license or collaboration agreement for XIPERE or any future product candidates.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The accompanying balance sheet as of March 31 2021, statements of operations for the three months ended March 31, 2021 and 2020, statements of stockholders’ equity for the three months ended March 31, 2021 and 2020 and statements of cash flows for the three months ended March 31, 2021 and 2020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March 31, 2021, its results of its operations for the three months ended March 31, 2021 and 2020, its changes in stockholders’ equity for the three months ended March 31, 2021 and 2020 and its cash flows for the three months ended March 31, 2021 and 2020. The financial data and other information disclosed in these notes related to the three months ended March 31, 2021 and 2020 are unaudited. The results for the three months ended March 31, 2021 are not indicative of results to be expected for the year ending December 31, 2021, any other interim periods or any future year or period. These unaudited financial statements should be read in conjunction with the audited financial statements and related footnotes, which are included in the Company’s Annual Report on Form 10-K for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11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The COVID-19 pandemic has created global volatility, economic uncertainty and general market disruption. Estimates and assumptions about future events and their effects cannot be determined with certainty and therefore require the exercise of judgment. As of the date of issuance of these</w:t>
      </w:r>
    </w:p>
    <w:p>
      <w:pPr>
        <w:ind w:right="220"/>
        <w:spacing w:after="0" w:line="253" w:lineRule="auto"/>
        <w:rPr>
          <w:sz w:val="20"/>
          <w:szCs w:val="20"/>
          <w:color w:val="auto"/>
        </w:rPr>
      </w:pPr>
      <w:r>
        <w:rPr>
          <w:rFonts w:ascii="Arial" w:cs="Arial" w:eastAsia="Arial" w:hAnsi="Arial"/>
          <w:sz w:val="18"/>
          <w:szCs w:val="18"/>
          <w:color w:val="auto"/>
        </w:rPr>
        <w:t>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8" w:lineRule="exact"/>
        <w:rPr>
          <w:sz w:val="20"/>
          <w:szCs w:val="20"/>
          <w:color w:val="auto"/>
        </w:rPr>
      </w:pPr>
    </w:p>
    <w:p>
      <w:pPr>
        <w:ind w:right="420" w:firstLine="500"/>
        <w:spacing w:after="0" w:line="257"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5580" w:right="40" w:hanging="4688"/>
        <w:spacing w:after="0" w:line="277" w:lineRule="auto"/>
        <w:rPr>
          <w:sz w:val="20"/>
          <w:szCs w:val="20"/>
          <w:color w:val="auto"/>
        </w:rPr>
      </w:pPr>
      <w:r>
        <w:rPr>
          <w:rFonts w:ascii="Arial" w:cs="Arial" w:eastAsia="Arial" w:hAnsi="Arial"/>
          <w:sz w:val="18"/>
          <w:szCs w:val="18"/>
          <w:color w:val="auto"/>
        </w:rPr>
        <w:t>employee-related expenses, including salaries, benefits, travel and share-based compensation expense for research and development personnel;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 w:name="page9"/>
    <w:bookmarkEnd w:id="8"/>
    <w:p>
      <w:pPr>
        <w:ind w:left="900" w:right="200"/>
        <w:spacing w:after="0" w:line="277" w:lineRule="auto"/>
        <w:rPr>
          <w:sz w:val="20"/>
          <w:szCs w:val="20"/>
          <w:color w:val="auto"/>
        </w:rPr>
      </w:pPr>
      <w:r>
        <w:rPr>
          <w:rFonts w:ascii="Arial" w:cs="Arial" w:eastAsia="Arial" w:hAnsi="Arial"/>
          <w:sz w:val="18"/>
          <w:szCs w:val="18"/>
          <w:color w:val="auto"/>
        </w:rPr>
        <w:t>expenses incurred under agreements with contract research organizations, contract manufacturing organizations and consultants that conduct preclinical studies and clinical trials;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associated with preclinical and clinical development activities;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associated with technology and intellectual property licenses;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costs for the Company’s research and development facility; and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depreciation expense for assets used in research and development activities.</w:t>
      </w:r>
    </w:p>
    <w:p>
      <w:pPr>
        <w:spacing w:after="0" w:line="11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(“ASU 2019-12”), which simplifies the accounting for income taxes by removing certain exceptions related to the approach for intraperiod 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Company adopted ASU 2019-12 on January 1, 2021, and the adoption did not have a material impact on its financial statements and related disclosures.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200" w:type="dxa"/>
            <w:vAlign w:val="bottom"/>
          </w:tcPr>
          <w:p>
            <w:pPr>
              <w:jc w:val="center"/>
              <w:ind w:left="93"/>
              <w:spacing w:after="0"/>
              <w:rPr>
                <w:sz w:val="20"/>
                <w:szCs w:val="20"/>
                <w:color w:val="auto"/>
              </w:rPr>
            </w:pPr>
            <w:r>
              <w:rPr>
                <w:rFonts w:ascii="Arial" w:cs="Arial" w:eastAsia="Arial" w:hAnsi="Arial"/>
                <w:sz w:val="16"/>
                <w:szCs w:val="16"/>
                <w:b w:val="1"/>
                <w:bCs w:val="1"/>
                <w:color w:val="auto"/>
                <w:w w:val="91"/>
              </w:rPr>
              <w:t>Estimated</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200" w:type="dxa"/>
            <w:vAlign w:val="bottom"/>
          </w:tcPr>
          <w:p>
            <w:pPr>
              <w:jc w:val="center"/>
              <w:ind w:left="93"/>
              <w:spacing w:after="0"/>
              <w:rPr>
                <w:sz w:val="20"/>
                <w:szCs w:val="20"/>
                <w:color w:val="auto"/>
              </w:rPr>
            </w:pPr>
            <w:r>
              <w:rPr>
                <w:rFonts w:ascii="Arial" w:cs="Arial" w:eastAsia="Arial" w:hAnsi="Arial"/>
                <w:sz w:val="16"/>
                <w:szCs w:val="16"/>
                <w:b w:val="1"/>
                <w:bCs w:val="1"/>
                <w:color w:val="auto"/>
                <w:w w:val="91"/>
              </w:rPr>
              <w:t>Useful Lives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6320" w:type="dxa"/>
            <w:vAlign w:val="bottom"/>
          </w:tcPr>
          <w:p>
            <w:pPr>
              <w:spacing w:after="0"/>
              <w:rPr>
                <w:sz w:val="18"/>
                <w:szCs w:val="18"/>
                <w:color w:val="auto"/>
              </w:rPr>
            </w:pPr>
          </w:p>
        </w:tc>
        <w:tc>
          <w:tcPr>
            <w:tcW w:w="1200" w:type="dxa"/>
            <w:vAlign w:val="bottom"/>
            <w:tcBorders>
              <w:bottom w:val="single" w:sz="8" w:color="auto"/>
            </w:tcBorders>
          </w:tcPr>
          <w:p>
            <w:pPr>
              <w:jc w:val="center"/>
              <w:ind w:left="93"/>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23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0"/>
                <w:szCs w:val="20"/>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2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89"/>
              </w:rPr>
              <w:t>Lesser of</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200" w:type="dxa"/>
            <w:vAlign w:val="bottom"/>
          </w:tcPr>
          <w:p>
            <w:pPr>
              <w:jc w:val="center"/>
              <w:ind w:left="113"/>
              <w:spacing w:after="0"/>
              <w:rPr>
                <w:sz w:val="20"/>
                <w:szCs w:val="20"/>
                <w:color w:val="auto"/>
              </w:rPr>
            </w:pPr>
            <w:r>
              <w:rPr>
                <w:rFonts w:ascii="Arial" w:cs="Arial" w:eastAsia="Arial" w:hAnsi="Arial"/>
                <w:sz w:val="18"/>
                <w:szCs w:val="18"/>
                <w:color w:val="auto"/>
                <w:w w:val="94"/>
              </w:rPr>
              <w:t>useful life or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3"/>
              </w:rPr>
              <w:t>remaining</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spacing w:after="0"/>
              <w:rPr>
                <w:sz w:val="20"/>
                <w:szCs w:val="20"/>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88"/>
              </w:rPr>
              <w:t>lease term</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r>
      <w:tr>
        <w:trPr>
          <w:trHeight w:val="237"/>
        </w:trPr>
        <w:tc>
          <w:tcPr>
            <w:tcW w:w="6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(822 )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(777 )</w:t>
            </w:r>
          </w:p>
        </w:tc>
      </w:tr>
      <w:tr>
        <w:trPr>
          <w:trHeight w:val="270"/>
        </w:trPr>
        <w:tc>
          <w:tcPr>
            <w:tcW w:w="63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gridSpan w:val="2"/>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5"/>
        </w:trPr>
        <w:tc>
          <w:tcPr>
            <w:tcW w:w="6320" w:type="dxa"/>
            <w:vAlign w:val="bottom"/>
          </w:tcPr>
          <w:p>
            <w:pPr>
              <w:spacing w:after="0"/>
              <w:rPr>
                <w:sz w:val="20"/>
                <w:szCs w:val="20"/>
                <w:color w:val="auto"/>
              </w:rPr>
            </w:pPr>
            <w:r>
              <w:rPr>
                <w:rFonts w:ascii="Arial" w:cs="Arial" w:eastAsia="Arial" w:hAnsi="Arial"/>
                <w:sz w:val="18"/>
                <w:szCs w:val="18"/>
                <w:b w:val="1"/>
                <w:bCs w:val="1"/>
                <w:color w:val="auto"/>
              </w:rPr>
              <w:t>4. Accrued Liabilities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320" w:type="dxa"/>
            <w:vAlign w:val="bottom"/>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6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r>
      <w:tr>
        <w:trPr>
          <w:trHeight w:val="246"/>
        </w:trPr>
        <w:tc>
          <w:tcPr>
            <w:tcW w:w="6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r>
      <w:tr>
        <w:trPr>
          <w:trHeight w:val="240"/>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20"/>
                <w:szCs w:val="20"/>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Accrued employee costs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1"/>
                <w:szCs w:val="2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Accrued expense</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70"/>
        </w:trPr>
        <w:tc>
          <w:tcPr>
            <w:tcW w:w="63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3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-1816735</wp:posOffset>
            </wp:positionV>
            <wp:extent cx="3257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-1799590</wp:posOffset>
            </wp:positionV>
            <wp:extent cx="325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3771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3771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12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79"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7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 the income from the forgiveness of the amount borrowed and the accrued interest was recognized in the statement of operations in other income as a gain on extinguishment of debt.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March 31, 2021 and December 31, 2020, there were 57,578,725 and 51,860,941 shares of common stock outstanding,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121" w:lineRule="exact"/>
        <w:rPr>
          <w:sz w:val="20"/>
          <w:szCs w:val="20"/>
          <w:color w:val="auto"/>
        </w:rPr>
      </w:pPr>
    </w:p>
    <w:p>
      <w:pPr>
        <w:jc w:val="both"/>
        <w:ind w:right="200" w:firstLine="441"/>
        <w:spacing w:after="0" w:line="287" w:lineRule="auto"/>
        <w:rPr>
          <w:sz w:val="20"/>
          <w:szCs w:val="20"/>
          <w:color w:val="auto"/>
        </w:rPr>
      </w:pPr>
      <w:r>
        <w:rPr>
          <w:rFonts w:ascii="Arial" w:cs="Arial" w:eastAsia="Arial" w:hAnsi="Arial"/>
          <w:sz w:val="16"/>
          <w:szCs w:val="16"/>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weighted average remaining life of 5.75 years as of March 31,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41"/>
        <w:spacing w:after="0" w:line="311"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15875</wp:posOffset>
            </wp:positionV>
            <wp:extent cx="2168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FF0FC"/>
          </w:tcPr>
          <w:p>
            <w:pPr>
              <w:jc w:val="right"/>
              <w:ind w:right="9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FF0FC"/>
          </w:tcPr>
          <w:p>
            <w:pPr>
              <w:jc w:val="right"/>
              <w:ind w:right="9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1968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968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stock options during the three months ended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0"/>
                <w:szCs w:val="20"/>
                <w:color w:val="auto"/>
              </w:rPr>
            </w:pPr>
          </w:p>
        </w:tc>
      </w:tr>
      <w:tr>
        <w:trPr>
          <w:trHeight w:val="243"/>
        </w:trPr>
        <w:tc>
          <w:tcPr>
            <w:tcW w:w="7720" w:type="dxa"/>
            <w:vAlign w:val="bottom"/>
          </w:tcPr>
          <w:p>
            <w:pPr>
              <w:spacing w:after="0"/>
              <w:rPr>
                <w:sz w:val="21"/>
                <w:szCs w:val="21"/>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1"/>
                <w:szCs w:val="2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4,248,193</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1,631,156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(62,493 )</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21"/>
                <w:szCs w:val="2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at March 31, 2021</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5,816,856</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2,355,900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March 31, 2021</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2,708,298</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-694055</wp:posOffset>
            </wp:positionV>
            <wp:extent cx="1885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-676910</wp:posOffset>
            </wp:positionV>
            <wp:extent cx="1885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-359410</wp:posOffset>
            </wp:positionV>
            <wp:extent cx="1885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-342265</wp:posOffset>
            </wp:positionV>
            <wp:extent cx="188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885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885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8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As of March 31, 2021, the Company had $8.1 million of unrecognized compensation expense related to unvested stock options, which is expected to be recognized over a weighted average period of 3.2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has granted restricted stock units (“RSUs”) to employees from the 2016 Plan. The shares underlying the RSU awards have vesting terms of two to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share-based compensation expense related to RSUs is reflected in the statements of operations as follows (in thousands):</w:t>
      </w:r>
    </w:p>
    <w:p>
      <w:pPr>
        <w:spacing w:after="0" w:line="239"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15875</wp:posOffset>
            </wp:positionV>
            <wp:extent cx="2168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50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240"/>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9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20"/>
                <w:szCs w:val="20"/>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70"/>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19"/>
        </w:trPr>
        <w:tc>
          <w:tcPr>
            <w:tcW w:w="3760" w:type="dxa"/>
            <w:vAlign w:val="bottom"/>
          </w:tcPr>
          <w:p>
            <w:pPr>
              <w:spacing w:after="0"/>
              <w:rPr>
                <w:sz w:val="24"/>
                <w:szCs w:val="24"/>
                <w:color w:val="auto"/>
              </w:rPr>
            </w:pPr>
          </w:p>
        </w:tc>
        <w:tc>
          <w:tcPr>
            <w:tcW w:w="3960" w:type="dxa"/>
            <w:vAlign w:val="bottom"/>
          </w:tcPr>
          <w:p>
            <w:pPr>
              <w:jc w:val="right"/>
              <w:ind w:right="1915"/>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376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-376555</wp:posOffset>
            </wp:positionV>
            <wp:extent cx="1968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-359410</wp:posOffset>
            </wp:positionV>
            <wp:extent cx="1968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t>The following table summarizes the activity related to RSUs during the three months ended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20"/>
                <w:szCs w:val="20"/>
                <w:color w:val="auto"/>
              </w:rPr>
            </w:pPr>
          </w:p>
        </w:tc>
      </w:tr>
      <w:tr>
        <w:trPr>
          <w:trHeight w:val="243"/>
        </w:trPr>
        <w:tc>
          <w:tcPr>
            <w:tcW w:w="7720" w:type="dxa"/>
            <w:vAlign w:val="bottom"/>
          </w:tcPr>
          <w:p>
            <w:pPr>
              <w:spacing w:after="0"/>
              <w:rPr>
                <w:sz w:val="21"/>
                <w:szCs w:val="21"/>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21"/>
                <w:szCs w:val="21"/>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1"/>
                <w:szCs w:val="21"/>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RSUs outstanding at December 31, 2020</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767,271</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965,344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(227,754 )</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Non-vested RSUs outstanding at March 31, 2021</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1,504,861</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-182245</wp:posOffset>
            </wp:positionV>
            <wp:extent cx="188595" cy="4763"/>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 cy="4763"/>
                    </a:xfrm>
                    <a:prstGeom prst="rect">
                      <a:avLst/>
                    </a:prstGeom>
                    <a:noFill/>
                  </pic:spPr>
                </pic:pic>
              </a:graphicData>
            </a:graphic>
          </wp:anchor>
        </w:drawing>
      </w:r>
    </w:p>
    <w:p>
      <w:pPr>
        <w:spacing w:after="0" w:line="182" w:lineRule="exact"/>
        <w:rPr>
          <w:sz w:val="20"/>
          <w:szCs w:val="20"/>
          <w:color w:val="auto"/>
        </w:rPr>
      </w:pPr>
    </w:p>
    <w:p>
      <w:pPr>
        <w:ind w:right="820" w:firstLine="492"/>
        <w:spacing w:after="0" w:line="277" w:lineRule="auto"/>
        <w:rPr>
          <w:sz w:val="20"/>
          <w:szCs w:val="20"/>
          <w:color w:val="auto"/>
        </w:rPr>
      </w:pPr>
      <w:r>
        <w:rPr>
          <w:rFonts w:ascii="Arial" w:cs="Arial" w:eastAsia="Arial" w:hAnsi="Arial"/>
          <w:sz w:val="18"/>
          <w:szCs w:val="18"/>
          <w:color w:val="auto"/>
        </w:rPr>
        <w:t>As of March 31, 2021, the Company had $4.6 million of unrecognized compensation expense related to the RSUs which is expected to be recognized over a weighted average period of 3.5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right="120" w:firstLine="441"/>
        <w:spacing w:after="0" w:line="263" w:lineRule="auto"/>
        <w:rPr>
          <w:sz w:val="20"/>
          <w:szCs w:val="20"/>
          <w:color w:val="auto"/>
        </w:rPr>
      </w:pPr>
      <w:r>
        <w:rPr>
          <w:rFonts w:ascii="Arial" w:cs="Arial" w:eastAsia="Arial" w:hAnsi="Arial"/>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76"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share-based compensation expense recognized for the 2016 ESPP is reflected in the statements of operations and comprehensive loss as follows (in thousands):</w:t>
      </w:r>
    </w:p>
    <w:p>
      <w:pPr>
        <w:spacing w:after="0" w:line="184"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15875</wp:posOffset>
            </wp:positionV>
            <wp:extent cx="2168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jc w:val="right"/>
              <w:ind w:right="97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ind w:right="97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1968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968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2021, the Company issued 31,908 shares of common stock purchased under the 2016 ESPP.</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November 2016, the Company signed an office lease agreement to lease approximately 20,000 square feet of office space in Alpharetta, Georgia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its corporate headquarters. The lease agreement is for a 6.5 year term with a renewal option for one additional five-year term. Rental payments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$35,145 per month subject to an increase of 3% per year. Rent expense under this lease is recognized on a straight-line basis over the term of the lease.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 the lease agreement requires payment of the pro-rata share of the annual operating expenses associated with the premises.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44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9"/>
        </w:trPr>
        <w:tc>
          <w:tcPr>
            <w:tcW w:w="9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r>
      <w:tr>
        <w:trPr>
          <w:trHeight w:val="234"/>
        </w:trPr>
        <w:tc>
          <w:tcPr>
            <w:tcW w:w="9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70"/>
        </w:trPr>
        <w:tc>
          <w:tcPr>
            <w:tcW w:w="9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0"/>
        </w:trPr>
        <w:tc>
          <w:tcPr>
            <w:tcW w:w="9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36"/>
        </w:trPr>
        <w:tc>
          <w:tcPr>
            <w:tcW w:w="9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9440" w:type="dxa"/>
            <w:vAlign w:val="bottom"/>
          </w:tcPr>
          <w:p>
            <w:pPr>
              <w:ind w:left="52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0"/>
                <w:szCs w:val="20"/>
                <w:color w:val="auto"/>
              </w:rPr>
            </w:pPr>
          </w:p>
        </w:tc>
      </w:tr>
      <w:tr>
        <w:trPr>
          <w:trHeight w:val="20"/>
        </w:trPr>
        <w:tc>
          <w:tcPr>
            <w:tcW w:w="9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4763"/>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74" w:lineRule="exact"/>
        <w:rPr>
          <w:sz w:val="20"/>
          <w:szCs w:val="20"/>
          <w:color w:val="auto"/>
        </w:rPr>
      </w:pPr>
    </w:p>
    <w:p>
      <w:pPr>
        <w:ind w:right="180" w:firstLine="486"/>
        <w:spacing w:after="0" w:line="285" w:lineRule="auto"/>
        <w:rPr>
          <w:sz w:val="20"/>
          <w:szCs w:val="20"/>
          <w:color w:val="auto"/>
        </w:rPr>
      </w:pPr>
      <w:r>
        <w:rPr>
          <w:rFonts w:ascii="Arial" w:cs="Arial" w:eastAsia="Arial" w:hAnsi="Arial"/>
          <w:sz w:val="16"/>
          <w:szCs w:val="16"/>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March 31, 2021, the Company’s weighted average discount rate was 11.0% and the weighted average lease term was 2.50 years.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Minimum lease payments were as follows at March 31, 2021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FF0FC"/>
          </w:tcPr>
          <w:p>
            <w:pPr>
              <w:spacing w:after="0"/>
              <w:rPr>
                <w:sz w:val="21"/>
                <w:szCs w:val="2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9"/>
                <w:szCs w:val="19"/>
                <w:color w:val="auto"/>
              </w:rPr>
            </w:pPr>
          </w:p>
        </w:tc>
      </w:tr>
      <w:tr>
        <w:trPr>
          <w:trHeight w:val="236"/>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60" w:type="dxa"/>
            <w:vAlign w:val="bottom"/>
            <w:shd w:val="clear" w:color="auto" w:fill="CFF0FC"/>
          </w:tcPr>
          <w:p>
            <w:pPr>
              <w:spacing w:after="0"/>
              <w:rPr>
                <w:sz w:val="20"/>
                <w:szCs w:val="20"/>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70"/>
        </w:trPr>
        <w:tc>
          <w:tcPr>
            <w:tcW w:w="5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2"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Operating lease cost was $62,000 for each the three months ended March 31, 2021 and 2020. Variable lease cost was $24,000 for each of the three months ended March 31, 2021 and 2020. Short-term lease cost was $2,000 and $4,000 for the three months ended March 31, 2021 and 2020, respectively. Cash payments included in operating activities on the statement of cash flows for operating lease liabilities were $95,000 and $92,000 for the three months ended March 31,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Bausch + Lomb</w:t>
      </w:r>
    </w:p>
    <w:p>
      <w:pPr>
        <w:spacing w:after="0" w:line="117" w:lineRule="exact"/>
        <w:rPr>
          <w:sz w:val="20"/>
          <w:szCs w:val="20"/>
          <w:color w:val="auto"/>
        </w:rPr>
      </w:pPr>
    </w:p>
    <w:p>
      <w:pPr>
        <w:ind w:right="320" w:firstLine="441"/>
        <w:spacing w:after="0" w:line="296" w:lineRule="auto"/>
        <w:rPr>
          <w:sz w:val="20"/>
          <w:szCs w:val="20"/>
          <w:color w:val="auto"/>
        </w:rPr>
      </w:pPr>
      <w:r>
        <w:rPr>
          <w:rFonts w:ascii="Arial" w:cs="Arial" w:eastAsia="Arial" w:hAnsi="Arial"/>
          <w:sz w:val="16"/>
          <w:szCs w:val="16"/>
          <w:color w:val="auto"/>
        </w:rPr>
        <w:t>On October 22, 2019, the Company entered into a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microinjector (the “Device”), as well as specified other steroids, corticosteroids and NSAIDs in combination with the Device (“Other Products,” and together with XIPERE, the “Products”), subject to specified exceptions, in the United States and Canada (the “Original Territory”) for the treatment of ophthalmology indications, including non-infectious uveitis.</w:t>
      </w:r>
    </w:p>
    <w:p>
      <w:pPr>
        <w:spacing w:after="0" w:line="5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April 27, 2020, the Company and Bausch entered into an amendment to the Company’s License Agreement with Bausch dated October 22, 2019 (as amended, the “Bausch License Agreement”). Pursuant to the Bausch License Agreement, the Company has granted Bausch an exclusive option (the “Option”) to develop, manufacture, distribute, promote, market and commercialize XIPERE in one or more of the following regions: (i) the European Union, including the United Kingdom, (ii) Australia and New Zealand and (iii) South America and Mexico (such regions, the “Additional Regions” and together with the Original Territory, the “Territory”). The Option may be exercised any time before the earlier of regulatory approval of XIPERE in the United States and August 31, 2021.</w:t>
      </w:r>
    </w:p>
    <w:p>
      <w:pPr>
        <w:spacing w:after="0" w:line="84"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Pursuant to the Bausch License Agreement, Bausch made an upfront payment of $5.0 million (the “Upfront Payment”) in October 2019, which is subject to a refund if the Bausch License Agreement is terminated in specified circumstances. In addition, Bausch has agreed to make additional payments of up to $15.0 million upon the achievement of specified pre-launch development and regulatory milestones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 subject to reductions in specified circumstances; provided that the Company will not receive any royalties on the first $45.0 million of cumulative net sales of all products in the Original Territory.</w:t>
      </w:r>
    </w:p>
    <w:p>
      <w:pPr>
        <w:spacing w:after="0" w:line="60" w:lineRule="exact"/>
        <w:rPr>
          <w:sz w:val="20"/>
          <w:szCs w:val="20"/>
          <w:color w:val="auto"/>
        </w:rPr>
      </w:pPr>
    </w:p>
    <w:p>
      <w:pPr>
        <w:ind w:firstLine="441"/>
        <w:spacing w:after="0" w:line="252" w:lineRule="auto"/>
        <w:rPr>
          <w:sz w:val="20"/>
          <w:szCs w:val="20"/>
          <w:color w:val="auto"/>
        </w:rPr>
      </w:pPr>
      <w:r>
        <w:rPr>
          <w:rFonts w:ascii="Arial" w:cs="Arial" w:eastAsia="Arial" w:hAnsi="Arial"/>
          <w:sz w:val="18"/>
          <w:szCs w:val="18"/>
          <w:color w:val="auto"/>
        </w:rPr>
        <w:t>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For a specified period of time, Bausch may terminate the Bausch License Agreement immediately and have the Upfront Payment refunded if the U.S. Food and Drug Administration (the “FDA”) has not approved the Company’s New Drug Application (“NDA”) for XIPERE by August 31, 2021. Following the payment of the Pre-Launch Milestone Payments, Bausch may also terminate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 w:name="page14"/>
    <w:bookmarkEnd w:id="13"/>
    <w:p>
      <w:pPr>
        <w:ind w:right="20"/>
        <w:spacing w:after="0" w:line="273" w:lineRule="auto"/>
        <w:rPr>
          <w:sz w:val="20"/>
          <w:szCs w:val="20"/>
          <w:color w:val="auto"/>
        </w:rPr>
      </w:pPr>
      <w:r>
        <w:rPr>
          <w:rFonts w:ascii="Arial" w:cs="Arial" w:eastAsia="Arial" w:hAnsi="Arial"/>
          <w:sz w:val="17"/>
          <w:szCs w:val="17"/>
          <w:color w:val="auto"/>
        </w:rPr>
        <w:t>the Bausch License Agreement for convenience upon 180 days’ written notice. In addition, the Company can terminate the Bausch License Agreement if Bausch commences a legal action challenging the validity, enforceability or scope of any of the licensed patents. If the FDA requires an additional clinical trial prior to approving the NDA for XIPERE and the Company notifies Bausch that the Company will not conduct the trial at the Company’s expense, then Bausch may terminate the Bausch License Agreement and have the Upfront Payment refunded within 60 days of the receipt of such notice from the Company. Both parties may terminate the Bausch License Agreement (i) upon a material breach of the Bausch License Agreement, subject to a specified cure period and specified exceptions, or (ii) if the other party encounters bankruptcy or insolvency.</w:t>
      </w:r>
    </w:p>
    <w:p>
      <w:pPr>
        <w:spacing w:after="0" w:line="70" w:lineRule="exact"/>
        <w:rPr>
          <w:sz w:val="20"/>
          <w:szCs w:val="20"/>
          <w:color w:val="auto"/>
        </w:rPr>
      </w:pPr>
    </w:p>
    <w:p>
      <w:pPr>
        <w:ind w:right="20" w:firstLine="483"/>
        <w:spacing w:after="0" w:line="255" w:lineRule="auto"/>
        <w:rPr>
          <w:sz w:val="20"/>
          <w:szCs w:val="20"/>
          <w:color w:val="auto"/>
        </w:rPr>
      </w:pPr>
      <w:r>
        <w:rPr>
          <w:rFonts w:ascii="Arial" w:cs="Arial" w:eastAsia="Arial" w:hAnsi="Arial"/>
          <w:sz w:val="18"/>
          <w:szCs w:val="18"/>
          <w:color w:val="auto"/>
        </w:rPr>
        <w:t>The Company is responsible for all development expenses for XIPERE in the Original Territory until the NDA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one-half of the costs of any post-approval clinical trials required by the FDA, up to a specified maximum amount.</w:t>
      </w:r>
    </w:p>
    <w:p>
      <w:pPr>
        <w:spacing w:after="0" w:line="84"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Due to the refund provisions in the License Agreement, the upfront payment of $5.0 million received from Bausch was included on the balance sheet as deferred revenue as of March 31, 2021 and December 31, 2020 and will remain in deferred revenue until the refund provisions lapse.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Arctic Vision (Hong Kong) Limited</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“Arctic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Pursuant to the License Agreement, Arctic Vision paid the Company an upfront payment of $4.0 million in March 2020. In addition, Arctic Vision has agreed to pay up to $31.5 million in development milestone payments for specified events, including $4.0 million upon receipt of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740" w:firstLine="441"/>
        <w:spacing w:after="0" w:line="258"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80" w:firstLine="441"/>
        <w:spacing w:after="0" w:line="279" w:lineRule="auto"/>
        <w:rPr>
          <w:sz w:val="20"/>
          <w:szCs w:val="20"/>
          <w:color w:val="auto"/>
        </w:rPr>
      </w:pPr>
      <w:r>
        <w:rPr>
          <w:rFonts w:ascii="Arial" w:cs="Arial" w:eastAsia="Arial" w:hAnsi="Arial"/>
          <w:sz w:val="17"/>
          <w:szCs w:val="17"/>
          <w:color w:val="auto"/>
        </w:rPr>
        <w:t>The Company’s material financial instruments at March 31, 2021 and December 31, 2020 consisted primarily of cash and cash equivalents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significant transfers between Levels 1, 2 and 3 during the three months ended March 31, 2021 and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60" w:type="dxa"/>
            <w:vAlign w:val="bottom"/>
            <w:gridSpan w:val="3"/>
          </w:tcPr>
          <w:p>
            <w:pPr>
              <w:jc w:val="center"/>
              <w:ind w:left="815"/>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6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19"/>
                <w:szCs w:val="19"/>
                <w:color w:val="auto"/>
              </w:rPr>
            </w:pPr>
          </w:p>
        </w:tc>
        <w:tc>
          <w:tcPr>
            <w:tcW w:w="534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376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5,816,856</w:t>
            </w:r>
          </w:p>
        </w:tc>
        <w:tc>
          <w:tcPr>
            <w:tcW w:w="28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4,998,105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Non-vested restricted stock units</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1,504,861</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1,648,600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purchase warrants</w:t>
            </w:r>
          </w:p>
        </w:tc>
        <w:tc>
          <w:tcPr>
            <w:tcW w:w="37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7,351,513</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6,676,501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60" w:type="dxa"/>
            <w:vAlign w:val="bottom"/>
            <w:vMerge w:val="restart"/>
          </w:tcPr>
          <w:p>
            <w:pPr>
              <w:jc w:val="right"/>
              <w:ind w:right="1915"/>
              <w:spacing w:after="0"/>
              <w:rPr>
                <w:sz w:val="20"/>
                <w:szCs w:val="20"/>
                <w:color w:val="auto"/>
              </w:rPr>
            </w:pPr>
            <w:r>
              <w:rPr>
                <w:rFonts w:ascii="Arial" w:cs="Arial" w:eastAsia="Arial" w:hAnsi="Arial"/>
                <w:sz w:val="18"/>
                <w:szCs w:val="18"/>
                <w:color w:val="auto"/>
              </w:rPr>
              <w:t>14</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9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-567690</wp:posOffset>
            </wp:positionV>
            <wp:extent cx="179705" cy="4763"/>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7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-567690</wp:posOffset>
            </wp:positionV>
            <wp:extent cx="68580" cy="4763"/>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82"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2020 appearing in our Annual Report on Form 10-K filed with the SEC on March 15,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firstLine="549"/>
        <w:spacing w:after="0" w:line="293" w:lineRule="auto"/>
        <w:rPr>
          <w:sz w:val="20"/>
          <w:szCs w:val="20"/>
          <w:color w:val="auto"/>
        </w:rPr>
      </w:pPr>
      <w:r>
        <w:rPr>
          <w:rFonts w:ascii="Arial" w:cs="Arial" w:eastAsia="Arial" w:hAnsi="Arial"/>
          <w:sz w:val="16"/>
          <w:szCs w:val="16"/>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non-surgical method of administration facilitates more targeted delivery of therapeutic agents to chorioretinal structures and can be accomplished in an in-office setting.</w:t>
      </w:r>
    </w:p>
    <w:p>
      <w:pPr>
        <w:spacing w:after="0" w:line="164" w:lineRule="exact"/>
        <w:rPr>
          <w:sz w:val="20"/>
          <w:szCs w:val="20"/>
          <w:color w:val="auto"/>
        </w:rPr>
      </w:pPr>
    </w:p>
    <w:p>
      <w:pPr>
        <w:ind w:right="40" w:firstLine="549"/>
        <w:spacing w:after="0" w:line="311" w:lineRule="auto"/>
        <w:rPr>
          <w:sz w:val="20"/>
          <w:szCs w:val="20"/>
          <w:color w:val="auto"/>
        </w:rPr>
      </w:pPr>
      <w:r>
        <w:rPr>
          <w:rFonts w:ascii="Arial" w:cs="Arial" w:eastAsia="Arial" w:hAnsi="Arial"/>
          <w:sz w:val="16"/>
          <w:szCs w:val="16"/>
          <w:color w:val="auto"/>
        </w:rPr>
        <w:t>We are leveraging our SCS injection platform by building an internal research and development pipeline targeting retinal diseases and by creating external collaborations with other companies. Using our suprachoroidal injection technology in conjunction with proprietary formulations of existing drugs as well as novel therapies, we believe we have created a broad therapeutic platform for developing product candidates to treat serious eye diseases.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159385</wp:posOffset>
            </wp:positionV>
            <wp:extent cx="6172200" cy="2794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Internal Pipeline</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18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176"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In December 2018, we submitted a New Drug Application, or NDA, for XIPERE to the Food and Drug Administration, or FDA, for the treatment of macular edema associated with uveitis. In October 2019, we received a complete response letter, or CRL, from the FDA regarding our NDA for XIPERE. The FDA did not identify any efficacy issues, and there were no requests for further clinical efficacy studies. The CRL included the FDA’s request for additional stability data, additional clarifying information on components of the manufacturing process, and reinspection of the drug product manufacturer.</w:t>
      </w:r>
    </w:p>
    <w:p>
      <w:pPr>
        <w:spacing w:after="0" w:line="157" w:lineRule="exact"/>
        <w:rPr>
          <w:sz w:val="20"/>
          <w:szCs w:val="20"/>
          <w:color w:val="auto"/>
        </w:rPr>
      </w:pPr>
    </w:p>
    <w:p>
      <w:pPr>
        <w:ind w:right="80" w:firstLine="509"/>
        <w:spacing w:after="0" w:line="265" w:lineRule="auto"/>
        <w:rPr>
          <w:sz w:val="20"/>
          <w:szCs w:val="20"/>
          <w:color w:val="auto"/>
        </w:rPr>
      </w:pPr>
      <w:r>
        <w:rPr>
          <w:rFonts w:ascii="Arial" w:cs="Arial" w:eastAsia="Arial" w:hAnsi="Arial"/>
          <w:sz w:val="18"/>
          <w:szCs w:val="18"/>
          <w:color w:val="auto"/>
        </w:rPr>
        <w:t>In August 2020, we secured a new contract manufacturing organization, or CMO, to manufacture the registration batches of XIPERE for the resubmission of our NDA, as well as to manufacture batches of XIPERE for potential commercialization after our prior CMO notified us that they were no longer willing to serve as our commercial supplier for XIPERE and that they were uncertain about being prepared for an FDA pre-approval inspection on our timeline. The new CMO generated the data requested by the FDA, and we resubmitted the XIPERE NDA in April 2021. We expect the FDA will review the NDA within six months of the resubmission date.</w:t>
      </w:r>
    </w:p>
    <w:p>
      <w:pPr>
        <w:spacing w:after="0" w:line="7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are developing a proprietary suspension of axitinib, a tyrosine kinase inhibitor, or TKI, for suprachoroidal injection, which we refer to as CLS-AX. In our preclinical studies, administration of CLS-AX through suprachoroidal injection was well tolerated and showed durability over several months, providing us with the opportunity to potentially reduce treatment burden and address a primary need for wet age-related macular degeneration, or AMD, patients.</w:t>
      </w:r>
    </w:p>
    <w:p>
      <w:pPr>
        <w:spacing w:after="0" w:line="79"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August 2020, we announced that the U.S. Food and Drug Administration, or FDA, had accepted our Investigational New Drug application, or IND, for CLS-AX. In January 2021, we announced that the first patients had been enrolled in our Phase 1/2a clinical trial of CLS-AX, known as OASIS. In March 2021, we completed patient dosing in the first cohort of OASIS and we expect to report data from this cohort in June 2021. Once the first cohort is completed and reviewed by the Safety Monitoring Committee, we expect to begin enrolling patients in the second cohort.</w:t>
      </w:r>
    </w:p>
    <w:p>
      <w:pPr>
        <w:spacing w:after="0" w:line="63"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6"/>
          <w:szCs w:val="16"/>
          <w:color w:val="auto"/>
        </w:rPr>
        <w:t>We have initiated another small molecule program utilizing suprachoroidal administration of an integrin inhibitor suspension.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We expect to conclude these studies this year.</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External Collaborations Pipeline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to growing our internal pipeline, we are also focused on collaborating with other companies to provide access to the suprachoroidal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10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suprachoroidal injectable suspension) in the United States and Canada. In April 2020, we granted Bausch an exclusive option to develop, manufacture, distribute, promote, market and commercialize XIPERE in one or more of the following regions: (i) the European Union, including the United Kingdom, (ii) Australia and New Zealand and (iii) South America and Mexico.</w:t>
      </w:r>
    </w:p>
    <w:p>
      <w:pPr>
        <w:spacing w:after="0" w:line="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October 2019, REGENXBIO Inc., or REGENXBIO, exercised its option to license our SCS Microinjector technology for in-office delivery of adeno-associated virus, or AAV,-based therapeutics to the SCS to potentially treat AMD, diabetic retinopathy and certain other conditions for which chronic anti-VEGF treatment is currently the standard of care. REGENXBIO is currently conducting two Phase 2 clinical trials using our SCS Microinjector technology: the Phase 2 trial entitled AAVIATE for the treatment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440"/>
        <w:spacing w:after="0" w:line="277" w:lineRule="auto"/>
        <w:rPr>
          <w:sz w:val="20"/>
          <w:szCs w:val="20"/>
          <w:color w:val="auto"/>
        </w:rPr>
      </w:pPr>
      <w:r>
        <w:rPr>
          <w:rFonts w:ascii="Arial" w:cs="Arial" w:eastAsia="Arial" w:hAnsi="Arial"/>
          <w:sz w:val="18"/>
          <w:szCs w:val="18"/>
          <w:color w:val="auto"/>
        </w:rPr>
        <w:t>of wet AMD and a second Phase 2 trial entitled ALTITUDE for the treatment of diabetic retinopathy. REGENXBIO expects to report data from both clinical trials in the second half of 2021.</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July 2019, Aura Biosciences, or Aura, licensed our SCS Microinjector to deliver Aura’s proprietary drug candidates into the SCS for the potential treatment of certain ocular cancers, including choroidal melanoma. Aura is currently conducting a Phase 2 clinical trial for the treatment of choroidal melanoma.</w:t>
      </w:r>
    </w:p>
    <w:p>
      <w:pPr>
        <w:spacing w:after="0" w:line="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In December 2020, Arctic Vision announced approval of its IND for a Phase 3 clinical trial of XIPERE in China and they expect to begin Phase 3 clinical trials later this year.</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These partnerships enable us to expand the use of our suprachoroidal injection platform to other indications and geographies globally. Under these license agreements, we received $11.1 million of non-dilutive capital in the form of upfront payments during 2019 and 2020, and we are eligible to receive up to an aggregate of more than $200 million in potential future development and sales milestones, as well as and royalties from net sales of covered products.</w:t>
      </w:r>
    </w:p>
    <w:p>
      <w:pPr>
        <w:spacing w:after="0" w:line="79" w:lineRule="exact"/>
        <w:rPr>
          <w:sz w:val="20"/>
          <w:szCs w:val="20"/>
          <w:color w:val="auto"/>
        </w:rPr>
      </w:pPr>
    </w:p>
    <w:p>
      <w:pPr>
        <w:ind w:firstLine="549"/>
        <w:spacing w:after="0" w:line="291" w:lineRule="auto"/>
        <w:rPr>
          <w:sz w:val="20"/>
          <w:szCs w:val="20"/>
          <w:color w:val="auto"/>
        </w:rPr>
      </w:pPr>
      <w:r>
        <w:rPr>
          <w:rFonts w:ascii="Arial" w:cs="Arial" w:eastAsia="Arial" w:hAnsi="Arial"/>
          <w:sz w:val="16"/>
          <w:szCs w:val="16"/>
          <w:color w:val="auto"/>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March 31, 2021, we had an accumulated deficit of $263.2 million. We recorded net losses of $7.3 million and $2.9 million for the three months ended March 31, 2021 and 2020,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5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expect clinical trial expenses to increase in 2021 as a result of our Phase 1/2a clinical trial of CLS-AX.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and expected near-term partnership milestone payments, we expect to have sufficient resources to fund our planned operations into the first quarter of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20" w:firstLine="562"/>
        <w:spacing w:after="0" w:line="259" w:lineRule="auto"/>
        <w:rPr>
          <w:sz w:val="20"/>
          <w:szCs w:val="20"/>
          <w:color w:val="auto"/>
        </w:rPr>
      </w:pPr>
      <w:r>
        <w:rPr>
          <w:rFonts w:ascii="Arial" w:cs="Arial" w:eastAsia="Arial" w:hAnsi="Arial"/>
          <w:sz w:val="18"/>
          <w:szCs w:val="18"/>
          <w:color w:val="auto"/>
        </w:rPr>
        <w:t>We have been actively monitoring the novel coronavirus, or COVID-19, situation and its impact globally. Our financial results for the three months ended March 31, 2021 were not impacted by COVID-19, and we currently do not expect any material impact on our financial results for the remainder of 2021. We continue to operate normally with the exception of enabling our employees to work from home and abiding by travel restrictions issued by federal and local governments.</w:t>
      </w:r>
    </w:p>
    <w:p>
      <w:pPr>
        <w:spacing w:after="0" w:line="79" w:lineRule="exact"/>
        <w:rPr>
          <w:sz w:val="20"/>
          <w:szCs w:val="20"/>
          <w:color w:val="auto"/>
        </w:rPr>
      </w:pPr>
    </w:p>
    <w:p>
      <w:pPr>
        <w:ind w:right="40" w:firstLine="562"/>
        <w:spacing w:after="0" w:line="253" w:lineRule="auto"/>
        <w:rPr>
          <w:sz w:val="20"/>
          <w:szCs w:val="20"/>
          <w:color w:val="auto"/>
        </w:rPr>
      </w:pPr>
      <w:r>
        <w:rPr>
          <w:rFonts w:ascii="Arial" w:cs="Arial" w:eastAsia="Arial" w:hAnsi="Arial"/>
          <w:sz w:val="18"/>
          <w:szCs w:val="18"/>
          <w:color w:val="auto"/>
        </w:rPr>
        <w:t>As the COVID-19 pandemic continues, we may experience other disruptions that could severely impact our business, results of operations and prospects. The extent to which COVID-19 may impact our business, preclinical development and clinical trials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periods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960" w:right="780"/>
        <w:spacing w:after="0" w:line="277" w:lineRule="auto"/>
        <w:rPr>
          <w:sz w:val="20"/>
          <w:szCs w:val="20"/>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sz w:val="20"/>
          <w:szCs w:val="20"/>
          <w:color w:val="auto"/>
        </w:rPr>
      </w:pPr>
    </w:p>
    <w:p>
      <w:pPr>
        <w:ind w:left="960" w:right="480"/>
        <w:spacing w:after="0" w:line="277" w:lineRule="auto"/>
        <w:rPr>
          <w:sz w:val="20"/>
          <w:szCs w:val="20"/>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nonclinical activities and development activities;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sz w:val="20"/>
          <w:szCs w:val="20"/>
          <w:color w:val="auto"/>
        </w:rPr>
      </w:pPr>
    </w:p>
    <w:p>
      <w:pPr>
        <w:ind w:left="960" w:right="580"/>
        <w:spacing w:after="0" w:line="277" w:lineRule="auto"/>
        <w:rPr>
          <w:sz w:val="20"/>
          <w:szCs w:val="20"/>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technology and intellectual property licenses;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for our research and development facility;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research and development expenses by program for the three months ended March 31, 2021 and 2020 (in thousands).</w:t>
      </w:r>
    </w:p>
    <w:p>
      <w:pPr>
        <w:spacing w:after="0" w:line="154"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15875</wp:posOffset>
            </wp:positionV>
            <wp:extent cx="2168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45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24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XIPERE (uveitis program)</w:t>
            </w:r>
          </w:p>
        </w:tc>
        <w:tc>
          <w:tcPr>
            <w:tcW w:w="34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20"/>
                <w:szCs w:val="20"/>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CLS-AX (wet AMD program)</w:t>
            </w:r>
          </w:p>
        </w:tc>
        <w:tc>
          <w:tcPr>
            <w:tcW w:w="3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r>
      <w:tr>
        <w:trPr>
          <w:trHeight w:val="236"/>
        </w:trPr>
        <w:tc>
          <w:tcPr>
            <w:tcW w:w="42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34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20"/>
                <w:szCs w:val="20"/>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Unallocated</w:t>
            </w:r>
          </w:p>
        </w:tc>
        <w:tc>
          <w:tcPr>
            <w:tcW w:w="3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7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w:t>
            </w:r>
          </w:p>
        </w:tc>
        <w:tc>
          <w:tcPr>
            <w:tcW w:w="34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5,490</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19"/>
        </w:trPr>
        <w:tc>
          <w:tcPr>
            <w:tcW w:w="4240" w:type="dxa"/>
            <w:vAlign w:val="bottom"/>
          </w:tcPr>
          <w:p>
            <w:pPr>
              <w:spacing w:after="0"/>
              <w:rPr>
                <w:sz w:val="24"/>
                <w:szCs w:val="24"/>
                <w:color w:val="auto"/>
              </w:rPr>
            </w:pPr>
          </w:p>
        </w:tc>
        <w:tc>
          <w:tcPr>
            <w:tcW w:w="3480" w:type="dxa"/>
            <w:vAlign w:val="bottom"/>
          </w:tcPr>
          <w:p>
            <w:pPr>
              <w:jc w:val="right"/>
              <w:ind w:right="1915"/>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-385445</wp:posOffset>
            </wp:positionV>
            <wp:extent cx="1968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-367665</wp:posOffset>
            </wp:positionV>
            <wp:extent cx="1968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80" w:firstLine="509"/>
        <w:spacing w:after="0" w:line="275"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6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the costs associated with process development, scale-up and manufacturing of XIPERE and the SCS Microinjector in support of filings for regulatory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 patient trial costs;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patients that participate in the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sites included in the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countries in which the trials are conducted;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length of time required to enroll eligible patients;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doses that patients receive;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impact of the COVID-19 pandemic on the enrollment in, and timing of, our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drop-out or discontinuation rates of patients;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duration of patient follow-up;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efficacy and safety profiles of the product candidates.</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Other income consists of the gain on the extinguishment of the PPP Loan and accrued interest and interest income earned on our cash and cash equivalents and short-term investments. Interest income is not considered significant to our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60"/>
        <w:spacing w:after="0" w:line="257" w:lineRule="auto"/>
        <w:rPr>
          <w:sz w:val="20"/>
          <w:szCs w:val="20"/>
          <w:color w:val="auto"/>
        </w:rPr>
      </w:pPr>
      <w:r>
        <w:rPr>
          <w:rFonts w:ascii="Arial" w:cs="Arial" w:eastAsia="Arial" w:hAnsi="Arial"/>
          <w:sz w:val="18"/>
          <w:szCs w:val="18"/>
          <w:color w:val="auto"/>
        </w:rPr>
        <w:t>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2021, there were no significant changes to our critical accounting policies disclosed in our audited financial statements for the year ended December 31, 2020, which are included in our Annual Report on Form 10-K, as filed with the SEC on March 15,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2021 and 2020</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2460" w:type="dxa"/>
            <w:vAlign w:val="bottom"/>
            <w:gridSpan w:val="4"/>
          </w:tcPr>
          <w:p>
            <w:pPr>
              <w:jc w:val="right"/>
              <w:ind w:right="15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101"/>
              <w:spacing w:after="0"/>
              <w:rPr>
                <w:sz w:val="20"/>
                <w:szCs w:val="20"/>
                <w:color w:val="auto"/>
              </w:rPr>
            </w:pPr>
            <w:r>
              <w:rPr>
                <w:rFonts w:ascii="Arial" w:cs="Arial" w:eastAsia="Arial" w:hAnsi="Arial"/>
                <w:sz w:val="16"/>
                <w:szCs w:val="16"/>
                <w:b w:val="1"/>
                <w:bCs w:val="1"/>
                <w:color w:val="auto"/>
                <w:w w:val="97"/>
              </w:rPr>
              <w:t>Period-to-Period</w:t>
            </w:r>
          </w:p>
        </w:tc>
      </w:tr>
      <w:tr>
        <w:trPr>
          <w:trHeight w:val="223"/>
        </w:trPr>
        <w:tc>
          <w:tcPr>
            <w:tcW w:w="6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r>
      <w:tr>
        <w:trPr>
          <w:trHeight w:val="230"/>
        </w:trPr>
        <w:tc>
          <w:tcPr>
            <w:tcW w:w="6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right"/>
              <w:ind w:right="35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(4,063 )</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FF0FC"/>
          </w:tcPr>
          <w:p>
            <w:pPr>
              <w:spacing w:after="0"/>
              <w:rPr>
                <w:sz w:val="21"/>
                <w:szCs w:val="21"/>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(229 )</w:t>
            </w:r>
          </w:p>
        </w:tc>
      </w:tr>
      <w:tr>
        <w:trPr>
          <w:trHeight w:val="223"/>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20"/>
                <w:szCs w:val="20"/>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(8,349 )</w:t>
            </w:r>
          </w:p>
        </w:tc>
        <w:tc>
          <w:tcPr>
            <w:tcW w:w="840" w:type="dxa"/>
            <w:vAlign w:val="bottom"/>
          </w:tcPr>
          <w:p>
            <w:pPr>
              <w:spacing w:after="0"/>
              <w:rPr>
                <w:sz w:val="20"/>
                <w:szCs w:val="20"/>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w w:val="86"/>
              </w:rPr>
              <w:t>(2,836 )</w:t>
            </w: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(5,513 )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21"/>
                <w:szCs w:val="2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840" w:type="dxa"/>
            <w:vAlign w:val="bottom"/>
          </w:tcPr>
          <w:p>
            <w:pPr>
              <w:spacing w:after="0"/>
              <w:rPr>
                <w:sz w:val="19"/>
                <w:szCs w:val="19"/>
                <w:color w:val="auto"/>
              </w:rPr>
            </w:pP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rPr>
              <w:t>(75 )</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7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bottom w:val="single" w:sz="8" w:color="auto"/>
            </w:tcBorders>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(7,351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(2,911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-645160</wp:posOffset>
            </wp:positionV>
            <wp:extent cx="180340" cy="4763"/>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0340" cy="4763"/>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-645160</wp:posOffset>
            </wp:positionV>
            <wp:extent cx="162560" cy="4763"/>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-645160</wp:posOffset>
            </wp:positionV>
            <wp:extent cx="68580" cy="4763"/>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1803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1803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1625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1625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March 31, 2021 and 2020, we recognized $34,000 and $4.1 million, respectively, of revenue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agreements. License revenue for the three months ended March 31, 2020 was primarily a result of milestone payments of $4.0 million received from Arctic.</w:t>
      </w:r>
    </w:p>
    <w:p>
      <w:pPr>
        <w:spacing w:after="0" w:line="76"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$1.7 million, from $3.8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to $5.5 million for the three months ended March 31, 2021. This increase was primarily due to a $1.7 million increase in costs for the for CLS-AX program, including costs for OASIS, a Phase 1/2a clinical trial of CLS-AX, and costs related drug manufacturing for XIPERE.</w:t>
      </w:r>
    </w:p>
    <w:p>
      <w:pPr>
        <w:spacing w:after="0" w:line="57"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decreased by $0.2 million, from $3.1 million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to $2.9 million for the three months ended March 31, 2021. This was primarily attributable to a decrease in professional fees.</w:t>
      </w:r>
    </w:p>
    <w:p>
      <w:pPr>
        <w:spacing w:after="0" w:line="38"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for the three months ended March 31, 2021 was comprised of the gain on the extinguishment of debt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forgiveness of the PPP Loan and accrued interest.</w:t>
      </w:r>
    </w:p>
    <w:p>
      <w:pPr>
        <w:spacing w:after="0" w:line="6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the three months ended March 31, 2020 primarily consisted of interest on long-term debt,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the accretion of warrants and the final payment related to our prior loan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March 31, 2021, we had cash and cash equivalents of $26.1 million. We invest any cash in excess of our immediate requirements primarily with a view to liquidity and capital preservation. As of March 31, 2021, our funds were held in cash and money market funds.</w:t>
      </w:r>
    </w:p>
    <w:p>
      <w:pPr>
        <w:spacing w:after="0" w:line="4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 PPP provide a mechanism for forgiveness of up to the full amount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100"/>
        <w:spacing w:after="0" w:line="277" w:lineRule="auto"/>
        <w:rPr>
          <w:sz w:val="20"/>
          <w:szCs w:val="20"/>
          <w:color w:val="auto"/>
        </w:rPr>
      </w:pPr>
      <w:r>
        <w:rPr>
          <w:rFonts w:ascii="Arial" w:cs="Arial" w:eastAsia="Arial" w:hAnsi="Arial"/>
          <w:sz w:val="18"/>
          <w:szCs w:val="18"/>
          <w:color w:val="auto"/>
        </w:rPr>
        <w:t>borrowed. On January 11, 2021, we received notification from Silicon Valley Bank that the PPP loan was forgiven in full, including approximately $7,000 of accrued interest.</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March 2020, we entered into the Arctic License Agreement, pursuant to which Arctic Vision has agreed to pay us up to a total of $35.5 million. This amount includes an upfront payment of $4.0 million, which we received in March 2020, as well as an aggregate of up to $31.5 million in potential development milestone payments for specified events, including $4.0 million upon regulatory approval of XIPERE in the United States and potential sales milestone payments for achievement of specified levels of net sales. Further, during the applicable royalty term, we will also be entitled to receive tiered royalties of 10-12% of net sales in the Arctic Territory, subject to customary reductions.</w:t>
      </w:r>
    </w:p>
    <w:p>
      <w:pPr>
        <w:spacing w:after="0" w:line="80"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In October 2019, we announced that Bausch acquired an exclusive license for the commercialization and development of XIPERE in the United States and Canada. In connection with this license Bausch has agreed to make additional payments of up to $15.0 million upon the achievement of specified pre-launch development and regulatory milestones.</w:t>
      </w:r>
    </w:p>
    <w:p>
      <w:pPr>
        <w:spacing w:after="0" w:line="76"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three months ended March 31, 2021, we sold 1.2 million shares of our common stock for net proceeds of $3.2 million under the ATM agreement. As of March 31, 2021, there was $23.7 million available for sales of our common stock under the ATM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successful enrollment in, and completion of,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receipt of marketing approvals from applicable regulatory authorities;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jc w:val="both"/>
        <w:ind w:right="620" w:firstLine="509"/>
        <w:spacing w:after="0" w:line="263"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obtain FDA approval to market and then generate significant milestone payments and royalties from XIPERE and other licensing arrangements or revenues from other product candidates. We will need additional financing to fund our operations. These conditions raise substantial doubt about our ability to continue as a going concern within one year after the date of this report. Our plans primarily consist of raising additional capital, potentially in a combination of equity or debt financings or restructurings, or potentially entering into additional collaborations, partnerships and other strategic arrangements.</w:t>
      </w:r>
    </w:p>
    <w:p>
      <w:pPr>
        <w:spacing w:after="0" w:line="84"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Based on our current plans and forecasted expenses, we expect that our cash and cash equivalents as of the filing date, May 17, 2021, will enable us to fund our planned operating expenses and capital expenditure requirements into the first quarter of 2022. This estimate does not give effect to additional development milestone payments we might receive under the agreements with Bausch, REGENXBIO or Arctic Vision, or in connection with any other potential license or collaboration agreement for XIPERE or any future product candidates. We have based this estimate on assumptions that may prove to be wrong, and we could exhaust our capital resources sooner than we expect.</w:t>
      </w:r>
    </w:p>
    <w:p>
      <w:pPr>
        <w:spacing w:after="0" w:line="6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15875</wp:posOffset>
            </wp:positionV>
            <wp:extent cx="2168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(5,559 )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(2,803 )</w:t>
            </w: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14,419</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1968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96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During the three months ended March 31, 2021 and 2020, our operating activities used net cash of $5.6 million and $2.8 million, respectively. The use of cash in each period primarily resulted from our net losses. The increase in net loss to $7.4 million for the three months ended March 31, 2021 as compared to $2.9 million for the three months ended March 31, 2020 was primarily attributable to higher research and development expenses related to the preclinical and clinical CLS-AX program in the three months ended March 31, 2021 and the receipt of $4.0 million in license revenue in the three months ended March 31, 2020.</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2020, our net cash used in investing activities was $55,000 for the purchase of equipment.</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During the three months ended March 31, 2021 our net cash provided by financing activities was $14.4 million. This primarily consisted of $11.1 million of net proceeds from the sale of shares of our common stock in a registered direct offering and $3.2 million of net proceeds from the sale of shares of our common stock under the ATM agreement. During the three months ended March 31, 2020, our net cash provided by financing activities was $1.2 million consisting of net proceeds from the sale of shares of common stock under the ATM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There has been no change in our internal control over financial reporting during the quarter ended March 31, 2021 that has materially affected, or is reasonably likely to materially affect, our internal control over financial reporting. We have not experienced any material impact to our internal control over financial reporting. However, we continue to monitor and assess the potential impact of the COVID-19 pandemic on our control environment.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2020, filed with the Securities and Exchange Commission on March 15, 2021. There have been no material changes to the risk factors described in that report.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ind w:left="52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Item 6. Exhibits</w:t>
            </w: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337"/>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80" w:type="dxa"/>
            <w:vAlign w:val="bottom"/>
            <w:tcBorders>
              <w:top w:val="single" w:sz="8" w:color="auto"/>
              <w:bottom w:val="single" w:sz="8" w:color="0000FF"/>
            </w:tcBorders>
            <w:gridSpan w:val="7"/>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Amended and Restated Certificate of Incorporation (incorporated herein by reference to Exhibit 3.1 to the Registrant’s Current Report on</w:t>
              </w:r>
            </w:hyperlink>
          </w:p>
        </w:tc>
        <w:tc>
          <w:tcPr>
            <w:tcW w:w="80" w:type="dxa"/>
            <w:vAlign w:val="bottom"/>
            <w:tcBorders>
              <w:top w:val="single" w:sz="8" w:color="auto"/>
            </w:tcBorders>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Form 8-K (File No. 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4980" w:type="dxa"/>
            <w:vAlign w:val="bottom"/>
            <w:gridSpan w:val="6"/>
          </w:tcPr>
          <w:p>
            <w:pPr>
              <w:spacing w:after="0"/>
              <w:rPr>
                <w:sz w:val="17"/>
                <w:szCs w:val="17"/>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Amended and Restated Bylaws (incorporated herein by reference to Exhibit 3.2 to the Registrant’s Current Report on Form 8-K (File No.</w:t>
              </w:r>
            </w:hyperlink>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196" w:lineRule="exact"/>
              <w:rPr>
                <w:rFonts w:ascii="Arial" w:cs="Arial" w:eastAsia="Arial" w:hAnsi="Arial"/>
                <w:sz w:val="18"/>
                <w:szCs w:val="18"/>
                <w:color w:val="0000FF"/>
              </w:rPr>
            </w:pPr>
            <w:hyperlink r:id="rId152">
              <w:r>
                <w:rPr>
                  <w:rFonts w:ascii="Arial" w:cs="Arial" w:eastAsia="Arial" w:hAnsi="Arial"/>
                  <w:sz w:val="18"/>
                  <w:szCs w:val="18"/>
                  <w:color w:val="0000FF"/>
                </w:rPr>
                <w:t>001-37783) filed with the SEC on June 7, 2016).</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Borders>
              <w:right w:val="single" w:sz="8" w:color="0000EE"/>
            </w:tcBorders>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453"/>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Certification of Principal Executive Officer under Section 302 of the Sarbanes-Oxley Act.</w:t>
              </w:r>
            </w:hyperlink>
          </w:p>
        </w:tc>
        <w:tc>
          <w:tcPr>
            <w:tcW w:w="3480" w:type="dxa"/>
            <w:vAlign w:val="bottom"/>
            <w:gridSpan w:val="4"/>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Principal Financial Officer under Section 302 of the Sarbanes-Oxley Act.</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40" w:type="dxa"/>
            <w:vAlign w:val="bottom"/>
            <w:tcBorders>
              <w:right w:val="single" w:sz="8" w:color="0000EE"/>
            </w:tcBorders>
            <w:gridSpan w:val="4"/>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371"/>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Certifications of Principal Executive Officer and Principal Financial Officer under Section 906 of the Sarbanes-Oxley Act.</w:t>
              </w:r>
            </w:hyperlink>
          </w:p>
        </w:tc>
      </w:tr>
      <w:tr>
        <w:trPr>
          <w:trHeight w:val="507"/>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8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1140" w:type="dxa"/>
            <w:vAlign w:val="bottom"/>
            <w:gridSpan w:val="3"/>
          </w:tcPr>
          <w:p>
            <w:pPr>
              <w:spacing w:after="0"/>
              <w:rPr>
                <w:sz w:val="24"/>
                <w:szCs w:val="24"/>
                <w:color w:val="auto"/>
              </w:rPr>
            </w:pPr>
          </w:p>
        </w:tc>
      </w:tr>
      <w:tr>
        <w:trPr>
          <w:trHeight w:val="392"/>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0" w:lineRule="exact"/>
        <w:rPr>
          <w:sz w:val="20"/>
          <w:szCs w:val="20"/>
          <w:color w:val="auto"/>
        </w:rPr>
      </w:pPr>
    </w:p>
    <w:p>
      <w:pPr>
        <w:ind w:left="1280" w:hanging="1259"/>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6"/>
          <w:szCs w:val="16"/>
          <w:color w:val="auto"/>
        </w:rPr>
        <w:t>Cover Page Interactive Data File (formatted as inline XBRL and contained in Exhibit 101)</w:t>
      </w:r>
    </w:p>
    <w:p>
      <w:pPr>
        <w:spacing w:after="0" w:line="3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520" w:right="560" w:hanging="512"/>
        <w:spacing w:after="0" w:line="302" w:lineRule="auto"/>
        <w:tabs>
          <w:tab w:leader="none" w:pos="23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951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337" w:right="779" w:bottom="1440" w:gutter="0" w:footer="0" w:header="0"/>
        </w:sect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May 17, 2021</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59" w:lineRule="exact"/>
        <w:rPr>
          <w:sz w:val="20"/>
          <w:szCs w:val="20"/>
          <w:color w:val="auto"/>
        </w:rPr>
      </w:pPr>
    </w:p>
    <w:p>
      <w:pPr>
        <w:sectPr>
          <w:pgSz w:w="11900" w:h="16838" w:orient="portrait"/>
          <w:cols w:equalWidth="0" w:num="3">
            <w:col w:w="6060" w:space="720"/>
            <w:col w:w="900" w:space="720"/>
            <w:col w:w="2400"/>
          </w:cols>
          <w:pgMar w:left="320" w:top="337" w:right="77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-130175</wp:posOffset>
            </wp:positionV>
            <wp:extent cx="25717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March 31, 2021 of Clearside Biomedical, Inc. (the “registrant”);</w:t>
      </w:r>
    </w:p>
    <w:p>
      <w:pPr>
        <w:spacing w:after="0" w:line="128" w:lineRule="exact"/>
        <w:rPr>
          <w:rFonts w:ascii="Arial" w:cs="Arial" w:eastAsia="Arial" w:hAnsi="Arial"/>
          <w:sz w:val="17"/>
          <w:szCs w:val="17"/>
          <w:color w:val="auto"/>
        </w:rPr>
      </w:pPr>
    </w:p>
    <w:p>
      <w:pPr>
        <w:jc w:val="both"/>
        <w:ind w:left="440" w:right="320" w:hanging="432"/>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40" w:right="320" w:hanging="432"/>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41"/>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380" w:hanging="441"/>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41"/>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60" w:hanging="441"/>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420" w:right="60" w:hanging="411"/>
        <w:spacing w:after="0" w:line="308"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41"/>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480" w:hanging="441"/>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George Lasezkay, Pharm. D., J.D.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March 31, 2021 of Clearside Biomedical, Inc. (the “registrant”);</w:t>
      </w:r>
    </w:p>
    <w:p>
      <w:pPr>
        <w:spacing w:after="0" w:line="128" w:lineRule="exact"/>
        <w:rPr>
          <w:rFonts w:ascii="Arial" w:cs="Arial" w:eastAsia="Arial" w:hAnsi="Arial"/>
          <w:sz w:val="17"/>
          <w:szCs w:val="17"/>
          <w:color w:val="auto"/>
        </w:rPr>
      </w:pPr>
    </w:p>
    <w:p>
      <w:pPr>
        <w:jc w:val="both"/>
        <w:ind w:left="440" w:right="32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40" w:right="32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41"/>
        <w:spacing w:after="0" w:line="26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380" w:hanging="441"/>
        <w:spacing w:after="0" w:line="26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41"/>
        <w:spacing w:after="0" w:line="342"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60" w:hanging="441"/>
        <w:spacing w:after="0" w:line="26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440" w:right="20" w:hanging="432"/>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41"/>
        <w:spacing w:after="0" w:line="342"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480" w:hanging="441"/>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A. Deignan</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79" w:lineRule="exact"/>
        <w:rPr>
          <w:sz w:val="20"/>
          <w:szCs w:val="20"/>
          <w:color w:val="auto"/>
        </w:rPr>
      </w:pPr>
    </w:p>
    <w:p>
      <w:pPr>
        <w:ind w:left="440" w:right="380" w:hanging="432"/>
        <w:spacing w:after="0" w:line="308"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440" w:right="480" w:hanging="43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17th day of May,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/s/ George Lasezkay, Pharm. D., J.D.</w:t>
            </w:r>
          </w:p>
        </w:tc>
        <w:tc>
          <w:tcPr>
            <w:tcW w:w="4480" w:type="dxa"/>
            <w:vAlign w:val="bottom"/>
          </w:tcPr>
          <w:p>
            <w:pPr>
              <w:ind w:left="20"/>
              <w:spacing w:after="0"/>
              <w:rPr>
                <w:sz w:val="20"/>
                <w:szCs w:val="20"/>
                <w:color w:val="auto"/>
              </w:rPr>
            </w:pPr>
            <w:r>
              <w:rPr>
                <w:rFonts w:ascii="Arial" w:cs="Arial" w:eastAsia="Arial" w:hAnsi="Arial"/>
                <w:sz w:val="18"/>
                <w:szCs w:val="18"/>
                <w:color w:val="auto"/>
              </w:rPr>
              <w:t>/s/ Charles. A. Deignan</w:t>
            </w:r>
          </w:p>
        </w:tc>
      </w:tr>
      <w:tr>
        <w:trPr>
          <w:trHeight w:val="230"/>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George Lasezkay, Pharm. D., J.D.</w:t>
            </w:r>
          </w:p>
        </w:tc>
        <w:tc>
          <w:tcPr>
            <w:tcW w:w="2260" w:type="dxa"/>
            <w:vAlign w:val="bottom"/>
          </w:tcPr>
          <w:p>
            <w:pPr>
              <w:spacing w:after="0"/>
              <w:rPr>
                <w:sz w:val="20"/>
                <w:szCs w:val="20"/>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A. Deignan</w:t>
            </w:r>
          </w:p>
        </w:tc>
      </w:tr>
      <w:tr>
        <w:trPr>
          <w:trHeight w:val="22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56" w:lineRule="exact"/>
        <w:rPr>
          <w:sz w:val="20"/>
          <w:szCs w:val="20"/>
          <w:color w:val="auto"/>
        </w:rPr>
      </w:pPr>
    </w:p>
    <w:p>
      <w:pPr>
        <w:ind w:left="520" w:right="100" w:hanging="512"/>
        <w:spacing w:after="0" w:line="286" w:lineRule="auto"/>
        <w:tabs>
          <w:tab w:leader="none" w:pos="14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2"/>
      <w:numFmt w:val="decimal"/>
      <w:start w:val="104"/>
    </w:lvl>
  </w:abstractNum>
  <w:abstractNum w:abstractNumId="3">
    <w:nsid w:val="2EB141F2"/>
    <w:multiLevelType w:val="hybridMultilevel"/>
    <w:lvl w:ilvl="0">
      <w:lvlJc w:val="left"/>
      <w:lvlText w:val="**"/>
      <w:numFmt w:val="bullet"/>
      <w:start w:val="1"/>
    </w:lvl>
    <w:lvl w:ilvl="1">
      <w:lvlJc w:val="left"/>
      <w:lvlText w:val="%2"/>
      <w:numFmt w:val="decimal"/>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51" Type="http://schemas.openxmlformats.org/officeDocument/2006/relationships/hyperlink" Target="https://www.sec.gov/Archives/edgar/data/1539029/000119312516615374/d208521dex31.htm" TargetMode="External"/><Relationship Id="rId152"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2021-05-17T23:21:26Z</dcterms:created>
  <dcterms:modified xsi:type="dcterms:W3CDTF">2021-05-17T23:21:26Z</dcterms:modified>
</cp:coreProperties>
</file>