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119380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5"/>
          <w:szCs w:val="15"/>
          <w:b w:val="1"/>
          <w:bCs w:val="1"/>
          <w:color w:val="auto"/>
        </w:rPr>
        <w:t>Mark One)</w:t>
      </w:r>
    </w:p>
    <w:p>
      <w:pPr>
        <w:spacing w:after="0" w:line="28" w:lineRule="exact"/>
        <w:rPr>
          <w:sz w:val="24"/>
          <w:szCs w:val="24"/>
          <w:color w:val="auto"/>
        </w:rPr>
      </w:pPr>
    </w:p>
    <w:p>
      <w:pPr>
        <w:ind w:left="620" w:hanging="400"/>
        <w:spacing w:after="0"/>
        <w:tabs>
          <w:tab w:leader="none" w:pos="62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8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2024</w:t>
      </w:r>
    </w:p>
    <w:p>
      <w:pPr>
        <w:spacing w:after="0" w:line="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57" w:lineRule="exact"/>
        <w:rPr>
          <w:sz w:val="24"/>
          <w:szCs w:val="24"/>
          <w:color w:val="auto"/>
        </w:rPr>
      </w:pPr>
    </w:p>
    <w:p>
      <w:pPr>
        <w:ind w:left="4060" w:right="2740" w:hanging="3840"/>
        <w:spacing w:after="0" w:line="328" w:lineRule="auto"/>
        <w:tabs>
          <w:tab w:leader="none" w:pos="619"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_______ to __________</w:t>
      </w:r>
    </w:p>
    <w:p>
      <w:pPr>
        <w:spacing w:after="0" w:line="1" w:lineRule="exact"/>
        <w:rPr>
          <w:rFonts w:ascii="MS PGothic" w:cs="MS PGothic" w:eastAsia="MS PGothic" w:hAnsi="MS PGothic"/>
          <w:sz w:val="15"/>
          <w:szCs w:val="15"/>
          <w:color w:val="auto"/>
          <w:highlight w:val="black"/>
        </w:rPr>
      </w:pPr>
    </w:p>
    <w:p>
      <w:pPr>
        <w:ind w:left="4420"/>
        <w:spacing w:after="0"/>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Clearside Biomedical, Inc.</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p>
      <w:pPr>
        <w:spacing w:after="0" w:line="22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5"/>
          <w:szCs w:val="15"/>
          <w:b w:val="1"/>
          <w:bCs w:val="1"/>
          <w:color w:val="auto"/>
        </w:rPr>
        <w:t>Delaware</w:t>
      </w:r>
    </w:p>
    <w:p>
      <w:pPr>
        <w:ind w:left="1920"/>
        <w:spacing w:after="0" w:line="227" w:lineRule="auto"/>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5"/>
          <w:szCs w:val="15"/>
          <w:b w:val="1"/>
          <w:bCs w:val="1"/>
          <w:color w:val="auto"/>
        </w:rPr>
        <w:t>45-2437375</w:t>
      </w:r>
    </w:p>
    <w:p>
      <w:pPr>
        <w:spacing w:after="0" w:line="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57" w:lineRule="exact"/>
        <w:rPr>
          <w:sz w:val="24"/>
          <w:szCs w:val="24"/>
          <w:color w:val="auto"/>
        </w:rPr>
      </w:pPr>
    </w:p>
    <w:p>
      <w:pPr>
        <w:sectPr>
          <w:pgSz w:w="11900" w:h="16838" w:orient="portrait"/>
          <w:cols w:equalWidth="0" w:num="2">
            <w:col w:w="7140" w:space="720"/>
            <w:col w:w="3300"/>
          </w:cols>
          <w:pgMar w:left="320" w:top="1440" w:right="419" w:bottom="1440" w:gutter="0" w:footer="0" w:header="0"/>
          <w:type w:val="continuous"/>
        </w:sectPr>
      </w:pPr>
    </w:p>
    <w:tbl>
      <w:tblPr>
        <w:tblLayout w:type="fixed"/>
        <w:tblInd w:w="520" w:type="dxa"/>
        <w:tblCellMar>
          <w:top w:w="0" w:type="dxa"/>
          <w:left w:w="0" w:type="dxa"/>
          <w:bottom w:w="0" w:type="dxa"/>
          <w:right w:w="0" w:type="dxa"/>
        </w:tblCellMar>
      </w:tblPr>
      <w:tr>
        <w:trPr>
          <w:trHeight w:val="172"/>
        </w:trPr>
        <w:tc>
          <w:tcPr>
            <w:tcW w:w="880" w:type="dxa"/>
            <w:vAlign w:val="bottom"/>
          </w:tcPr>
          <w:p>
            <w:pPr>
              <w:spacing w:after="0"/>
              <w:rPr>
                <w:sz w:val="15"/>
                <w:szCs w:val="15"/>
                <w:color w:val="auto"/>
              </w:rPr>
            </w:pPr>
          </w:p>
        </w:tc>
        <w:tc>
          <w:tcPr>
            <w:tcW w:w="6020" w:type="dxa"/>
            <w:vAlign w:val="bottom"/>
            <w:gridSpan w:val="7"/>
          </w:tcPr>
          <w:p>
            <w:pPr>
              <w:jc w:val="center"/>
              <w:ind w:right="3200"/>
              <w:spacing w:after="0"/>
              <w:rPr>
                <w:sz w:val="20"/>
                <w:szCs w:val="20"/>
                <w:color w:val="auto"/>
              </w:rPr>
            </w:pPr>
            <w:r>
              <w:rPr>
                <w:rFonts w:ascii="Times New Roman" w:cs="Times New Roman" w:eastAsia="Times New Roman" w:hAnsi="Times New Roman"/>
                <w:sz w:val="15"/>
                <w:szCs w:val="15"/>
                <w:b w:val="1"/>
                <w:bCs w:val="1"/>
                <w:color w:val="auto"/>
              </w:rPr>
              <w:t>900 North Point Parkway, Suite 200</w:t>
            </w: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159"/>
        </w:trPr>
        <w:tc>
          <w:tcPr>
            <w:tcW w:w="880" w:type="dxa"/>
            <w:vAlign w:val="bottom"/>
          </w:tcPr>
          <w:p>
            <w:pPr>
              <w:spacing w:after="0"/>
              <w:rPr>
                <w:sz w:val="13"/>
                <w:szCs w:val="13"/>
                <w:color w:val="auto"/>
              </w:rPr>
            </w:pPr>
          </w:p>
        </w:tc>
        <w:tc>
          <w:tcPr>
            <w:tcW w:w="2040" w:type="dxa"/>
            <w:vAlign w:val="bottom"/>
            <w:gridSpan w:val="2"/>
          </w:tcPr>
          <w:p>
            <w:pPr>
              <w:jc w:val="center"/>
              <w:ind w:left="705"/>
              <w:spacing w:after="0" w:line="159" w:lineRule="exact"/>
              <w:rPr>
                <w:sz w:val="20"/>
                <w:szCs w:val="20"/>
                <w:color w:val="auto"/>
              </w:rPr>
            </w:pPr>
            <w:r>
              <w:rPr>
                <w:rFonts w:ascii="Times New Roman" w:cs="Times New Roman" w:eastAsia="Times New Roman" w:hAnsi="Times New Roman"/>
                <w:sz w:val="15"/>
                <w:szCs w:val="15"/>
                <w:b w:val="1"/>
                <w:bCs w:val="1"/>
                <w:color w:val="auto"/>
              </w:rPr>
              <w:t>Alpharetta, GA</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60" w:type="dxa"/>
            <w:vAlign w:val="bottom"/>
            <w:gridSpan w:val="2"/>
          </w:tcPr>
          <w:p>
            <w:pPr>
              <w:jc w:val="right"/>
              <w:ind w:right="1585"/>
              <w:spacing w:after="0" w:line="159" w:lineRule="exact"/>
              <w:rPr>
                <w:sz w:val="20"/>
                <w:szCs w:val="20"/>
                <w:color w:val="auto"/>
              </w:rPr>
            </w:pPr>
            <w:r>
              <w:rPr>
                <w:rFonts w:ascii="Times New Roman" w:cs="Times New Roman" w:eastAsia="Times New Roman" w:hAnsi="Times New Roman"/>
                <w:sz w:val="15"/>
                <w:szCs w:val="15"/>
                <w:b w:val="1"/>
                <w:bCs w:val="1"/>
                <w:color w:val="auto"/>
              </w:rPr>
              <w:t>30005</w:t>
            </w:r>
          </w:p>
        </w:tc>
      </w:tr>
      <w:tr>
        <w:trPr>
          <w:trHeight w:val="190"/>
        </w:trPr>
        <w:tc>
          <w:tcPr>
            <w:tcW w:w="880" w:type="dxa"/>
            <w:vAlign w:val="bottom"/>
          </w:tcPr>
          <w:p>
            <w:pPr>
              <w:spacing w:after="0"/>
              <w:rPr>
                <w:sz w:val="16"/>
                <w:szCs w:val="16"/>
                <w:color w:val="auto"/>
              </w:rPr>
            </w:pPr>
          </w:p>
        </w:tc>
        <w:tc>
          <w:tcPr>
            <w:tcW w:w="6020" w:type="dxa"/>
            <w:vAlign w:val="bottom"/>
            <w:gridSpan w:val="7"/>
          </w:tcPr>
          <w:p>
            <w:pPr>
              <w:jc w:val="center"/>
              <w:ind w:right="3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0" w:type="dxa"/>
            <w:vAlign w:val="bottom"/>
          </w:tcPr>
          <w:p>
            <w:pPr>
              <w:spacing w:after="0"/>
              <w:rPr>
                <w:sz w:val="16"/>
                <w:szCs w:val="16"/>
                <w:color w:val="auto"/>
              </w:rPr>
            </w:pPr>
          </w:p>
        </w:tc>
        <w:tc>
          <w:tcPr>
            <w:tcW w:w="2720" w:type="dxa"/>
            <w:vAlign w:val="bottom"/>
          </w:tcPr>
          <w:p>
            <w:pPr>
              <w:jc w:val="center"/>
              <w:ind w:right="905"/>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30"/>
        </w:trPr>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40" w:type="dxa"/>
            <w:vAlign w:val="bottom"/>
            <w:gridSpan w:val="7"/>
          </w:tcPr>
          <w:p>
            <w:pPr>
              <w:jc w:val="center"/>
              <w:ind w:right="240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(678) 270-3631</w:t>
            </w:r>
          </w:p>
        </w:tc>
      </w:tr>
      <w:tr>
        <w:trPr>
          <w:trHeight w:val="182"/>
        </w:trPr>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980" w:type="dxa"/>
            <w:vAlign w:val="bottom"/>
            <w:gridSpan w:val="5"/>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166"/>
        </w:trPr>
        <w:tc>
          <w:tcPr>
            <w:tcW w:w="880" w:type="dxa"/>
            <w:vAlign w:val="bottom"/>
          </w:tcPr>
          <w:p>
            <w:pPr>
              <w:spacing w:after="0"/>
              <w:rPr>
                <w:sz w:val="14"/>
                <w:szCs w:val="14"/>
                <w:color w:val="auto"/>
              </w:rPr>
            </w:pPr>
          </w:p>
        </w:tc>
        <w:tc>
          <w:tcPr>
            <w:tcW w:w="112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rPr>
              <w:t>Title of each class</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3"/>
          </w:tcPr>
          <w:p>
            <w:pPr>
              <w:jc w:val="center"/>
              <w:ind w:right="1640"/>
              <w:spacing w:after="0" w:line="166" w:lineRule="exact"/>
              <w:rPr>
                <w:sz w:val="20"/>
                <w:szCs w:val="20"/>
                <w:color w:val="auto"/>
              </w:rPr>
            </w:pPr>
            <w:r>
              <w:rPr>
                <w:rFonts w:ascii="Times New Roman" w:cs="Times New Roman" w:eastAsia="Times New Roman" w:hAnsi="Times New Roman"/>
                <w:sz w:val="15"/>
                <w:szCs w:val="15"/>
                <w:color w:val="auto"/>
              </w:rPr>
              <w:t>Trading Symbol(s)</w:t>
            </w:r>
          </w:p>
        </w:tc>
        <w:tc>
          <w:tcPr>
            <w:tcW w:w="140" w:type="dxa"/>
            <w:vAlign w:val="bottom"/>
          </w:tcPr>
          <w:p>
            <w:pPr>
              <w:spacing w:after="0"/>
              <w:rPr>
                <w:sz w:val="14"/>
                <w:szCs w:val="14"/>
                <w:color w:val="auto"/>
              </w:rPr>
            </w:pPr>
          </w:p>
        </w:tc>
        <w:tc>
          <w:tcPr>
            <w:tcW w:w="272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r>
        <w:trPr>
          <w:trHeight w:val="192"/>
        </w:trPr>
        <w:tc>
          <w:tcPr>
            <w:tcW w:w="292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color w:val="auto"/>
              </w:rPr>
              <w:t>Common Stock, par value $0.001 per share</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3"/>
          </w:tcPr>
          <w:p>
            <w:pPr>
              <w:jc w:val="center"/>
              <w:ind w:right="1640"/>
              <w:spacing w:after="0"/>
              <w:rPr>
                <w:sz w:val="20"/>
                <w:szCs w:val="20"/>
                <w:color w:val="auto"/>
              </w:rPr>
            </w:pPr>
            <w:r>
              <w:rPr>
                <w:rFonts w:ascii="Times New Roman" w:cs="Times New Roman" w:eastAsia="Times New Roman" w:hAnsi="Times New Roman"/>
                <w:sz w:val="15"/>
                <w:szCs w:val="15"/>
                <w:color w:val="auto"/>
              </w:rPr>
              <w:t>CLSD</w:t>
            </w:r>
          </w:p>
        </w:tc>
        <w:tc>
          <w:tcPr>
            <w:tcW w:w="140" w:type="dxa"/>
            <w:vAlign w:val="bottom"/>
          </w:tcPr>
          <w:p>
            <w:pPr>
              <w:spacing w:after="0"/>
              <w:rPr>
                <w:sz w:val="16"/>
                <w:szCs w:val="16"/>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r>
      <w:tr>
        <w:trPr>
          <w:trHeight w:val="359"/>
        </w:trPr>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40" w:type="dxa"/>
            <w:vAlign w:val="bottom"/>
            <w:gridSpan w:val="7"/>
          </w:tcPr>
          <w:p>
            <w:pPr>
              <w:jc w:val="center"/>
              <w:ind w:right="240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r>
      <w:tr>
        <w:trPr>
          <w:trHeight w:val="77"/>
        </w:trPr>
        <w:tc>
          <w:tcPr>
            <w:tcW w:w="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980" w:type="dxa"/>
            <w:vAlign w:val="bottom"/>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0" w:type="dxa"/>
            <w:vAlign w:val="bottom"/>
            <w:gridSpan w:val="2"/>
          </w:tcPr>
          <w:p>
            <w:pPr>
              <w:spacing w:after="0"/>
              <w:rPr>
                <w:sz w:val="6"/>
                <w:szCs w:val="6"/>
                <w:color w:val="auto"/>
              </w:rPr>
            </w:pPr>
          </w:p>
        </w:tc>
        <w:tc>
          <w:tcPr>
            <w:tcW w:w="2720" w:type="dxa"/>
            <w:vAlign w:val="bottom"/>
          </w:tcPr>
          <w:p>
            <w:pPr>
              <w:spacing w:after="0"/>
              <w:rPr>
                <w:sz w:val="6"/>
                <w:szCs w:val="6"/>
                <w:color w:val="auto"/>
              </w:rPr>
            </w:pPr>
          </w:p>
        </w:tc>
      </w:tr>
      <w:tr>
        <w:trPr>
          <w:trHeight w:val="280"/>
        </w:trPr>
        <w:tc>
          <w:tcPr>
            <w:tcW w:w="9760" w:type="dxa"/>
            <w:vAlign w:val="bottom"/>
            <w:gridSpan w:val="10"/>
          </w:tcPr>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r>
        <w:trPr>
          <w:trHeight w:val="270"/>
        </w:trPr>
        <w:tc>
          <w:tcPr>
            <w:tcW w:w="690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15(d) of the Act.</w:t>
            </w:r>
          </w:p>
        </w:tc>
        <w:tc>
          <w:tcPr>
            <w:tcW w:w="286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bl>
    <w:p>
      <w:pPr>
        <w:spacing w:after="0" w:line="21" w:lineRule="exact"/>
        <w:rPr>
          <w:sz w:val="24"/>
          <w:szCs w:val="24"/>
          <w:color w:val="auto"/>
        </w:rPr>
      </w:pPr>
    </w:p>
    <w:p>
      <w:pPr>
        <w:ind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ind w:right="26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5" w:lineRule="exact"/>
        <w:rPr>
          <w:sz w:val="24"/>
          <w:szCs w:val="24"/>
          <w:color w:val="auto"/>
        </w:rPr>
      </w:pPr>
    </w:p>
    <w:p>
      <w:pPr>
        <w:jc w:val="both"/>
        <w:ind w:right="340" w:firstLine="509"/>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74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7"/>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7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6"/>
        </w:trPr>
        <w:tc>
          <w:tcPr>
            <w:tcW w:w="2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820" w:type="dxa"/>
            <w:vAlign w:val="bottom"/>
          </w:tcPr>
          <w:p>
            <w:pPr>
              <w:ind w:left="2740"/>
              <w:spacing w:after="0"/>
              <w:rPr>
                <w:sz w:val="20"/>
                <w:szCs w:val="20"/>
                <w:color w:val="auto"/>
              </w:rPr>
            </w:pPr>
            <w:r>
              <w:rPr>
                <w:rFonts w:ascii="Times New Roman" w:cs="Times New Roman" w:eastAsia="Times New Roman" w:hAnsi="Times New Roman"/>
                <w:sz w:val="15"/>
                <w:szCs w:val="15"/>
                <w:color w:val="auto"/>
              </w:rPr>
              <w:t>Emerging growth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bl>
    <w:p>
      <w:pPr>
        <w:ind w:firstLine="509"/>
        <w:spacing w:after="0" w:line="191"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2" w:lineRule="exact"/>
        <w:rPr>
          <w:sz w:val="24"/>
          <w:szCs w:val="24"/>
          <w:color w:val="auto"/>
        </w:rPr>
      </w:pPr>
    </w:p>
    <w:p>
      <w:pPr>
        <w:ind w:right="26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2" w:lineRule="exact"/>
        <w:rPr>
          <w:sz w:val="24"/>
          <w:szCs w:val="24"/>
          <w:color w:val="auto"/>
        </w:rPr>
      </w:pPr>
    </w:p>
    <w:p>
      <w:pPr>
        <w:ind w:right="34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35" w:lineRule="exact"/>
        <w:rPr>
          <w:sz w:val="24"/>
          <w:szCs w:val="24"/>
          <w:color w:val="auto"/>
        </w:rPr>
      </w:pPr>
    </w:p>
    <w:p>
      <w:pPr>
        <w:ind w:right="34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ind w:left="520"/>
        <w:spacing w:after="0" w:line="173" w:lineRule="exact"/>
        <w:tabs>
          <w:tab w:leader="none" w:pos="7600" w:val="left"/>
          <w:tab w:leader="none" w:pos="820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 w:name="page2"/>
    <w:bookmarkEnd w:id="1"/>
    <w:p>
      <w:pPr>
        <w:ind w:right="440" w:firstLine="509"/>
        <w:spacing w:after="0" w:line="243" w:lineRule="auto"/>
        <w:rPr>
          <w:sz w:val="20"/>
          <w:szCs w:val="20"/>
          <w:color w:val="auto"/>
        </w:rPr>
      </w:pPr>
      <w:r>
        <w:rPr>
          <w:rFonts w:ascii="Times New Roman" w:cs="Times New Roman" w:eastAsia="Times New Roman" w:hAnsi="Times New Roman"/>
          <w:sz w:val="15"/>
          <w:szCs w:val="15"/>
          <w:color w:val="auto"/>
        </w:rPr>
        <w:t>The aggregate market value of Clearside Biomedical, Inc. voting and non-voting common equity held by non-affiliates as of June 28, 2024 (the last business day of the registrant's most recently completed second fiscal quarter) based on the closing sale price of $1.30 as reported on the Nasdaq Global Market on that date was approximately $92,000,000.</w:t>
      </w:r>
    </w:p>
    <w:p>
      <w:pPr>
        <w:spacing w:after="0" w:line="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As of March 24, 2025, the registrant had 77,143,872 shares of common stock, par value $0.001 per share, outstanding.</w:t>
      </w:r>
    </w:p>
    <w:p>
      <w:pPr>
        <w:spacing w:after="0" w:line="6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6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5"/>
          <w:szCs w:val="15"/>
          <w:color w:val="auto"/>
        </w:rPr>
        <w:t>Portions of the Company’s definitive proxy statement, to be filed (no later than 120 days after December 31, 2024) pursuant to Regulation 14A under the Securities Exchange Act of 1934, for its 2025 Annual Meeting of Stockholders are incorporated by reference into Part III of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6" w:right="3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8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revenue, expenses and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future capital requirements and sources and uses of cash;</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commercialization of XIPERE by our licensing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the development and potential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and planned preclinical studies and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availability of data from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planned regulatory filings;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we are required to make or that we may receive under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utility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obtain and maintain regulatory approval of our product candidates in any of the indications for which we or our partners plan to develop them, and any related restrictions, limitations or warnings in the label of an approved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enter into and maintain collaborations with other companies;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 candidates with significant commercial potential that are compatible with suprachoroidal injection and which are consistent with our commercial objectives;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continued listing standards of the Nasdaq Global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severity and impact on our operations and clinical trials of geopolitical and macroeconomic events;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cash resources, our future expenses and needs for additional financing.</w:t>
      </w:r>
    </w:p>
    <w:p>
      <w:pPr>
        <w:spacing w:after="0" w:line="225"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You should refer to Item 1A. “Risk Factors” in this Annual Report for a discussion of important factors that may cause our actual results to differ materially from those expressed or implied by our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a result of these factors, we cannot assure you that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Annual Report will prove to be accurate. Furthermore, if our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prove to be inaccurate, the inaccuracy may be material. In light of the significant uncertainties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you should not regard these statements as a representation or warranty by us or any other person that we will achieve our objectives and plans in any specified time frame, or at all. The forward-looking statements in this Annual Report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represent our views as of the date of this Annual Report. We anticipate that subsequent events and developments may cause our views to change. However,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we may elect to update these forward-looking statements at some point in the future, we undertake no obligation to publicly update any</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as a result of new information, future events or otherwise, except as required by law. You should, therefore, not rely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these forward-looking statements as representing our views as of any date subsequent to the date of this Annual Report.</w:t>
      </w:r>
    </w:p>
    <w:p>
      <w:pPr>
        <w:spacing w:after="0" w:line="20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proprietary rights to a number of trademarks used in this Annual Report which are important to our business, including Clearside, XIPERE, SCS, SCS Microinjector and the Clearside logo. Solely for convenience, the trademarks and trade names in this prospectus are referred to without the ® and TM symbols, but such references should not be construed as any indicator that their respective owners will not assert, to the fullest extent under applicable law, their rights thereto. All other trademarks, trade names and service marks appearing in this Annual Report are the property of their respective owners.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common stock include the following:</w:t>
      </w:r>
    </w:p>
    <w:p>
      <w:pPr>
        <w:spacing w:after="0" w:line="68" w:lineRule="exact"/>
        <w:rPr>
          <w:sz w:val="20"/>
          <w:szCs w:val="20"/>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760" w:right="340" w:hanging="378"/>
        <w:spacing w:after="0" w:line="312"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substantial additional funding to meet our financial obligations and to pursue our business objectives. If we are unable to raise capital when needed, we could be forced to delay, reduce or altogether cease our drug development programs or commercialization efforts.</w:t>
      </w:r>
    </w:p>
    <w:p>
      <w:pPr>
        <w:spacing w:after="0" w:line="31" w:lineRule="exact"/>
        <w:rPr>
          <w:rFonts w:ascii="Times New Roman" w:cs="Times New Roman" w:eastAsia="Times New Roman" w:hAnsi="Times New Roman"/>
          <w:sz w:val="17"/>
          <w:szCs w:val="17"/>
          <w:color w:val="auto"/>
        </w:rPr>
      </w:pPr>
    </w:p>
    <w:p>
      <w:pPr>
        <w:ind w:left="760" w:right="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currently have sufficient working capital to fund our planned operations for the next twelve months and substantial doubt exists as to our ability to continue as a going concern.</w:t>
      </w:r>
    </w:p>
    <w:p>
      <w:pPr>
        <w:spacing w:after="0" w:line="53"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are focused on the development of product candidates for treatment of eye disease through suprachoroidal injection and partnering with companies who can leverage our SCS Microinjector to deliver their ophthalmic product candidates to the suprachoroidal space, or SCS. Suprachoroidal injection is a novel approach and may fail to achieve and sustain market acceptance.</w:t>
      </w:r>
    </w:p>
    <w:p>
      <w:pPr>
        <w:spacing w:after="0" w:line="67"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regulatory approval for, and commercialize either on our own or with a third party, CLS-AX or our other product candidates, or if we experience significant delays in doing so, our business may be harmed.</w:t>
      </w:r>
    </w:p>
    <w:p>
      <w:pPr>
        <w:spacing w:after="0" w:line="53"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We may incur additional costs or experience delays in completing, or ultimately be unable to complete, the development of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intend to continue to enter into, collaborations with third parties for the development and commercialization of XIPERE. In addition, we may seek commercialization partners for our product candidates. If those collaborations are not successful, we may not be able to capitalize on the market potential of XIPERE and our product candidates.</w:t>
      </w:r>
    </w:p>
    <w:p>
      <w:pPr>
        <w:spacing w:after="0" w:line="67"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technology and product candidates, or if our licensors are unable to obtain and maintain patent protection for the technology or product candidates that we license from them, or if the scope of the patent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40" w:type="dxa"/>
            <w:vAlign w:val="bottom"/>
            <w:gridSpan w:val="12"/>
            <w:vMerge w:val="restart"/>
          </w:tcPr>
          <w:p>
            <w:pPr>
              <w:jc w:val="center"/>
              <w:ind w:right="4700"/>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40" w:type="dxa"/>
            <w:vAlign w:val="bottom"/>
            <w:gridSpan w:val="12"/>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8"/>
                <w:szCs w:val="18"/>
                <w:color w:val="auto"/>
              </w:rPr>
            </w:pPr>
          </w:p>
        </w:tc>
        <w:tc>
          <w:tcPr>
            <w:tcW w:w="4000" w:type="dxa"/>
            <w:vAlign w:val="bottom"/>
            <w:gridSpan w:val="18"/>
          </w:tcPr>
          <w:p>
            <w:pPr>
              <w:spacing w:after="0"/>
              <w:rPr>
                <w:sz w:val="18"/>
                <w:szCs w:val="18"/>
                <w:color w:val="auto"/>
              </w:rPr>
            </w:pPr>
          </w:p>
        </w:tc>
        <w:tc>
          <w:tcPr>
            <w:tcW w:w="600" w:type="dxa"/>
            <w:vAlign w:val="bottom"/>
            <w:tcBorders>
              <w:top w:val="single" w:sz="8" w:color="0000EE"/>
            </w:tcBorders>
            <w:gridSpan w:val="3"/>
          </w:tcPr>
          <w:p>
            <w:pPr>
              <w:spacing w:after="0"/>
              <w:rPr>
                <w:sz w:val="18"/>
                <w:szCs w:val="18"/>
                <w:color w:val="auto"/>
              </w:rPr>
            </w:pPr>
          </w:p>
        </w:tc>
        <w:tc>
          <w:tcPr>
            <w:tcW w:w="4720" w:type="dxa"/>
            <w:vAlign w:val="bottom"/>
            <w:gridSpan w:val="8"/>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94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980" w:type="dxa"/>
            <w:vAlign w:val="bottom"/>
            <w:gridSpan w:val="2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640" w:type="dxa"/>
            <w:vAlign w:val="bottom"/>
            <w:gridSpan w:val="2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66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8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EE"/>
            </w:tcBorders>
            <w:gridSpan w:val="10"/>
          </w:tcPr>
          <w:p>
            <w:pPr>
              <w:spacing w:after="0"/>
              <w:rPr>
                <w:sz w:val="17"/>
                <w:szCs w:val="17"/>
                <w:color w:val="auto"/>
              </w:rPr>
            </w:pPr>
          </w:p>
        </w:tc>
        <w:tc>
          <w:tcPr>
            <w:tcW w:w="35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50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EE"/>
            </w:tcBorders>
            <w:gridSpan w:val="3"/>
          </w:tcPr>
          <w:p>
            <w:pPr>
              <w:spacing w:after="0"/>
              <w:rPr>
                <w:sz w:val="17"/>
                <w:szCs w:val="17"/>
                <w:color w:val="auto"/>
              </w:rPr>
            </w:pPr>
          </w:p>
        </w:tc>
        <w:tc>
          <w:tcPr>
            <w:tcW w:w="8220" w:type="dxa"/>
            <w:vAlign w:val="bottom"/>
            <w:gridSpan w:val="2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0" w:type="dxa"/>
            <w:vAlign w:val="bottom"/>
            <w:tcBorders>
              <w:bottom w:val="single" w:sz="8" w:color="0000EE"/>
            </w:tcBorders>
          </w:tcPr>
          <w:p>
            <w:pPr>
              <w:spacing w:after="0"/>
              <w:rPr>
                <w:sz w:val="17"/>
                <w:szCs w:val="17"/>
                <w:color w:val="auto"/>
              </w:rPr>
            </w:pPr>
          </w:p>
        </w:tc>
        <w:tc>
          <w:tcPr>
            <w:tcW w:w="506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14"/>
          </w:tcPr>
          <w:p>
            <w:pPr>
              <w:jc w:val="center"/>
              <w:ind w:right="4380"/>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880" w:type="dxa"/>
            <w:vAlign w:val="bottom"/>
            <w:gridSpan w:val="15"/>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EE"/>
            </w:tcBorders>
            <w:gridSpan w:val="3"/>
          </w:tcPr>
          <w:p>
            <w:pPr>
              <w:spacing w:after="0"/>
              <w:rPr>
                <w:sz w:val="17"/>
                <w:szCs w:val="17"/>
                <w:color w:val="auto"/>
              </w:rPr>
            </w:pPr>
          </w:p>
        </w:tc>
        <w:tc>
          <w:tcPr>
            <w:tcW w:w="270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14"/>
          </w:tcPr>
          <w:p>
            <w:pPr>
              <w:jc w:val="center"/>
              <w:ind w:right="438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1720" w:type="dxa"/>
            <w:vAlign w:val="bottom"/>
            <w:gridSpan w:val="4"/>
          </w:tcPr>
          <w:p>
            <w:pPr>
              <w:spacing w:after="0"/>
              <w:rPr>
                <w:sz w:val="17"/>
                <w:szCs w:val="17"/>
                <w:color w:val="auto"/>
              </w:rPr>
            </w:pPr>
          </w:p>
        </w:tc>
        <w:tc>
          <w:tcPr>
            <w:tcW w:w="720" w:type="dxa"/>
            <w:vAlign w:val="bottom"/>
            <w:tcBorders>
              <w:top w:val="single" w:sz="8" w:color="0000EE"/>
            </w:tcBorders>
            <w:gridSpan w:val="7"/>
          </w:tcPr>
          <w:p>
            <w:pPr>
              <w:spacing w:after="0"/>
              <w:rPr>
                <w:sz w:val="17"/>
                <w:szCs w:val="17"/>
                <w:color w:val="auto"/>
              </w:rPr>
            </w:pPr>
          </w:p>
        </w:tc>
        <w:tc>
          <w:tcPr>
            <w:tcW w:w="464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21"/>
          </w:tcPr>
          <w:p>
            <w:pPr>
              <w:ind w:left="47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revolutionizing the delivery of therapies to the back of the eye through the suprachoroidal space, or SCS. Our novel SCS injection platform, utilizing our proprietary SCS Microinjector, enables an in-office, repeatable, non-surgical procedure for the targeted and compartmentalized delivery of a wide variety of therapies to the macula, retina or choroid to potentially preserve and improve vision in patients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spacing w:after="0" w:line="187"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technology. Our first product, XIPERE (triamcinolone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we are creating a broad therapeutic platform for developing product candidates to treat serious eye diseases.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Suprachoroidal Space (SCS) Injection Platform</w:t>
      </w:r>
    </w:p>
    <w:p>
      <w:pPr>
        <w:spacing w:after="0" w:line="121" w:lineRule="exact"/>
        <w:rPr>
          <w:sz w:val="20"/>
          <w:szCs w:val="20"/>
          <w:color w:val="auto"/>
        </w:rPr>
      </w:pPr>
    </w:p>
    <w:p>
      <w:pPr>
        <w:ind w:right="80" w:firstLine="549"/>
        <w:spacing w:after="0" w:line="258" w:lineRule="auto"/>
        <w:rPr>
          <w:sz w:val="20"/>
          <w:szCs w:val="20"/>
          <w:color w:val="auto"/>
        </w:rPr>
      </w:pPr>
      <w:r>
        <w:rPr>
          <w:rFonts w:ascii="Times New Roman" w:cs="Times New Roman" w:eastAsia="Times New Roman" w:hAnsi="Times New Roman"/>
          <w:sz w:val="18"/>
          <w:szCs w:val="18"/>
          <w:color w:val="auto"/>
        </w:rPr>
        <w:t>Our suprachoroidal injection platform is a novel, patented approach for delivering pharmacotherapy to the back of the eye via the SCS. When fluid is injected between the choroid and sclera, the elasticity of the SCS allows the fluid to migrate and spread spherically toward the posterior regions of the eye where it is absorbed into adjacent tissue. Our proprietary SCS microinjector is able to precisely administer drugs into the SCS utilizing a needle that is approximately one millimeter in length. This non-surgical method of administration facilitates more targeted delivery of therapeutic agents to chorioretinal structures and can be accomplished in an in-office setting. The suprachoroidal injection procedure is depicted in the picture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145415</wp:posOffset>
            </wp:positionV>
            <wp:extent cx="3188970" cy="1791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8897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treatment of eye disease via suprachoroidal injection may provide a number of benefits, including a non-surgical procedure, lower frequency of administration, limited exposure to non-targeted tissues, faster onset of therapeutic effect and an improved safety profile. With suprachoroidal injections, product candidates are administered to the retina and choroid, limiting exposure to non-target tissues. In contrast, intravitreal injections, the current standard for delivery of many drugs for eye diseases, rely on diffusion of drug outward from the vitreous, a jelly-like substance that occupies the central portion of the eye, to the retina and choroid. This diffusion can result in lower concentrations of drug in these targeted areas and the drug spreading to unintended parts of the eye, potentially causing significant side effects. Furthermore, a natural pressure gradient between the intraocular pressure, or IOP, and the SCS pressure drives suprachoroidal injectates posteriorly towards the macula, which facilitates treatment of macular disorders with this office-based approach, without the need for an intraocular catheter or other surgical techniques. In summary, delivery of agents via suprachoroidal administration offers potential advantages to other ocular drug administration techniques.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On January 1, 2024, a permanent Category 1 Current Procedural Terminology, or CPT, code was granted for the suprachoroidal injection of pharmacologic agents. We believe the Category 1 code may facilitate better access, insurance coverage and adoption of the suprachoroidal injection procedure.</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extensive patent portfolio provides us with the right to develop and commercialize pharmacological agents for treatment of eye diseases via suprachoroidal injection. We believe this proprietary method of administration has the potential to become the standard for the delivery of therapies intended to treat retinal and choroidal diseases. Our intellectual property portfolio consists of 34 issued U.S. patents and more than 80 European and international patents broadly directed to the use of the SCS Microinjector, administration of any drug into the SCS by injection, as well as XIPERE and our product candidates.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SCS Microinjector</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proprietary SCS Microinjector can be used to inject a wide variety of therapies into the SCS, including our internally developed and our collaborators’ drug candidates. Our SCS Microinjector provides targeted delivery to potentially improve efficacy and compartmentalization of medication to reduce or eliminate toxic effects on non-diseased cells. Suprachoroidal injection enables the rapid dispersion of medicine to the back of the eye, offering the potential for the medicine to act longer and minimize harm to the surrounding healthy parts of the eye.</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SCS Microinjector has been used in thousands of suprachoroidal injections in our clinical trials and the clinical trials of our partners. It has been commercially accepted by retinal physicians following the launch of XIPERE in the United States by Bausch + Lomb with over 1,200 retinal physicians trained to date. Suprachoroidal injections using our SCS Microinjector have demonstrated a clinical safety profile comparable to intravitreal injections.</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SCS Microinjector, shown in the picture below, is composed of a syringe and two 30-gauge hollow microneedles of varying lengths, each approximately one millimeter, within a custom-designed hub that optimizes insertion and suprachoroidal administration of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131445</wp:posOffset>
            </wp:positionV>
            <wp:extent cx="4920615" cy="2820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061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firstLine="549"/>
        <w:spacing w:after="0" w:line="258" w:lineRule="auto"/>
        <w:rPr>
          <w:sz w:val="20"/>
          <w:szCs w:val="20"/>
          <w:color w:val="auto"/>
        </w:rPr>
      </w:pPr>
      <w:r>
        <w:rPr>
          <w:rFonts w:ascii="Times New Roman" w:cs="Times New Roman" w:eastAsia="Times New Roman" w:hAnsi="Times New Roman"/>
          <w:sz w:val="18"/>
          <w:szCs w:val="18"/>
          <w:color w:val="auto"/>
        </w:rPr>
        <w:t>Current intravitreal injections are performed in a procedure similar to that of suprachoroidal injections, except that the hypodermic needles and syringes used in intravitreal injection procedures are designed so that the needle penetrates through all of the layers of the eye and drug is injected into the vitreous cavity. Intravitreal injections are typically performed using a needle that is approximately five millimeters in length, or five times the length of our microneedle. Using a needle of this length, the physician penetrates past the sclera, choroid and retina until reaching the vitreous and does not receive any tactile feedback as to when the needle reaches one of the layers between the sclera and the vitreous.</w:t>
      </w:r>
    </w:p>
    <w:p>
      <w:pPr>
        <w:spacing w:after="0" w:line="183" w:lineRule="exact"/>
        <w:rPr>
          <w:sz w:val="20"/>
          <w:szCs w:val="20"/>
          <w:color w:val="auto"/>
        </w:rPr>
      </w:pPr>
    </w:p>
    <w:p>
      <w:pPr>
        <w:ind w:right="180" w:firstLine="549"/>
        <w:spacing w:after="0" w:line="282" w:lineRule="auto"/>
        <w:rPr>
          <w:sz w:val="20"/>
          <w:szCs w:val="20"/>
          <w:color w:val="auto"/>
        </w:rPr>
      </w:pPr>
      <w:r>
        <w:rPr>
          <w:rFonts w:ascii="Times New Roman" w:cs="Times New Roman" w:eastAsia="Times New Roman" w:hAnsi="Times New Roman"/>
          <w:sz w:val="18"/>
          <w:szCs w:val="18"/>
          <w:color w:val="auto"/>
        </w:rPr>
        <w:t>By contrast, our SCS Microinjector is designed to inject drug into the SCS. This suprachoroidal injection is designed to be carried out under local anesthesia, perpendicular to the sclera, at a site similar to an intravitreal injection. Once the microneedle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 w:name="page9"/>
    <w:bookmarkEnd w:id="8"/>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penetrates the sclera and reaches the SCS, the boundary between the sclera and the choroid, the open bevel of the needle releases the drug between these two layers. Once drug is injected into the SCS, it spreads to the back of the eye, due to a natural pressure gradient between the IOP and the SCS pressure, precisely targeting the cells of interest without the need for intraocular catheters or other surgical techniques.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Pipeline</w:t>
      </w:r>
    </w:p>
    <w:p>
      <w:pPr>
        <w:spacing w:after="0" w:line="121" w:lineRule="exact"/>
        <w:rPr>
          <w:sz w:val="20"/>
          <w:szCs w:val="20"/>
          <w:color w:val="auto"/>
        </w:rPr>
      </w:pPr>
    </w:p>
    <w:p>
      <w:pPr>
        <w:jc w:val="both"/>
        <w:ind w:right="400" w:firstLine="554"/>
        <w:spacing w:after="0" w:line="261" w:lineRule="auto"/>
        <w:rPr>
          <w:sz w:val="20"/>
          <w:szCs w:val="20"/>
          <w:color w:val="auto"/>
        </w:rPr>
      </w:pPr>
      <w:r>
        <w:rPr>
          <w:rFonts w:ascii="Times New Roman" w:cs="Times New Roman" w:eastAsia="Times New Roman" w:hAnsi="Times New Roman"/>
          <w:sz w:val="18"/>
          <w:szCs w:val="18"/>
          <w:color w:val="auto"/>
        </w:rPr>
        <w:t>We have research capabilities focused on developing proprietary therapeutic formulations to utilize with our SCS Microinjector. Our current internal research and development initiatives are focused on small molecules to address serious diseases that affect the back of the eye. In addition to growing our internal pipeline, we are also focused on strategically collaborating with other companies to provide access to the suprachoroidal space through the use of our SCS Microinjector.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current development status of our pipeline of internal product candidates and external collaborations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85725</wp:posOffset>
            </wp:positionV>
            <wp:extent cx="6172200" cy="4209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420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Clinical Development Pipeline</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are building a clinical development pipeline focused on small molecules. Our first product, XIPERE, was approved by the FDA in October 2021. The XIPERE approval supports our approach both clinically and preclinically to advance small molecule suspensions delivered into the SCS.</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most advanced clinical development product candidate is a proprietary suspension of axitinib, a tyrosine kinase inhibitor, or TKI, for suprachoroidal injection, which we refer to as CLS-AX. We have successfully completed two clinical trials with CLS-AX in participants with neovascular age-related macular degeneration, commonly referred to as wet AMD.</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CLS-AX (axitinib injectable suspension)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CLS-AX, our most advanced product candidate, is our proprietary suspension of the TKI axitinib for suprachoroidal injection delivered via our SCS Microinjector. CLS-AX is an inhibitor of vascular endothelial growth factor receptor-1, -2 and -3 that we believe may benefit patients as a potential longer duration maintenance therapy alongside other anti-vascular endothelial growth factor, or anti-VEGF, therapies. We are developing CLS-AX for administration to the SCS as a long-acting therapy for wet AMD, a retinal degenerative disease that causes a progressive loss of central vision.</w:t>
      </w:r>
    </w:p>
    <w:p>
      <w:pPr>
        <w:spacing w:after="0" w:line="1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AMD is the leading cause of irreversible blindness in adults over 55 years old in developed countries. Approximately 20 million individuals in the United States aged 40 and older are affected with AMD, with a global prevalence of 170 million. Aging is the greatest risk factor; therefore, the United States prevalence of AMD is anticipated to increase to 22 million by 2050, while the global prevalence is expected to increase to 288 million by 2040. An estimated 10% to 15% of people with AMD will develop the wet form, which refers to the advanced neovascular stage of the disease in which blood vessels leak blood and fluid into the macula and damage photoreceptor cells. Wet AMD often progresses rapidly and causes substantial loss of central vision if left untreated. Current wet AMD therapy has a ceiling of efficacy as increased dosage or more intense regimens yield limited or no additional visual benefit and require adherence to a regimen of frequent injections. This treatment burden is further highlighted by recent large “real-world” retrospective studies of wet AMD which underscore the difficulty in adhering to regimens. These real-world studies demonstrate that patients are undertreated, receiving only 6 to 7 injections per year on average, resulting in mean improvement of only one to three letters in visual acuity after one year of treatment. The current anti-VEGF market for the treatment of retinal diseases consists of several drugs that generated aggregate 2020 sales of approximately $14.3 billion globally.</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Axitinib is currently approved to treat renal cell cancer. Because it is a well-characterized small molecule instead of a novel complex biologic, we believe there is potential for less immune response and inflammation compared to some new, contemporary biologic agents. Also, compared to other TKIs, axitinib has shown better biocompatibility with ocular cells, including retinal pigment epithelial cells, which may potentially translate to safety benefits. Other TKIs have shown biologic effect in wet AMD clinical trials when delivered systemically, topically and intravitreally, including with device implants. However, each of these routes of administration have been associated with off-target effects. Consequently, a limitation of TKIs may be associated with the delivery of the drug and not a result of the mechanism of action. Importantly, we believe that administration of CLS-AX to the SCS using our SCS Microinjector, may minimize the occurrence of related adverse events, such as vitreous floaters, "snow globe" effect or corneal off-target effects seen with other TKI administration techniques.</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With its broad VEGF blockade, we believe axitinib may have efficacy advantages over existing retinal therapies, which predominantly focus on VEGF-A blockade and may upregulate other forms of VEGF. Axitinib achieves pan-VEGF blockade by acting at a different level of the angiogenesis cascade, directly inhibiting VEGF receptors-1, -2, and -3 with high potency and specificity. In preclinical studies, axitinib was observed to be greater than ten times more potent than other TKIs. In multiple preclinical animal studies conducted by independent investigators, axitinib has inhibited corneal, retinal and choroidal angiogenesis. In addition, in preclinical models, axitinib more effectively inhibited and regressed experimental corneal neovascularization than other TKIs.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our internal preclinical studies, CLS-AX delivered through suprachoroidal injection was well tolerated and showed durability over several months. This could lead to a longer lasting, highly effective treatment that may reduce the number of treatments and visits required for wet AMD patients to achieve optimal results. These studies have also demonstrated up to eleven times higher drug levels in affected tissues versus intravitreal administration of the same dose of axitinib. Therefore, suprachoroidal delivery of CLS-AX has the potential to compartmentalize therapy away from unaffected tissues for potential safety benefits and target the affected chorioretinal tissue layers for potential efficacy benefits.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August 2020, we announced that the FDA had accepted our Investigational New Drug application, or IND, for CLS-AX.</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OASIS Phase 1/2a Clinical Trial</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OASIS was our Phase 1/2a clinical trial of CLS-AX in participants with wet AMD. OASIS was an open-label, dose-escalation clinical trial to assess the safety and tolerability of single doses of CLS-AX administered through suprachoroidal injection following two or more prior treatments with aflibercept, an intravitreal anti-VEGF agent, dosed at screening. All participants were highly treatment-experienced wet AMD participants with active disease at screening. The primary endpoint for the trial assessed the safety and tolerability of CLS-AX for the three months following the administration of CLS-AX, and secondary endpoints evaluated the pharmacokinetics, visual function, ocular anatomy and the need for additional treatment with intravitreal aflibercept during the three- and six-month periods.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0" w:name="page11"/>
    <w:bookmarkEnd w:id="10"/>
    <w:p>
      <w:pPr>
        <w:ind w:right="280" w:firstLine="509"/>
        <w:spacing w:after="0" w:line="281" w:lineRule="auto"/>
        <w:rPr>
          <w:sz w:val="20"/>
          <w:szCs w:val="20"/>
          <w:color w:val="auto"/>
        </w:rPr>
      </w:pPr>
      <w:r>
        <w:rPr>
          <w:rFonts w:ascii="Times New Roman" w:cs="Times New Roman" w:eastAsia="Times New Roman" w:hAnsi="Times New Roman"/>
          <w:sz w:val="17"/>
          <w:szCs w:val="17"/>
          <w:color w:val="auto"/>
        </w:rPr>
        <w:t>The trial consisted of four cohorts at the following doses of CLS-AX delivered via suprachoroidal injection: Cohort 1 at 0.03 mg; Cohort 2 at 0.1 mg; Cohort 3 at 0.5 mg; Cohort 4 at 1.0 mg. We enrolled a total of 27 participants across the four cohorts. These four cohorts allowed us to collect more CLS-AX patient data to help guide our selection of the most appropriate dosing protocol for ODYSSEY, our Phase 2b clinical trial of CLS-AX for the treatment of wet AMD. Participants in Cohorts 2, 3, and 4 who elected to participate in an extension study were followed for an additional 3 months.</w:t>
      </w:r>
    </w:p>
    <w:p>
      <w:pPr>
        <w:spacing w:after="0" w:line="16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November 2022, we reported positive results that included final three-month data from Cohorts 3 and 4, and interim data from the extension study. CLS-AX demonstrated a positive safety profile in all four cohorts. There were no serious adverse events and no treatment emergent adverse events related to aflibercept, CLS-AX, or the suprachoroidal injection procedure. There were also no dose limiting toxicities. There were no adverse events related to inflammation, vasculitis or vascular occlusion, and there were no vitreous “floaters” or dispersion of CLS-AX into the vitreous.</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February 2, 2023, we announced positive results from the completed OASIS extension study. CLS-AX was well-tolerated and demonstrated a favorable safety profile across all cohorts in both the three-month dose-escalation portion (n=27) and the extension study (n=14). No serious adverse events, treatment emergent adverse events related to study or dose limiting toxicities were observed. In addition, there were no adverse events related to inflammation, vasculitis or vascular occlusion, no vitreous “floaters” or dispersion of CLS-AX into the vitreous and no retinal detachments, endophthalmitis or adverse events related to IOP. The full extension data for Cohorts 3 and 4 (n=12) showed promising durability, with a 77% - 85% reduction in treatment burden observed compared to the average monthly injections in the six months before CLS-AX administration. In Cohorts 3 and 4 of the extension study, CLS-AX showed signs of biologic effect with stable mean best corrected visual acuity, or BCVA, and stable mean central subfield thickness to the six-month timepoint. On Optical Coherence Tomography, or OCT, images, anatomical signs of TKI biologic effect were observed in anti-VEGF treatment experienced sub-responders.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ODYSSEY Phase 2b Clinical Trial</w:t>
      </w:r>
    </w:p>
    <w:p>
      <w:pPr>
        <w:spacing w:after="0" w:line="22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Based on the results from the OASIS trial, we conducted ODYSSEY, a randomized, active-controlled, double-masked, parallel-group, multicenter, 36-week, Phase 2b clinical trial of CLS-AX in participants with wet AMD previously treated with intravitreal anti-vascular, or VEGF, which is the standard of care therapy for the treatment of wet AMD. A total of 60 participants were treated for 36 weeks and randomized to either CLS-AX (1 mg) or aflibercept (2 mg) with a 2:1 randomization schedule (40 participants in CLS-AX arm and 20 participants in aflibercept arm). CLS-AX was administered by suprachoroidal injection via our SCS Microinjector, and aflibercept was administered via intravitreal injection. Participants in the trial were determined to have active disease with a median duration of wet AMD diagnosis of 9.9 months. Eligible participants underwent diagnostic imaging at their screening visit, followed by masked reading center confirmation of persistent active disease.</w:t>
      </w:r>
    </w:p>
    <w:p>
      <w:pPr>
        <w:spacing w:after="0" w:line="18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October 2024, we announced positive topline results from the ODYSSEY trial. The ODYSSEY trial achieved its primary and secondary outcomes including the mean change from baseline in BCVA, changes from baseline in visual function and ocular anatomy, the need for supplemental treatment, treatment burden as measured by total injections over the trial duration, and safety measures.</w:t>
      </w:r>
    </w:p>
    <w:p>
      <w:pPr>
        <w:spacing w:after="0" w:line="17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Participants in the trial maintained stable BCVA throughout the trial as measured by the mean change in BCVA from baseline to week 36. In addition, participants maintained stable central subfield retinal thickness, or CSRT, throughout the trial as measured by the mean change in CSRT from baseline to week 36, as confirmed by the independent reading center.</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terms of durability, after receiving the baseline CLS-AX dose, 100% (40/40) of participants went 3 months without receiving any additional treatment, 90% (35/39) of participants went 4 months without receiving any additional treatment, 81% (30/37) of participants went five months without receiving any additional treatment and 67% (26/39) of participants went 6 months without receiving any additional treatment before mandatory re-dosing at week 24. If intervention were strictly based on the disease activity assessment criteria, 100% (40/40) of participants would have gone 3 months without receiving any additional treatment, 95% (37/39) of CLS-AX participants would have gone 4 months without receiving any additional treatment, 87% (32/37) of participants would have gone five months without receiving any additional treatment and 79% (30/38) of participants would have gone six months without receiving any additional treatment before mandatory re-dosing at week 24.</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Additionally, we observed reduced injection frequency by 84% in the 24 weeks after baseline compared to the average monthly injections in the 24 weeks prior to screening.</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CLS-AX was well-tolerated with a safety profile through 36 weeks that included mandatory re-dosing of CLS-AX at week 24. There were no reported ocular serious adverse events, or SAEs, and no treatment or injection procedure-related SAEs. All ocular adverse events were considered clinically mild in both groups. We observed similar discontinuation rates in the CLS-AX and aflibercept arms.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i w:val="1"/>
          <w:iCs w:val="1"/>
          <w:color w:val="auto"/>
        </w:rPr>
        <w:t>CLS-AX Phase 3</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Although our Phase 3 plans are in development and subject to change, we currently plan to run two pivotal, non-inferiority Phase 3 trials with aflibercept 2 mg as a comparator. We are likely to conduct the studies in treatment-naïve patients with a flexible dosing component, consistent with the Phase 3 trial designs for recently approved aflibercept high dose and faricimab. As part of the planned protocol, at screening, participants will be required to have a BCVA reading between 20/80 to 20/32. In addition, the CST reading on the OCT must be less than 500 microns.</w:t>
      </w:r>
    </w:p>
    <w:p>
      <w:pPr>
        <w:spacing w:after="0" w:line="7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conducted an End-of-Phase 2 meeting with the FDA in the first quarter of 2025 and gained alignment on the essential components of our Phase 3 program. We are preparing to be ready to initiate both clinical trials in the second half of 2025, subject to our ability to pay for the trials. We are actively pursuing options to fund our Phase 3 CLS-AX program, including potentially partnering with one or more third parties.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an experienced team of scientists and researchers evaluating small molecules that may be utilized as potential treatment options for back of the eye diseases utilizing our SCS Microinjector for delivery in the suprachoroidal space. Our research team is currently evaluating two small molecules through in vivo models for the potential treatment of geographic atrophy, or GA. We believe that GA is primarily a choroidal disease and that delivery of small molecules via suprachoroidal injection enables comprehensive drug coverage of both the retina and choroid, while also potentially minimizing systemic and anterior segment side effects. We are also exploring CLS-AX for the treatment of diabetic retinopathy and the combination of CLS-AX and a steroid, triamcinolone acetonide, or TA, for diabetic macular edema, or DME.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XIPERE (triamcinolone acetonide injectable suspension) for suprachoroidal use</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first product, XIPERE, formerly known as CLS-TA, is a proprietary, preservative-free suspension of the corticosteroid triamcinolone acetonide for suprachoroidal use.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IOP, which can lead to glaucoma.</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XIPERE was approved for the treatment of macular edema associated with uveitis. Uveitis is a set of ocular inflammatory conditions affecting approximately 350,000 patients in the United States and more than one million worldwide. Approximately one-third of uveitis patients develop uveitic macular edema, a build-up of fluid in the macula, the area of the retina responsible for sharp, straight-ahead vision. Macular edema is the leading cause of vision loss and blindness in uveitis patients and can occur from uveitis affecting any anatomic location—anterior, intermediate, posterior or panuveitis.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XIPERE is commercially available in the United States through Bausch + Lomb, our commercialization partner, as described below.</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External Collaborations Pipeline</w:t>
      </w:r>
    </w:p>
    <w:p>
      <w:pPr>
        <w:spacing w:after="0" w:line="229"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color w:val="auto"/>
        </w:rPr>
        <w:t>In order to expand the global reach of our suprachoroidal injection platform, we have strategically partnered the use of our SCS Microinjector and some of our assets for development and/or commercialization and intend to continue partnering our assets. By entering into these partnerships, we have been able to expand the use of our suprachoroidal injection platform to other indications and geographies globally. We currently have collaborations with Bausch + Lomb, Arctic Vision, REGENXBIO, Inc., Aura Biosciences, Inc. and BioCryst Pharmaceuticals, Inc. As discussed below in “</w:t>
      </w:r>
      <w:r>
        <w:rPr>
          <w:rFonts w:ascii="Arial" w:cs="Arial" w:eastAsia="Arial" w:hAnsi="Arial"/>
          <w:sz w:val="18"/>
          <w:szCs w:val="18"/>
          <w:color w:val="202124"/>
        </w:rPr>
        <w:t>—</w:t>
      </w:r>
      <w:r>
        <w:rPr>
          <w:rFonts w:ascii="Times New Roman" w:cs="Times New Roman" w:eastAsia="Times New Roman" w:hAnsi="Times New Roman"/>
          <w:sz w:val="18"/>
          <w:szCs w:val="18"/>
          <w:color w:val="auto"/>
        </w:rPr>
        <w:t>Royalty Purchase and Sale Agreement”, under certain conditions we are obligated to pay HealthCare Royalty Management, LLC, or HCR, any such royalties or milestone payments until we have satisfied our obligations under the Purchase and Sale Agreement.</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for commercialization of XIPERE in United States and Canada</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October 22, 2019, we entered into a License Agreement with Bausch + Lomb or, as amended, the Bausch License Agreement. Pursuant to the Bausch License Agreement, we granted an exclusive license to Bausch to develop, manufacture, distribute, promote, market and commercialize XIPERE using our SCS Microinjector, as well as specified other steroids, corticosteroids and NSAIDs in combination with the SCS Microinjector, or together with XIPERE, the Products, subject to specified exceptions, in the United States and Canada, or the Territory, for the treatment of ophthalmology indications, including non-infectious uveitis.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12" w:name="page13"/>
    <w:bookmarkEnd w:id="12"/>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Pursuant to the Bausch License Agreement, Bausch paid us an upfront payment of $5.0 million in October 2019. In October 2021, the FDA approved XIPERE, and we received $5.0 million from Bausch as a result of the approval. In January 2022, we received an additional payment of $10.0 million related to the completion of pre-launch activities for XIPERE. In addition, Bausch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we will also be entitled to receive tiered royalties at increasing percentages from the high-teens to twenty percent, based on XIPERE achieving certain annual net sales thresholds in the Territory, as well as a lower royalty on annual net sales of other products, in each case subject to reductions in specified circumstances. However, we will not receive any royalties on the first $45.0 million of cumulative net sales of all products in the Territory. Bausch launched XIPERE in the United States in the first quarter of 2022. Our rights to these royalties and milestone payments have been sold pursuant to the terms and conditions of the Purchase and Sale Agreement described below in "</w:t>
      </w:r>
      <w:r>
        <w:rPr>
          <w:rFonts w:ascii="Arial" w:cs="Arial" w:eastAsia="Arial" w:hAnsi="Arial"/>
          <w:sz w:val="18"/>
          <w:szCs w:val="18"/>
          <w:color w:val="202124"/>
        </w:rPr>
        <w:t>—</w:t>
      </w:r>
      <w:r>
        <w:rPr>
          <w:rFonts w:ascii="Times New Roman" w:cs="Times New Roman" w:eastAsia="Times New Roman" w:hAnsi="Times New Roman"/>
          <w:sz w:val="18"/>
          <w:szCs w:val="18"/>
          <w:color w:val="auto"/>
        </w:rPr>
        <w:t>Royalty Purchase and Sale Agreement."</w:t>
      </w:r>
    </w:p>
    <w:p>
      <w:pPr>
        <w:spacing w:after="0" w:line="1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Bausch License Agreement will expire upon expiration of the royalty terms for all Products and countries in the Territory, with each royalty term for a given Product and country ending on the latest of (i) the date of expiration of the last-to-expire valid claim of any licensed patent rights covering such Product in such country in the Territory, (ii) the date of the loss of regulatory exclusivity for such Product in such country in the Territory, or (iii) ten years from the later of the first sale of such Product in such country in the Territory. Bausch may also terminate the Bausch License Agreement for convenience upon 180 days’ written notice. In addition, we can terminate the Bausch License Agreement if Bausch commences a legal action challenging the validity, enforceability or scope of any of the licensed patents. Both parties may terminate the Bausch License Agreement (i) upon a material breach of the Bausch License Agreement, subject to a specified cure period and specified exceptions, or (ii) if the other party encounters bankruptcy or insolvency.</w:t>
      </w:r>
    </w:p>
    <w:p>
      <w:pPr>
        <w:spacing w:after="0" w:line="293"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License agreement for commercialization of XIPERE in China, Hong Kong, Macau, Taiwan and South Korea, India, ASEAN Countries, Australia and New Zealand</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March 10, 2020, we entered into a license agreement, or the Arctic Vision License Agreement, with Arctic Vision (Hong Kong) Limited, or Arctic Vision. Pursuant to the Arctic Vision License Agreement, we granted an exclusive license to Arctic Vision to develop, distribute, promote, market and commercialize XIPERE, subject to specified exceptions, in China, Hong Kong, Macau, Taiwan and South Korea, or the Arctic Territory. Under the terms of the Arctic Vision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with our consent, Arctic Vision will have the right, but not the obligation, to develop and commercialize XIPERE for additional indications in the Arctic Territory.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Arctic Vision refers to XIPERE as ARVN001 or the brand name ARCATUS in its territory.</w:t>
      </w:r>
    </w:p>
    <w:p>
      <w:pPr>
        <w:spacing w:after="0" w:line="22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March 2022, Arctic Vision announced dosing of the first patient in a Phase 1 clinical trial of ARVN001 in China for the treatment of diabetic macular edema.</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September 2023, Arctic Vision completed enrollment in its Phase 3 randomized, double-blind, placebo-controlled clinical trial in China for suprachoroidal use of ARCATUS for the treatment of uveitic macular edema. In July 2024, Arctic Vision announced positive topline results from its Phase 3 uveitic macular edema clinical trial in China.</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November 2024, Arctic Vision announced that it signed a new commercial collaboration agreement with Santen Pharmaceutical Co., Ltd. for ARVN001 for the treatment of uveitic macular edema and certain other ophthalmic indications under development. Under the terms and conditions of the agreement, Arctic Vision has granted the rights of ARVN001 to Santen to commercialize ARVN001 in China excluding Taiwan, Hong Kong and Macau.</w:t>
      </w:r>
    </w:p>
    <w:p>
      <w:pPr>
        <w:spacing w:after="0" w:line="176"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In January 2025, Arctic Vision announced that its NDAs for ARCATUS for the treatment of uveitic macular edema were approved by the Therapeutic Goods Administration of Australia and the Health Sciences Authority in Singapore.</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February 2025, Arctic Vision announced its NDA for ARCATUS for the treatment of uveitic macular edema was formally accepted for review by the Center for Drug Evaluation of China National Medical Products Administration.</w:t>
      </w:r>
    </w:p>
    <w:p>
      <w:pPr>
        <w:spacing w:after="0" w:line="162"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Pursuant to the Arctic Vision License Agreement, Arctic Vision paid us an upfront payment of $4.0 million in March 2020. In December 2021, we received a milestone payment of $4.0 million following receipt of FDA approval of XIPERE in the United States. In addition, Arctic Vision agreed to pay us up to a total of $22.5 million in development and sales milestone payments. Further, during the applicable royalty term, we are also entitled to receive tiered royalties of 10% to 12% of net sales based on achieving certain annual net sales thresholds in the Arctic Territory, subject to customary reductions, payable on a product-by-product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right="200"/>
        <w:spacing w:after="0" w:line="268" w:lineRule="auto"/>
        <w:rPr>
          <w:sz w:val="20"/>
          <w:szCs w:val="20"/>
          <w:color w:val="auto"/>
        </w:rPr>
      </w:pPr>
      <w:r>
        <w:rPr>
          <w:rFonts w:ascii="Times New Roman" w:cs="Times New Roman" w:eastAsia="Times New Roman" w:hAnsi="Times New Roman"/>
          <w:sz w:val="18"/>
          <w:szCs w:val="18"/>
          <w:color w:val="auto"/>
        </w:rPr>
        <w:t>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Our rights to these royalties and milestone payments have been sold pursuant to the terms and conditions of the Purchase and Sale Agreement described below in "</w:t>
      </w:r>
      <w:r>
        <w:rPr>
          <w:rFonts w:ascii="Arial" w:cs="Arial" w:eastAsia="Arial" w:hAnsi="Arial"/>
          <w:sz w:val="18"/>
          <w:szCs w:val="18"/>
          <w:color w:val="202124"/>
        </w:rPr>
        <w:t>—</w:t>
      </w:r>
      <w:r>
        <w:rPr>
          <w:rFonts w:ascii="Times New Roman" w:cs="Times New Roman" w:eastAsia="Times New Roman" w:hAnsi="Times New Roman"/>
          <w:sz w:val="18"/>
          <w:szCs w:val="18"/>
          <w:color w:val="auto"/>
        </w:rPr>
        <w:t>Royalty Purchase and Sale Agreement."</w:t>
      </w:r>
    </w:p>
    <w:p>
      <w:pPr>
        <w:spacing w:after="0" w:line="1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Arctic Vision License Agreement will expire upon the expiration of the last-to-expire royalty term. Arctic Vision may terminate the Arctic Vision License Agreement for convenience upon 45 days’ notice if before regulatory approval in the Arctic Territory or 90 days’ notice if after regulatory approval in the Arctic Territory. In addition, we can terminate the Arctic Vision License Agreement if Arctic Vision commences a legal action challenging the validity, enforceability or scope of the licensed patents. Both parties may terminate the Arctic Vision License Agreement (i) upon a material breach of the Arctic Vision License Agreement, subject to a specified cure period, or (ii) if the other party enters bankruptcy. Upon termination, all licenses and other rights granted to Arctic Vision pursuant to the Arctic Vision License Agreement would revert to us. If Arctic Vision exercises its termination right for convenience or if the Arctic Vision License Agreement terminates as a result of Arctic Vision’s material breach or bankruptcy, Arctic Vision will assign and transfer all regulatory approvals, related documents and trademarks (with respect to trademarks, only those specific to) pertaining to XIPERE in the Arctic Territory to us. If Arctic Vision terminates the Arctic Vision License Agreement as a result of material breach by us or our bankruptcy after regulatory approval of XIPERE in the Arctic Territory, we are obligated to pay Arctic Vision royalties equal to a low-single digit percentage of net sales of XIPERE in the Arctic Territory.</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August 2021, we entered into an amendment to the Arctic Vision License Agreement to expand the territories covered by the license to include India and the ASEAN Countries (Brunei, Cambodia, Indonesia, Laos, Malaysia, Myanmar, the Philippines, Singapore, Thailand, and Vietnam). In September 2021, we entered into a second amendment to the Arctic Vision License Agreement to expand the Arctic Territory to include Australia and New Zealand. We received an aggregate of $3.0 million in consideration for the expansion of the Arctic Territory.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 Therapy</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believe our platform offers the potential for safer, targeted ocular gene therapy without some of the risks of surgery and subretinal administration. Suprachoroidal administration of gene therapy could ultimately enhance access to care because it does not require specialized gene therapy surgery treatment centers. The procedure for suprachoroidal injection is conducted in an office setting and is similar in terms of patient preparation and duration to the procedure for intravitreal injection. Therefore, we believe our products could be incorporated into retina specialists’ standard medical practice.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During the past several years, gene therapy has demonstrated in preclinical studies and clinical trials conducted by third parties that genetic material can be effectively and tolerably introduced to the retinal tissues, most often using an adeno-associated virus, or AAV. Safe and reproducible delivery of gene therapy vector into the subretinal space is essential for successful targeting of the retinal pigment epithelium, or RPE, and photoreceptor rods or cones. Currently, the only approved retinal gene therapy and most investigational retinal gene therapies are delivered via retinal surgery at a limited number of specialized ocular gene therapy treatment centers. During the pars plana vitrectomy surgery, the surgeon creates a small hole in the retina to inject the gene therapy beneath the retina to the subretinal space without tearing or damaging the retina and macula. This process creates a small retinal detachment, which separates and exposes the photoreceptors and RPE to the gene therapy. The retina is in a diseased state and already compromised and the procedure carries iatrogenic risk. However, the success of this surgery is critical for the clinical efficacy of retinal gene therapy. Consequently, the surgery requires extensive training, and the limited number of specialized ocular gene therapy centers creates patient access issues. Unlike vitrectomy, suprachoroidal administration does not require detachment of the photoreceptors from the RPE, and consequently, avoids the risk of iatrogenic subretinal injection to an already-compromised retina. Suprachoroidal injection procedure training is minimal and could ultimately enhance access to care because it would not have to be administered at a specialized gene therapy surgery treatment center.</w:t>
      </w:r>
    </w:p>
    <w:p>
      <w:pPr>
        <w:spacing w:after="0" w:line="19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Inherited retinal diseases, or IRDs, such as Stargardt disease and Usher syndrome, represent some of the most challenging diseases that ophthalmologists encounter. They cause progressive and relentless vision loss due to changes in genes critical to the survival of photoreceptors and RPE cells, yet delivery of therapeutics to these cells is challenging. In preclinical animal studies from which data was presented at the American Academy of Ophthalmology 2019 Annual Meeting in October 2019, the suprachoroidal injection of luciferase DNA nanoparticles, or DNPs, in rabbits produced activity comparable to that seen from subretinal injections of luciferase DNPs. In these studies, SCS injections of DNPs were generally well tolerated across both rabbits and non-human primates, and no significant abnormalities were observed on ophthalmic exams. DNPs can also transfer large genes at potentially higher doses without the risks of subretinal surgery, which may allow for gene therapy in some of the most common IRDs.</w:t>
      </w:r>
    </w:p>
    <w:p>
      <w:pPr>
        <w:spacing w:after="0" w:line="18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believe suprachoroidal administration may further enhance the value proposition of ocular gene therapy by potentially improving safety and expanding access. In preclinical studies we have observed that SCS injection can administer both viral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40"/>
        <w:spacing w:after="0" w:line="266" w:lineRule="auto"/>
        <w:rPr>
          <w:sz w:val="20"/>
          <w:szCs w:val="20"/>
          <w:color w:val="auto"/>
        </w:rPr>
      </w:pPr>
      <w:r>
        <w:rPr>
          <w:rFonts w:ascii="Times New Roman" w:cs="Times New Roman" w:eastAsia="Times New Roman" w:hAnsi="Times New Roman"/>
          <w:sz w:val="18"/>
          <w:szCs w:val="18"/>
          <w:color w:val="auto"/>
        </w:rPr>
        <w:t>non-viral gene therapy. Using marker genes like green fluorescent protein and luciferase in both rabbits and non-human primates, gene therapy was delivered with our SCS injection to achieve expression in the retina and choroid. To expand our overall development pipeline, we are looking to selectively partner our proprietary technology for use with novel gene therapies.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REGENXBIO, Inc.</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expanded the reach of our SCS Microinjector technology in AAV-based gene therapy through a development and commercial partner.</w:t>
      </w:r>
    </w:p>
    <w:p>
      <w:pPr>
        <w:spacing w:after="0" w:line="22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August 2019, we entered into an option and license agreement, or the REGENXBIO Option and License Agreement, with REGENXBIO Inc., or REGENXBIO, pursuant to which we granted REGENXBIO an exclusive option, or the Option, to enter into a commercial license agreement granting REGENXBIO an exclusive, worldwide and sublicensable license to our SCS Microinjector for the in-office delivery of AAV-based gene therapies for the treatment of wet AMD, diabetic retinopathy and other conditions for which anti-VEGF treatment is currently the standard of care.</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October 2019, REGENXBIO exercised the Option and paid us an option fee equal to $2.0 million less $0.5 million received under a prior technology access agreement. Under the license agreement, REGENXBIO paid us $3.0 million in connection with a development milestone and agreed to additional payments to us of up to an aggregate of $31.0 million upon the achievement of specified development milestones and up to $102.0 million in sales-based milestone payments, as well as mid-single digit royalties on net sales of products using the SCS Microinjector during the royalty term. Our rights to these royalties and milestone payments have been sold pursuant to the terms and conditions of the Purchase and Sale Agreement described below in "</w:t>
      </w:r>
      <w:r>
        <w:rPr>
          <w:rFonts w:ascii="Arial" w:cs="Arial" w:eastAsia="Arial" w:hAnsi="Arial"/>
          <w:sz w:val="18"/>
          <w:szCs w:val="18"/>
          <w:color w:val="202124"/>
        </w:rPr>
        <w:t>—</w:t>
      </w:r>
      <w:r>
        <w:rPr>
          <w:rFonts w:ascii="Times New Roman" w:cs="Times New Roman" w:eastAsia="Times New Roman" w:hAnsi="Times New Roman"/>
          <w:sz w:val="18"/>
          <w:szCs w:val="18"/>
          <w:color w:val="auto"/>
        </w:rPr>
        <w:t>Royalty Purchase and Sale Agreement."</w:t>
      </w:r>
    </w:p>
    <w:p>
      <w:pPr>
        <w:spacing w:after="0" w:line="17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REGENXBIO will be responsible for all development, regulatory and commercialization activities for their gene therapy product candidates. We will be responsible for supplying the SCS Microinjector in support of REGENXBIO’s preclinical studies, clinical studies and commercial use.</w:t>
      </w:r>
    </w:p>
    <w:p>
      <w:pPr>
        <w:spacing w:after="0" w:line="162"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In January 2025, REGENXBIO announced that a global Phase 3 clinical program in DR for their gene therapy ABBV-RGX-314, now referred to as Sura-vec, is planned to start later in 2025. Their Phase 2 ALTITUDE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trial is enrolling a cohort of patients with center-involved DME. Their Phase 2 AAVIATE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trial is enrolling a new cohort to evaluate sura-vec at dose level 4 with a short course of prophylactic steroid eye drops.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Ocular Oncology</w:t>
      </w:r>
    </w:p>
    <w:p>
      <w:pPr>
        <w:spacing w:after="0" w:line="121"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18"/>
          <w:szCs w:val="18"/>
          <w:color w:val="auto"/>
        </w:rPr>
        <w:t>Ocular cancers are a group of rare, life-threatening conditions that affect one or both eyes. The main indications include choroidal melanoma, choroidal metastases, cancers of the ocular surface and retinoblastoma, among others. Diagnosing and treating these cancers early is important because they have the potential to spread both within the eye and to other organs. The risk for ocular cancer increases with age and increases significantly after the age of</w:t>
      </w:r>
    </w:p>
    <w:p>
      <w:pPr>
        <w:spacing w:after="0" w:line="1" w:lineRule="exact"/>
        <w:rPr>
          <w:sz w:val="20"/>
          <w:szCs w:val="20"/>
          <w:color w:val="auto"/>
        </w:rPr>
      </w:pPr>
    </w:p>
    <w:p>
      <w:pPr>
        <w:ind w:right="200" w:firstLine="8"/>
        <w:spacing w:after="0" w:line="260" w:lineRule="auto"/>
        <w:tabs>
          <w:tab w:leader="none" w:pos="2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cancers that occur inside the eye (e.g., choroidal melanoma), the typical treatment is radiotherapy in the form of plaque brachytherapy and proton beam therapy, but these treatments are highly invasive and result in major vision loss and other comorbidities for many patients.</w:t>
      </w:r>
    </w:p>
    <w:p>
      <w:pPr>
        <w:spacing w:after="0" w:line="1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Choroidal melanoma is the most common intraocular cancer in adults, with an incidence of approximately 11,000 patients per year in the United States and Europe. This comprises approximately 90% of all cases of uveal melanoma, consisting of melanomas in the choroid, ciliary body and iris, which are collectively referred to as the uvea. It is estimated that 96% of patients are diagnosed early without clinical evidence of metastatic disease. There are approximately 2,000 new cases treated each year in the United States and 1,600 new cases treated each year in Europe. However, despite the current treatments with radiotherapy, the long-term prognosis is poor with death occurring in more than 50% of cases. There are no FDA-approved therapies for choroidal melanoma. There is a need for treatment of early-stage disease which includes small melanomas and indeterminate lesions representing approximately 9,000 patients in the United States and Europe.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Aura Biosciences, Inc.</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July 9, 2019, we entered into a worldwide licensing agreement with Aura Biosciences, Inc., or Aura, for the use of our SCS Microinjector to deliver Aura’s proprietary drug candidates into the SCS for the potential treatment of certain ocular cancers, including choroidal melanoma. Our SCS Microinjector may offer a non-surgical alternative to intravitreal delivery of Aura’s oncology drug candidates, and we believe suprachoroidal administration may further enhance the value proposition of choroidal melanoma by potentially improving safety and expanding access. Pursuant to the licensing agreement, we have received an aggregate of $1.6 million in connection with upfront license fees and development milestones. We are eligible to receive up to an additional $19.5 million in payments related to pre-specified development and regulatory milestones, as well as low to mid-single digit royalties on net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280"/>
        <w:spacing w:after="0" w:line="303" w:lineRule="auto"/>
        <w:rPr>
          <w:sz w:val="20"/>
          <w:szCs w:val="20"/>
          <w:color w:val="auto"/>
        </w:rPr>
      </w:pPr>
      <w:r>
        <w:rPr>
          <w:rFonts w:ascii="Times New Roman" w:cs="Times New Roman" w:eastAsia="Times New Roman" w:hAnsi="Times New Roman"/>
          <w:sz w:val="18"/>
          <w:szCs w:val="18"/>
          <w:color w:val="auto"/>
        </w:rPr>
        <w:t>sales that utilize the SCS Microinjector. Our rights to these royalties and milestone payments have been sold pursuant to the terms and conditions of the Purchase and Sale Agreement described below in "</w:t>
      </w:r>
      <w:r>
        <w:rPr>
          <w:rFonts w:ascii="Arial" w:cs="Arial" w:eastAsia="Arial" w:hAnsi="Arial"/>
          <w:sz w:val="18"/>
          <w:szCs w:val="18"/>
          <w:color w:val="202124"/>
        </w:rPr>
        <w:t>—</w:t>
      </w:r>
      <w:r>
        <w:rPr>
          <w:rFonts w:ascii="Times New Roman" w:cs="Times New Roman" w:eastAsia="Times New Roman" w:hAnsi="Times New Roman"/>
          <w:sz w:val="18"/>
          <w:szCs w:val="18"/>
          <w:color w:val="auto"/>
        </w:rPr>
        <w:t>Royalty Purchase and Sale Agreement."</w:t>
      </w:r>
    </w:p>
    <w:p>
      <w:pPr>
        <w:spacing w:after="0" w:line="138" w:lineRule="exact"/>
        <w:rPr>
          <w:sz w:val="20"/>
          <w:szCs w:val="20"/>
          <w:color w:val="auto"/>
        </w:rPr>
      </w:pPr>
    </w:p>
    <w:p>
      <w:pPr>
        <w:jc w:val="both"/>
        <w:ind w:right="320" w:firstLine="509"/>
        <w:spacing w:after="0" w:line="258" w:lineRule="auto"/>
        <w:rPr>
          <w:sz w:val="20"/>
          <w:szCs w:val="20"/>
          <w:color w:val="auto"/>
        </w:rPr>
      </w:pPr>
      <w:r>
        <w:rPr>
          <w:rFonts w:ascii="Times New Roman" w:cs="Times New Roman" w:eastAsia="Times New Roman" w:hAnsi="Times New Roman"/>
          <w:sz w:val="18"/>
          <w:szCs w:val="18"/>
          <w:color w:val="auto"/>
        </w:rPr>
        <w:t>Aura is utilizing our SCS Microinjector to deliver their viral like drug conjugate, bel-sar, for the treatment of choroidal melanoma. In November 2023, Aura reported positive clinical safety and efficacy updates from its ongoing Phase 2 clinical trial with suprachoroidal administration. The results, with 90% of patients at twelve months of follow-up who received three cycles of therapy in Cohorts 5 and 6 and who match the criteria for the planned global Phase 3 trial, showed a tumor control rate of 80% and the visual acuity preservation rate was 90%. Aura is currently enrolling its global Phase 3 clinical trial, entitled CoMpass.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BioCryst Pharmaceuticals, Inc.</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November 1, 2023, we entered into a license agreement, or the BioCryst License Agreement, with BioCryst Pharmaceuticals, Inc., or BioCryst, pursuant to which we granted BioCryst an exclusive, worldwide and sublicensable license to our SCS Microinjector for the delivery of BioCryst’s proprietary plasma kallikrein inhibitor known as avoralstat for the treatment and prevention of DME.</w:t>
      </w:r>
    </w:p>
    <w:p>
      <w:pPr>
        <w:spacing w:after="0" w:line="176"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We received an upfront license fee payment of $5.0 million in connection with signing of the BioCryst License Agreement. In addition, we are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us tiered mid-single digit royalties on annual global net product sales, with the highest royalty rate applied to sales over $1.5 billion, subject to reductions in specified circumstances. Our rights to these royalties and milestone payments have been sold pursuant to the terms and conditions of the Purchase and Sale Agreement described below in "</w:t>
      </w:r>
      <w:r>
        <w:rPr>
          <w:rFonts w:ascii="Arial" w:cs="Arial" w:eastAsia="Arial" w:hAnsi="Arial"/>
          <w:sz w:val="18"/>
          <w:szCs w:val="18"/>
          <w:color w:val="202124"/>
        </w:rPr>
        <w:t>—</w:t>
      </w:r>
      <w:r>
        <w:rPr>
          <w:rFonts w:ascii="Times New Roman" w:cs="Times New Roman" w:eastAsia="Times New Roman" w:hAnsi="Times New Roman"/>
          <w:sz w:val="18"/>
          <w:szCs w:val="18"/>
          <w:color w:val="auto"/>
        </w:rPr>
        <w:t>Royalty Purchase and Sale Agreement."</w:t>
      </w:r>
    </w:p>
    <w:p>
      <w:pPr>
        <w:spacing w:after="0" w:line="17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BioCryst will be responsible for all development, regulatory and commercialization activities for avoralstat. We are responsible for supplying SCS Microinjectors to meet BioCryst’s reasonable needs.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BioCryst License Agreement, unless earlier terminated, will expire (a) on a country-by-country basis upon the expiration of the royalty term in such country or (b) in its entirety upon the expiration of all payment obligations of BioCryst under the BioCryst License Agreement in all countries pursuant to clause (a). Each party has the right terminate the BioCryst License Agreement (i) upon a material breach of the BioCryst License Agreement by the other party, subject to a specified cure period and specified exceptions, or (ii) if the other party encounters bankruptcy or insolvency. We may terminate the BioCryst License Agreement if BioCryst or any of its sublicensees, or a Sublicensee commences a legal action challenging the validity, enforceability or scope of any of the licensed patents, provided that with respect to any such action initiated by a Sublicensee, or Sublicensee Action, we may terminate the BioCryst License Agreement if the Sublicensee Action is not terminated within a specified period of time following BioCryst’s receipt of written notice from us or if BioCryst does not terminate the applicable sublicense, in each case within a specified period of time. BioCryst may terminate the BioCryst License Agreement (i) immediately upon written notice to us if, after exercising commercially reasonable efforts, BioCryst determines in good faith that it is not advisable to continue development or commercialization of avoralstat as a result of a material safety issue and (ii) in its entirety or in part on a country-by-country basis, for any or no reason, upon prior written notice to us, provided that in the event of such a termination, BioCryst shall not, for a period of two years from the date of such a termination, initiate in the territory subject to the termination a Phase 3 clinical trial in which avoralstat is administered to the suprachoroidal space using a device other than the SCS Microinjector.</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February 2025, BioCryst announced that it plans to advance avoralstat into a clinical trial of patients with DME by the end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Purchase and Sale Agreement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August 8, 2022, or the Closing Date, we, through our wholly-owned subsidiary Clearside Royalty LLC, a Delaware limited liability company, or Royalty Sub, entered into a Purchase and Sale Agreement, or the Purchase and Sale Agreement, with entities managed by HealthCare Royalty Management, LLC, or HCR, pursuant to which Royalty Sub sold to HCR certain of its rights to receive royalty and milestone payments payable to Royalty Sub under the Arctic Vision License Agreement, the Bausch License Agreement, that certain License Agreement, effective as of July 3, 2019, by and between us and Aura Biosciences, Inc., or the Aura License Agreement, the REGENXBIO Option and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or the Royalties, in exchange for up to $65 million. In connection with this transaction, we assigned the Arctic Vision License Agreement, Bausch License Agreement, Aura License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6" w:name="page17"/>
    <w:bookmarkEnd w:id="16"/>
    <w:p>
      <w:pPr>
        <w:ind w:right="40"/>
        <w:spacing w:after="0" w:line="282" w:lineRule="auto"/>
        <w:rPr>
          <w:sz w:val="20"/>
          <w:szCs w:val="20"/>
          <w:color w:val="auto"/>
        </w:rPr>
      </w:pPr>
      <w:r>
        <w:rPr>
          <w:rFonts w:ascii="Times New Roman" w:cs="Times New Roman" w:eastAsia="Times New Roman" w:hAnsi="Times New Roman"/>
          <w:sz w:val="18"/>
          <w:szCs w:val="18"/>
          <w:color w:val="auto"/>
        </w:rPr>
        <w:t>Agreement, REGENXBIO Option and License Agreement, our license agreement with Emory University and The Georgia Tech Research Corporation and related intellectual property rights to Royalty Sub.</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Under the terms of the Purchase and Sale Agreement, Royalty Sub received an initial payment of $32.1 million, representing the $32.5 million to which we were entitled, net of certain of HCR's transaction-related expenses which we agreed to reimburse. An additional $12.5 million was deposited by HCR in an escrow account which, was released to HCR pursuant to the Letter Agreement described below.</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Purchase and Sale Agreement will automatically expire, and the payment of Royalties from the Royalty Sub to HCR will cease, when HCR has received payments of the Royalties equal to 3.4 times the aggregate amount of payments under the Purchase and Sale Agreement, the Cap. In the event of a change in control, acquiror will have the option to make a payment to HCR of the Cap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Cap. After the Purchase and Sale Agreement expires, all rights to receive the Royalties return to Royalty Sub.</w:t>
      </w:r>
    </w:p>
    <w:p>
      <w:pPr>
        <w:spacing w:after="0" w:line="19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December 22, 2023, we, through Royalty Sub, entered into a letter agreement, or the Letter Agreement, with HCR and HCR Clearside SPV, LLC (as assignee of HCR Collateral Management, LLC), or Agent, amending the Purchase and Sale Agreement. Pursuant to the terms of the Letter Agreement, Royalty Sub and Agent mutually agreed that Royalty Sub waived any and all rights to the $12.5 million milestone payment which was deposited in an escrow account, or the First Milestone Payment, in connection with the closing of the transactions contemplated by the Purchase and Sale Agreement and agreed to the release of the First Milestone Payment to Agent.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do not own any manufacturing facilities. We utilize contract manufacturing organizations, or CMOs, to formulate and produce our drug candidates and to produce our SCS Microinjector. We procure active pharmaceutical ingredients for our drugs from third-party suppliers. We expect to continue to utilize third-party manufacturers to produce quantities of our drug candidates and the SCS Microinjector.</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May 8, 2018, we entered into a supply agreement with Gerresheimer Regensburg GmbH to supply our SCS Microinjector. Unless terminated earlier pursuant to its terms, the Gerresheimer agreement had an initial term of five years, after which it renews in three-year increments unless either party gives notice of non-renewal at least one year in advance. Each party has the right to terminate the agreement for customary reasons such as material breach and bankruptcy. The Gerresheimer agreement contains provisions relating to compliance by Gerresheimer with current Good Manufacturing Practices, regulations promulgated by the FDA, confidentiality and other customary matters for an agreement of this nature. We may enter into commercial supply agreements with our other suppliers.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exclusive license agreements for the commercialization and development of XIPERE with Bausch + Lomb in the United States and Canada and with Arctic Vision in China, Hong Kong, Macau, Taiwan, South Korea, India, the ASEAN Countries, Australia and New Zealand. We may enter into distribution or licensing arrangements for commercialization rights for other regions. We have also entered into an exclusive license agreement for the use of our SCS Microinjector with BioCryst. If any of our future product candidates, including CLS-AX, are approved by the applicable regulatory authorities, we may either commercialize those product candidates ourselves or through license or collaboration agreements with third parties.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drugs. While we believe that our technologies, knowledge, experience and scientific resources provide us with competitive advantages, we face potential competition from many different sources, including major pharmaceutical companies, specialty pharmaceutical and biotechnology companies, government agencies and public, and private research and academic institutions. Any product candidate that we successfully develop and commercialize will compete with existing therapies and new therapies that may become available in the future.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firstLine="509"/>
        <w:spacing w:after="0" w:line="253" w:lineRule="auto"/>
        <w:rPr>
          <w:sz w:val="20"/>
          <w:szCs w:val="20"/>
          <w:color w:val="auto"/>
        </w:rPr>
      </w:pPr>
      <w:r>
        <w:rPr>
          <w:rFonts w:ascii="Times New Roman" w:cs="Times New Roman" w:eastAsia="Times New Roman" w:hAnsi="Times New Roman"/>
          <w:sz w:val="18"/>
          <w:szCs w:val="18"/>
          <w:color w:val="auto"/>
        </w:rPr>
        <w:t>XIPERE faces competition from other commercially available forms of TA and other topical, injectable and implantable corticosteroids, although none are specifically approved for the indication of macular edema associated with uveitis. Bristol-Myers Squibb markets TA, under the brand name Kenalog, for which a number of generic equivalents are currently available. Kenalog is indicated only for intramuscular or intraarticular injection; however, it is used off-label for intraocular inflammation using intravitreal and periocular administration. In addition, Harrow's injectable TA, Triesence (acquired from Alcon), is approved in the United States for the treatment of uveitis and other ocular inflammatory conditions unresponsive to topical corticosteroids, but it is not specifically indicated for the treatment of macular edema associated with uveitis. Ozurdex, marketed by Allergan, is a bio-erodible, extended-release implant that delivers dexamethasone, and is approved for the treatment of non-infectious uveitis affecting the posterior segment of the eye and for macular edema due to retinal vein occlusion, or RVO, in both the United States and in the European Union. Ozurdex is also approved in the United States for the treatment of diabetic macular edema, or DME. Retisert and Yutiq, both intravitreal implants of fluocinolone acetonide, are marketed by Bausch and Alimera, respectively, and are approved in the United States for the treatment of chronic non-infectious uveitis affecting the posterior segment of the eye. In addition, Oxular is developing OXU-001 which is dexamethasone delivered via the Oxulumis suprachoroidal device for the treatment of DME. It is possible physicians may use OXU-001 off label to treat macular edema associated with uveitis if approved. Oxular was acquired by Regeneron in December 2024.</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CLS-AX faces competition with anti-VEGF drugs, the current standard of care for RVO and wet AMD, as well as other drug candidates in development for ocular use for the treatment of wet AMD, such as other TKIs. Axitinib, also known by its brand name Inlyta, is not currently approved for an ocular indication but is approved by the FDA and marketed by Pfizer for the treatment of advanced renal cell carcinoma. Genentech has several products which serve as competitors in this space, including anti-VEGF agents Lucentis, Avastin, and Susvimo. Lucentis is currently approved in the United States and European Union for the treatment of wet AMD, macular edema following RVO, and diabetic retinopathy in patients with DME. Avastin is an anti-VEGF drug routinely used off-label by uveitis and retina specialists in both the United States and in certain countries of the European Union for the treatment of numerous retinal diseases. Susvimo, an ocular implant that releases ranibizumab over time, received approval from the FDA in October 2021 for the treatment of wet AMD in patients who have previously responded to anti-VEGF therapy. Additionally, Genentech’s product, Vabysmo (faricimab-svoa), an intravitreal injection which blocks two disease pathways, including (Ang-2) and vascular endothelial growth factor-A (VEGF-A), received approval in January 2022 for the treatment of wet AMD and diabetic macular edema.</w:t>
      </w:r>
    </w:p>
    <w:p>
      <w:pPr>
        <w:spacing w:after="0" w:line="194"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addition to Genentech’s products, Regeneron’s anti-VEGF product, Eylea 2 mg and 8 mg and Novartis’ product, Beovu, also present potential competition for CLS-AX in both the United States and Europe. Eylea is approved for the treatment of wet AMD, macular edema following RVO and diabetic retinopathy and DME in the United States and for the treatment of wet AMD, RVO and DME in the European Union.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 future competition may emerge from biosimilar anti-VEGF products as they are approved and enter the market.</w:t>
      </w:r>
    </w:p>
    <w:p>
      <w:pPr>
        <w:spacing w:after="0" w:line="22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Ocular drug candidates being investigated for treatment of wet AMD may also represent potential competition for CLS-AX. Ocular Therapeutics and Eyepoint are companies currently investigating TKIs for ocular use in late-stage clinical trials. We expect other established companies will seek to develop new products in the ocular space with the goal of superior efficacy and duration over the current standard of care.</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REGENXBIO, Adverum, and 4D Molecular Therapeutics are currently conducting mid to late-stage clinical trials with various ocular gene therapies for the treatment of wet AMD. These gene-based treatments could potentially compete with CLS-AX due to their potential to be long-acting treatments.</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SCS Microinjector faces competition from other devices being developed to access ocular posterior tissues via the SCS. Everads Therapy, Ltd and Uneedle B.V. have developed competing products and are in various stages of early-stage clinical development.</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Both large and established companies, as well as smaller or early-stage companies could represent challenges in the competitive space. Larger established companies may have greater resources such as greater financial resources, deeper expertise and personnel in nonclinical development, clinical development, manufacturing and regulatory sectors. Smaller or early-stage companies could pose a challenge competitively through collaborative arrangements with large and established companies. Lastly, both small and large companies will compete in areas such as recruiting and retaining qualified scientific and management personnel and establishing clinical trial sites and patient recruitment for competing clinical trials.</w:t>
      </w:r>
    </w:p>
    <w:p>
      <w:pPr>
        <w:spacing w:after="0" w:line="18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Several key competitive factors affecting the potential success of our product candidates are likely to be the efficacy, safety, method of administration, convenience, price and the availability of coverage and reimbursement from government and other third-party payors. Additionally, our commercial opportunity could be reduced or eliminated if our competitors develop and commercialize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line="261" w:lineRule="auto"/>
        <w:rPr>
          <w:sz w:val="20"/>
          <w:szCs w:val="20"/>
          <w:color w:val="auto"/>
        </w:rPr>
      </w:pPr>
      <w:r>
        <w:rPr>
          <w:rFonts w:ascii="Times New Roman" w:cs="Times New Roman" w:eastAsia="Times New Roman" w:hAnsi="Times New Roman"/>
          <w:sz w:val="18"/>
          <w:szCs w:val="18"/>
          <w:color w:val="auto"/>
        </w:rPr>
        <w:t>drugs that are safer, more effective, more convenient or are less expensive than any drugs we develop. The timing of competitors’ regulatory approval and patent protection could also impact commercial opportunities. Competitors receiving approval prior to us could result in stronger market positioning and/or obtaining FDA market exclusivity. Competitors’ patent protection could potentially delay FDA approval of our product candidates for up to 30 months, as well as subject us to potential patent litigation that might arise beyond the 30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and other intellectual property and proprietary protection for our technologies and methods of accessing the SCS, drug candidates and formulations as well as patent and other intellectual property and proprietary protection for novel applications, uses and technological innovations related to our drug candidates, proprietary delivery devices and core technologies. We also rely on trade secrets, know-how and continuing technological innovation to develop and maintain our proprietary position.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patent applications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patent estate, on a worldwide basis, includes 34 granted U.S. patents broadly directed to devices and methods of administering drugs into the SCS by injection, including one design patent. In addition, our patent estate includes 21 patent applications pending in the United States, 109 issued foreign patents, 1 pending international PCT application and 28 patent applications pending in major international markets, including the European Union, Canada, India, Japan, China and Australia, relating to our SCS delivery technology, as well as the formulations of our current therapeutic drug candidates and delivery device. Of these patents and patent applications, we license 8 issued U.S. patents, 4 pending U.S. applications, and 23 of the issued foreign patents in major international markets, each relating to devices or methods of delivering drugs to the eye by microneedle administration, pursuant to a license agreement with Georgia Tech Research Corporation and Emory University that is described below. With respect to in-licensed international PCT applications, according to the terms of the license agreement, we advise Georgia Tech and Emory regarding the countries in which patent applications should be pursued. Subject to payment of required maintenance fees, annuities and other charges, our issued in-licensed U.S. patents are expected to expire between 2027 and 2029, without taking into account possible patent term adjustments or extensions. Applications relating to SCS delivery technology and methods, our current therapeutic drug candidates and formulations, various therapeutic uses, including treatment of specific indications such as macular edema associated with uveitis and RVO, wet AMD as well as DME and improvement of specified clinical parameters, are expected to expire, if issued, between 2027 and 2042, without taking into account possible patent term adjustments or extensions.</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extended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w:t>
      </w:r>
    </w:p>
    <w:p>
      <w:pPr>
        <w:spacing w:after="0" w:line="18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Our product candidates are protected against genericization through numerous patents. In the case of XIPERE injected into the SCS, an applicant who files a paragraph 4 Abbreviated New Drug Application, or ANDA, or 505(b)(2) NDA certifying they may circumvent our patents must also demonstrate comparability of the proposed drug, which we believe may require a clinical trial in macular edema associated with uveitis, against our product, unless a biowaiver is obtained.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patent filings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Numerous U.S. and foreign issued patents and patent applications owned by third parties exist in the fields in which we are developing products, including patents and applications related to surgical methods of accessing the SCS and certain formulations of TA. Because patent applications can take many years to issue, there may be applications unknown to us, which may later result in issued patents that our product candidates or proprietary technologies may infringe.</w:t>
      </w:r>
    </w:p>
    <w:p>
      <w:pPr>
        <w:spacing w:after="0" w:line="180"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Under U.S. law, a person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Emory and Georgia Tech</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a license agreement, or the Georgia Tech License Agreement, with Emory University, or Emory, and the Georgia Tech Research Corporation, or GTRC and together with Emory, the Licensor, under which we received a worldwide exclusive license to specified patents relating to methods and devices for drug delivery using a microinjector. The field of the license covers all ophthalmic uses of the microinjector for mammals and birds. Under this license agreement, we have agreed to direct all prosecution of intellectual property to the licensors’ patent counsel and have agreed to pay for all intellectual property expenses associated with the licensed patents.</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To date, we have paid an aggregate of $265,000 in upfront and milestone payments pursuant to the Georgia Tech License Agreement. Additionally, we are currently paying a low single-digit royalty on any worldwide net product sales related to the licensed patents, with minimum annual royalties starting at $15,000 per year after commercialization. The minimum annual royalty increases each year after the first commercial sale, up to a maximum amount of $100,000 per year in the sixth calendar year and in subsequent years.</w:t>
      </w:r>
    </w:p>
    <w:p>
      <w:pPr>
        <w:spacing w:after="0" w:line="1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January 31, 2024, or the Amendment Execution Date, we and the Licensor entered into an amendment, or the Amendment, to the Georgia Tech License Agreement.</w:t>
      </w:r>
    </w:p>
    <w:p>
      <w:pPr>
        <w:spacing w:after="0" w:line="16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Pursuant to the Amendment, the parties agreed to reduce the Sublicense Percentage (as defined in the Georgia Tech License Agreement) from a low double digit percentage to a high single digit percentage that we will pay the Licensor applicable to any fees or payments paid to us by any Sublicensee (as defined in the Georgia Tech License Agreement) of the Licensed Patents and/or Licensed Technology (each as defined in the Georgia Tech License Agreement), on or after July 1, 2023, excluding (i) amounts paid to us by a Sublicensee to reimburse us for certain research and development costs pursuant to a written agreement between us and such Sublicensee, (ii) the value of intellectual property transferred or granted to us if necessary or helpful to the development or commercialization of Licensed Products (as defined in the License Agreement) and (iii) amounts paid for shares of our stock. The payment to Licensor of any such Sublicense Percentage is due within 30 days of receipt by us of a qualifying payment from a Sublicensee, provided however, with respect to any qualifying payments received by us from a Sublicensee after July 1, 2023 but prior to January 1, 2025, the payment to Licensor of any such Sublicensee Percentage is due to Licensor by March 31, 2025.</w:t>
      </w:r>
    </w:p>
    <w:p>
      <w:pPr>
        <w:spacing w:after="0" w:line="188"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In addition, the parties agreed to a revised annual license maintenance fee due each year, or the Maintenance Fee, starting in 2023 through 2028, as follows: $250,000 for 2023 through 2025, $350,000 for 2026, $400,000 for 2027 and $500,000 for 2028. We paid the Maintenance Fee for 2023 in February 2024 and the Maintenance Fee for 2024 in October 2024. The remaining annual Maintenance Fee payments are due on October 1st of each year.</w:t>
      </w:r>
    </w:p>
    <w:p>
      <w:pPr>
        <w:spacing w:after="0" w:line="15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remaining terms of the Georgia Tech License Agreement, including the low single digit royalty rate paid to the Licensor by us on sales of Licensed Products, were unchanged by the Amendment.</w:t>
      </w:r>
    </w:p>
    <w:p>
      <w:pPr>
        <w:spacing w:after="0" w:line="16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are solely responsible for the development and commercialization of products related to the licensed patients. We are obligated to provide Emory and GTRC a written report detailing our activities related to the development and commercialization of products twice a year.</w:t>
      </w:r>
    </w:p>
    <w:p>
      <w:pPr>
        <w:spacing w:after="0" w:line="162" w:lineRule="exact"/>
        <w:rPr>
          <w:sz w:val="20"/>
          <w:szCs w:val="20"/>
          <w:color w:val="auto"/>
        </w:rPr>
      </w:pPr>
    </w:p>
    <w:p>
      <w:pPr>
        <w:ind w:right="180" w:firstLine="509"/>
        <w:spacing w:after="0" w:line="263" w:lineRule="auto"/>
        <w:rPr>
          <w:sz w:val="20"/>
          <w:szCs w:val="20"/>
          <w:color w:val="auto"/>
        </w:rPr>
      </w:pPr>
      <w:r>
        <w:rPr>
          <w:rFonts w:ascii="Times New Roman" w:cs="Times New Roman" w:eastAsia="Times New Roman" w:hAnsi="Times New Roman"/>
          <w:sz w:val="18"/>
          <w:szCs w:val="18"/>
          <w:color w:val="auto"/>
        </w:rPr>
        <w:t>Royalties are calculated based on net sales of products covered by a patent licensed under the agreement and are due on each such product sold as long as the patent covering that particular product is valid and unexpired. Unless otherwise terminated pursuant to its termination provisions, the Georgia Tech License Agreement will expire upon the expiration of the last to expire of the licensed patents. We have the right to terminate the Georgia Tech License Agreement at any time upon 60 days’ written notice to Emory and GTRC. Emory and GTRC may also terminate the Georgia Tech License Agreement in the event of a material breach by us. The Georgia Tech License Agreement will immediately terminate if we challenge the validity or enforceability of any of the licensed patents in a court or other governmental agency of competent jurisdiction.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 trade secrets and know-how</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trademark portfolio currently consists of two registered trademarks in Australia and Korea, one registered trademark in Russia, two registered trademarks in Singapore, six registered trademarks in Brazil, six registered and one pending application in Canada, six registered trademarks, and two pending trademarks in China, six registered trademarks in the European Union, two registered trademarks in each of India and New Zealand, one registered trademarks in Japan, three registered and one pending applications in Israel, nine registered trademarks, five registered and two pending applications in South Africa, six registered trademarks and four pending applications in the United States and six registered trademarks in the United Kingdom. We also have three international registrations: the first with registered protection in the European Union, India, Japan, New Zealand, Korea and Singapore; the second with registered protection in Australia, China, European Union, India, Israel, Japan, Korea, New Zealand,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Russia, and Singapore; and the third with registered protection in Australia, Brazil, Japan and pending extension in Canada, and Mexico.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In the United States, the FDA regulates drug and device products under the Food, Drug and Cosmetic Act, or FDCA, and its implementing regulations. This includes combination products where a drug and a device are used together.</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the case of our product candidates, the primary mode of action is attributable to the drug component of the product, which means that the FDA’s Center for Drug Evaluation and Research, has primary jurisdiction over the premarket development, review and approval of our product candidates.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Drugs</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clinical testing, manufacturing, labeling, storage, distribution, record keeping, advertising, promotion, import, export and marketing, among other things, of our product candidates are governed by extensive regulation by governmental authorities in the United States and other countries. The FDA, under the FDCA, regulates pharmaceutical products in the United States. The steps required before a drug may be approved for marketing in the United States generally include:</w:t>
      </w:r>
    </w:p>
    <w:p>
      <w:pPr>
        <w:spacing w:after="0" w:line="72"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and animal tests conducted under good laboratory practice;</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IND application for human clinical testing, which must become effective before human clinical trials commence;</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product and conducted in accordance with Good Clinical Practices, or GCP;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acceptance, review and approval of the NDA, which might include an Advisory Committee review; and</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facilities at which the product is made to assess compliance with current Good Manufacturing Practices, or cGMPs.</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an unacceptable health risk.</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trials may be commenced.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FDA or an independent institutional review board, or IRB, may nevertheless initiate a clinical hold after the 30 days if, for example, significant health risks arise.</w:t>
      </w:r>
    </w:p>
    <w:p>
      <w:pPr>
        <w:spacing w:after="0" w:line="18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the United States, each clinical trial must be reviewed and approved by an IRB at each of the sites at which the trial will be conducted. The IRB will consider, among other things, ethical factors, the safety of human subjects and the possible liability of the institution.</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Clinical trials are typically conducted in three sequential phases prior to approval, but the phases may overlap. These phases generally include the following:</w:t>
      </w:r>
    </w:p>
    <w:p>
      <w:pPr>
        <w:spacing w:after="0" w:line="160"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Phase 1 clinical trials represent the initial introduction of a product candidate into human subjects, frequently healthy volunteers. In Phase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the product candidate is usually tested for safety, including adverse effects, dosage tolerance, absorption, distribution, metabolism, excretion and pharmacodynamics.</w:t>
      </w:r>
    </w:p>
    <w:p>
      <w:pPr>
        <w:spacing w:after="0" w:line="173" w:lineRule="exact"/>
        <w:rPr>
          <w:sz w:val="20"/>
          <w:szCs w:val="20"/>
          <w:color w:val="auto"/>
        </w:rPr>
      </w:pPr>
    </w:p>
    <w:p>
      <w:pPr>
        <w:ind w:right="5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Phase 2 clinical trials usually involve studies in a limited patient population to (1) evaluate the efficacy of the product candidate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indications, (2) determine dosage tolerance and optimal dosage and (3) identify possible adverse effects and safety risks.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If a product candidate is found to be potentially effective and to have an acceptable safety profile in Phase 2 clinical trials, the clinical 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will be expanded to Phase 3 clinical trials to further demonstrate clinical efficacy, optimal dosage and safety within an expanded patient population at geographically dispersed clinical trial sites.</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Phase 4 clinical trials may be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enforcement action or withdrawal of approval.</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results of preclinical studies and clinical trials, together with detailed information on the manufacture, composition and quality of the product, are submitted to the FDA in the form of an NDA, requesting approval to market the product. The application must be accompanied by a significant user fee payment, although waivers may be granted and exemptions apply in limited cases. The FDA has substantial discretion in the approval process and may refuse to accept any application or decide that the data is insufficient for approval and require additional preclinical, clinical or other studies.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of application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Once an NDA has been accepted for filing, which occurs, if at all, 60 days after submission, the FDA sets a user fee goal date that informs the applicant of the specific date by which the FDA intends to complete its review. This is typically 10 months from the date of submission for drugs that are not new molecular entities, such as our product candidates. The review process can be expedited if priority review is granted. In such a case, the FDA review period is only 6 months. Alternatively, the FDA review process can be extended by FDA requests for additional information or clarification. The FDA reviews NDAs to determine, among other things, whether the proposed product is safe and effective for its intended use, and whether the product is being manufactured in accordance with cGMPs to assure and preserve the product’s identity, strength, quality and purity. Before approving an NDA, the FDA may inspect the facilities at which the product is manufactured and will not approve the product unless the manufacturing facility complies with cGMPs and may also inspect clinical trial sites for integrity of the data supporting safety and efficacy. The device component of our products will also be subject to review as part of the NDA review process and its manufacturers subject to inspection for compliance with device cGMPs embodied in the Quality System Regulation, or QSR. During the approval process, the FDA also will determine whether a risk evaluation and mitigation strategy, or REMS, is necessary to assure the safe use of the product. If the FDA concludes a REMS is needed, the sponsor of the application must submit a proposed REMS, and the FDA will not approve the application without an approved REMS, if required. A REMS can substantially increase the costs of obtaining approval. The FDA could also require a special warning, known as a boxed warning, to be included in the product label in order to highlight a particular safety risk.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 The FDA will issue either an approval of the NDA or a complete response letter, or CRL, detailing the deficiencies and information required for reconsideration of the application.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Approved drugs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There also are continuing, annual program user fee requirements for approved products, as well as new application fees for certain supplemental applications.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 The FDA may also require a REMS, which could involve requirements for, among other things, a medication guide, special training for prescribers and dispensers, and patient registries.</w:t>
      </w:r>
    </w:p>
    <w:p>
      <w:pPr>
        <w:spacing w:after="0" w:line="18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addition, entities involved in the manufacture and distribution of approved devices or drugs are required to register their establishments with the FDA and state agencies, and are subject to periodic unannounced inspections by the FDA and these state agencies for compliance with cGMP requirements. The FDA has promulgated specific requirements for drug cGMPs, device cGMPs embodied in the QSR and combination product cGMPs that, for drug/device combination products, specify the requirements within the drug cGMPs and the QSR with which manufacturers must comply.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2" w:name="page23"/>
    <w:bookmarkEnd w:id="22"/>
    <w:p>
      <w:pPr>
        <w:ind w:right="260"/>
        <w:spacing w:after="0" w:line="282" w:lineRule="auto"/>
        <w:rPr>
          <w:sz w:val="20"/>
          <w:szCs w:val="20"/>
          <w:color w:val="auto"/>
        </w:rPr>
      </w:pPr>
      <w:r>
        <w:rPr>
          <w:rFonts w:ascii="Times New Roman" w:cs="Times New Roman" w:eastAsia="Times New Roman" w:hAnsi="Times New Roman"/>
          <w:sz w:val="18"/>
          <w:szCs w:val="18"/>
          <w:color w:val="auto"/>
        </w:rPr>
        <w:t>manufacturers that the sponsor may decide to use. Accordingly, manufacturers must continue to expend time, money and effort in the area of production and quality control to maintain cGMP compliance.</w:t>
      </w:r>
    </w:p>
    <w:p>
      <w:pPr>
        <w:spacing w:after="0" w:line="16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However, companies may share truthful and not misleading information that is otherwise consistent with the product’s FDA approved labeling. The FDA and other agencies actively enforce the laws and regulations prohibiting the promotion of off-label uses, including without limitation the FDCA, the federal civil False Claims Act, other federal and state health care fraud and abuse laws and state consumer protection laws. A company that is found to have improperly promoted off-label uses may be subject to significant liability, including investigation by federal and state authorities.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amendments</w:t>
      </w:r>
    </w:p>
    <w:p>
      <w:pPr>
        <w:spacing w:after="0" w:line="121" w:lineRule="exact"/>
        <w:rPr>
          <w:sz w:val="20"/>
          <w:szCs w:val="20"/>
          <w:color w:val="auto"/>
        </w:rPr>
      </w:pPr>
    </w:p>
    <w:p>
      <w:pPr>
        <w:jc w:val="both"/>
        <w:ind w:right="40" w:firstLine="509"/>
        <w:spacing w:after="0" w:line="254" w:lineRule="auto"/>
        <w:rPr>
          <w:sz w:val="20"/>
          <w:szCs w:val="20"/>
          <w:color w:val="auto"/>
        </w:rPr>
      </w:pPr>
      <w:r>
        <w:rPr>
          <w:rFonts w:ascii="Times New Roman" w:cs="Times New Roman" w:eastAsia="Times New Roman" w:hAnsi="Times New Roman"/>
          <w:sz w:val="18"/>
          <w:szCs w:val="18"/>
          <w:color w:val="auto"/>
        </w:rPr>
        <w:t>One of our regulatory strategies is to pursue development of our drugs as Section 505(b)(2) NDAs under the FDCA. 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type of application permits reliance for such approvals on literature or on an FDA finding of safety, effectiveness or both for an approved drug product. As such, under Section 505(b)(2), the FDA may rely, for approval of an NDA, on data not developed by the applicant. Therefore, if we can satisfy the conditions required for a Section 505(b)(2) NDA submission, it may eliminate the need for us to conduct some of the preclinical studies or clinical trials for the new product candidate that might otherwise have been required, although the review time is not shortened. As a condition for approval, the FDA may also require us to perform additional studies or measurements, including clinical trials, to support the change from the approved branded reference drug.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seeking approval for a drug through an NDA, including a 505(b)(2) NDA, applicants are required to list with the FDA certain patents whose claims cover the applicant’s product. Upon approval of an NDA, each of the patents listed in the application for the drug is then published in the FDA’s Approved Drug Products with Therapeutic Equivalence Evaluations, known as the Orange Book. Any applicant who files an Abbreviated New Drug Application, or ANDA, seeking approval of a generic equivalent version of a drug listed in the Orange Book or a 505(b)(2) NDA referencing a drug listed in the Orange Book must certify, for each patent listed in the Orange Book for the referenced drug,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The fourth certification described above is known as a paragraph IV certification. A notice of the paragraph IV certification must be provided to each owner of the patent that is the subject of the certification and to the holder of the approved NDA to which the ANDA</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or 505(b)(2) application refers. The applicant may also elect to submit a “section viii” statement certifying that its proposed label does not contain (or carves out) any language regarding the patented method-of-use rather than certify to a listed method-of-use patent. This section viii statement does not require notice to the patent holder or NDA owner. There might also be no relevant patent certification.</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the reference NDA holder and patent owners file patent litigation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case that is favorable to the applicant. Even if the 45 days expire, a patent infringement lawsuit can be brought and could delay market entry, but it would not extend the FDA-related 30-month stay of approval.</w:t>
      </w:r>
    </w:p>
    <w:p>
      <w:pPr>
        <w:spacing w:after="0" w:line="1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ANDA or 505(b)(2) application also will not be approved until any applicable non-patent exclusivity listed in the Orange Book for the branded reference drug has expired as described in further detail below.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Non-patent exclusivity</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to patent exclusivity, the holder of the NDA for the listed drug may be entitled to a period of non-patent exclusivity, during which the FDA cannot approve an ANDA or 505(b)(2) application that relies on the listed drug.</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 drug, including one approved under a 505(b)(2) application, may obtain a three-year period of non-patent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Should this occur, the FDA would be precluded from approving any ANDA or 505(b)(2) application until after that three-year exclusivity period has run. However, the FDA can accept an application and begin the review process during the three-year exclusivity period. A 505(b)(2) NDA may also be subject to a five-year exclusivity period for a new chemical entity, whereby the FDA will not accept for filing, with limited exception, a product seeking to rely upon the FDA’s findings of safety or effectiveness for such new chemical entity.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affecting fewer than 200,000 individuals in the United States, or in other limited cases. Orphan drug designation does not convey any advantage in or shorten the duration of the regulatory review and approval process, though companies developing orphan drugs are eligible for certain incentives, including tax credits for qualified clinical testing. In addition, an NDA for a product that has received orphan drug designation is not subject to a prescription drug user fee unless the application includes an indication other than the rare disease or condition for which the drug was designated.</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Competitors, however, may receive approval of different active moieties for the same indication or obtain approval for the same active moiety for a different indication. In addition, doctors may prescribe products for off-label uses and undermine our exclusivity. Orphan drug exclusivity could block the approval of one of our products for seven years if a competitor obtains approval for the same active moiety for the same indication before we do, unless we are able to demonstrate that our product is clinically superior.</w:t>
      </w:r>
    </w:p>
    <w:p>
      <w:pPr>
        <w:spacing w:after="0" w:line="18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may seek orphan drug designation for products in the future. We cannot guarantee that we will obtain orphan drug designation for any products in any jurisdiction. Even if we are able to obtain orphan drug designation for a product, we cannot be sure that such product will be approved, that we will be able to obtain orphan drug exclusivity upon approval, if ever, or that we will be able to maintain any exclusivity that is granted.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right="20"/>
        <w:spacing w:after="0" w:line="266" w:lineRule="auto"/>
        <w:rPr>
          <w:sz w:val="20"/>
          <w:szCs w:val="20"/>
          <w:color w:val="auto"/>
        </w:rPr>
      </w:pPr>
      <w:r>
        <w:rPr>
          <w:rFonts w:ascii="Times New Roman" w:cs="Times New Roman" w:eastAsia="Times New Roman" w:hAnsi="Times New Roman"/>
          <w:sz w:val="18"/>
          <w:szCs w:val="18"/>
          <w:color w:val="auto"/>
        </w:rPr>
        <w:t>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fraud and abuse, data privacy and security and transparency laws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and promotion of drugs and devices, other federal and state laws restrict our business practices. These laws include, without limitation, anti-kickback and false claims laws, data privacy and security laws, as well as transparency laws regarding payments or other items of value provided to healthcare providers.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any remuneration (including any kickback, bribe or rebate),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Therefore, even if we structure our programs with the intent of compliance with such laws, there can be no certainty that we would not need to defend ourselves against enforcement or litigation due to the fact that there is significant enforcement interest in life sciences companies in the United States and some of the applicable laws are broad in scope.</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Additionally, the intent standard under the federal Anti-Kickback Statute was amended by the Patient Protection and Affordable Care Act,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The federal civil False Claims Act also applies to false submissions that cause the government to be paid less than the amount to which it is entitled, such as a rebate. Intent to deceive is not required to establish liability under the federal civil False Claims Act. Pharmaceutical, device and other healthcare companies have been prosecuted under these laws for, among other things, allegedly providing free product to customers with the expectation that the customers would bill federal programs for the product. Companies have been prosecuted for causing false claims to be submitted because of the companies’ marketing of products for unapproved, and thus non-covered, uses.</w:t>
      </w:r>
    </w:p>
    <w:p>
      <w:pPr>
        <w:spacing w:after="0" w:line="19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government may further prosecute conduct constituting a false claim under the federal criminal False Claims Act. The federal criminal False Claims Act prohibits the making or presenting of a claim to the government knowing such claim to be false, fictitious, or fraudulent and, unlike the federal civil False Claims Act, requires proof of intent to submit a false claim.</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additional federal criminal and civil statutes that prohibit, among other things,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Also, many states have similar fraud and abuse statutes or regulations that may be broader in scope and may apply regardless of payor, in addition to items and services reimbursed under Medicaid and other state programs.</w:t>
      </w:r>
    </w:p>
    <w:p>
      <w:pPr>
        <w:spacing w:after="0" w:line="16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Under HIPAA, the U.S. Department of Health and Human Services, or HHS, has issued regulations to protect the privacy and security of protected health information used or disclosed by covered entities including certain health care providers, health plans, and healthcare clearinghouses. HIPAA also regulates standardization of data content, codes and formats used in health care transactions and standardization of identifiers for health plans and providers. HIPAA, as amended by the Health Information Technology for Economic and Clinical Health Act of 2009, or HITECH and their regulations, including the omnibus final rule published on January 25, 2013, also imposes certain obligations on the business associates of covered entities that obtain protected health information in providing services to or on behalf of covered entities and their subcontractors that use, disclose, access, or otherwise process protected health information. In addition to federal privacy regulations, there are a number of state laws governing confidentiality and security of health information that are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(along with private plaintiffs) have brought civil actions seeking injunctions and damages resulting from alleged violations of HIPAA’s privacy and security rules. New laws and regulations governing privacy and security may be adopted in the future as well.</w:t>
      </w:r>
    </w:p>
    <w:p>
      <w:pPr>
        <w:spacing w:after="0" w:line="19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or EU GDPR, and the United Kingdom’s GDPR, or UK GDPR,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In Canada, the Personal Information Protection and Electronic Documents Act and various related provincial laws, as well as Canada’s Anti-Spam Legislation, may, in the future, apply to our operations.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California has enacted legislation that has been dubbed the first “GDPR-like” law in the United States. Known as the California Consumer Privacy Act, or CCPA, it applies to personal information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California Privacy Rights Act of 2020, or CPRA, expands the CCPA’s requirements, including by adding a new right for individuals to correct their personal information and establishing a new regulatory agency to implement and enforce the law. Other states, such as Virginia, Colorado, Utah, and Connecticut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the third parties upon whom we rely.</w:t>
      </w:r>
    </w:p>
    <w:p>
      <w:pPr>
        <w:spacing w:after="0" w:line="200" w:lineRule="exact"/>
        <w:rPr>
          <w:sz w:val="20"/>
          <w:szCs w:val="20"/>
          <w:color w:val="auto"/>
        </w:rPr>
      </w:pPr>
    </w:p>
    <w:p>
      <w:pPr>
        <w:spacing w:after="0" w:line="2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the GDPR, CCPA, CPRA, and other state and Federal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Additionally, a trend has continued of increased federal and state regulation of payments and transfers of value provided to healthcare professionals and/or entities. On February 8, 2013, the Centers for Medicare &amp; Medicaid Services, or CMS, released its final rule implementing the Physician Payments Sunshine Act that imposes annual reporting requirements on certain manufacturers of drugs, devices, biologicals and medical supplies for payments and other transfers of value provided by them, directly or indirectly, to physicians (defined to include doctors, dentists, optometrists, podiatrists, and chiropractors), other healthcare professionals (such as physicians assistants and nurse practitioners), and teaching hospitals, as well as ownership and investment interests held by physicians and their family members. Certain states also mandate implementation of commercial compliance programs, impose restrictions on pharmaceutical manufacturer and device manufacturer marketing practices, require registration of pharmaceutical sales representatives, require drug manufacturers to report information on the pricing of certain drugs, or require tracking and reporting of gifts, compensation and other remuneration to particular types of healthcare professionals and entities.</w:t>
      </w:r>
    </w:p>
    <w:p>
      <w:pPr>
        <w:spacing w:after="0" w:line="18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laws. The heightening compliance environment and the need to build and maintain robust and expandable systems to comply with different compliance and/or reporting requirements in multiple jurisdictions could increase the possibility that a healthcare company may fail to comply fully with one or more of these requirements. If our operations are found to be in violation of any of the health care laws or regulations described above that are applicable to us, or any other laws that apply to us, we may be subject to penalties, including potentially significant criminal, civil and administrative penalties, damages, fines, disgorgement, individual imprisonment, exclusion from participation in government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 candidates, once approved,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physicians who use XIPERE and our other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third-party payors, including private insurers and government-funded programs, like Medicare, and Medicare administrative contractors. In November 2023, AMA assigned XIPERE the Category 1 CPT code 67516. We believe the Category 1 code may facilitate better access and adoption of XIPERE and the suprachoroidal injection method.</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strategy will include efforts to engage third-party payors to establish coverage, coding and reimbursement that will facilitate access to XIPERE and our product candidates and the SCS injection procedure as we expand our commercialization efforts in the United States. Our success in these efforts depends in part on the extent to which third-party payors provide coverage and establish adequate reimbursement levels for the procedures during which XIPERE and our product candidates are administered and for the drugs themselves. Failure by physicians, hospitals, ambulatory surgery centers and other users of our products to obtain sufficient coverage and adequate reimbursement from third-party payors for the procedures to administer XIPERE and our product candidates or for XIPERE and the product candidates themselves, or adverse changes in third-party payors’ policies would have a material adverse effect on our business, financial condition, results of operations and future growth prospects.</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the U.S., third-party payors continue to implement initiatives that restrict the use of certain technologies to those that meet certain clinical evidentiary requirements. Coverage policies and third-party payor reimbursement rates may change. Thus, even if favorable coverage and reimbursement status is attained, less favorable coverage policies and reimbursement rates may be implemented in the future. Failure to obtain favorable coverage policies could have a material adverse effect on our business and operations.</w:t>
      </w:r>
    </w:p>
    <w:p>
      <w:pPr>
        <w:spacing w:after="0" w:line="180"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addition to uncertainties surrounding coverage policies, third-party payors from time to time update reimbursement amounts and also revise the methodologies used to determine reimbursement amounts. This includes annual updates to payments to ambulatory surgery centers, hospitals and physicians for the procedures performed administering our products, which could directly impact the demand for XIPERE and any of our product candidates that may be approved.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spacing w:after="0" w:line="254" w:lineRule="auto"/>
        <w:rPr>
          <w:sz w:val="20"/>
          <w:szCs w:val="20"/>
          <w:color w:val="auto"/>
        </w:rPr>
      </w:pPr>
      <w:r>
        <w:rPr>
          <w:rFonts w:ascii="Times New Roman" w:cs="Times New Roman" w:eastAsia="Times New Roman" w:hAnsi="Times New Roman"/>
          <w:sz w:val="18"/>
          <w:szCs w:val="18"/>
          <w:color w:val="auto"/>
        </w:rPr>
        <w:t>Medicare Access and CHIP Reauthorization Act of 2015, or MACRA, ended the use of the statutory formula and established a quality payment program, also referred to as the Quality Payment Program. The quality payment program has two tracks, one known as the merit-based incentive payment system for providers in the fee-for service Medicare program, and the advanced alternative payment model for providers in specific care models, such as accountable care organizations. Under both Advanced Alternative Payment Models, or APMs, and Merit-based Incentive Payment System, or MIPS, performance data collected each performance year will affect Medicare payments in later years, including potentially reducing payments. In addition, beginning on January 1, 2023, certain manufacturers were required to pay quarterly refunds to CMS for discarded amounts of single-dose container and single-use package drugs covered under Medicare Part B. Refunds will be based on the discarded volume above 10% of the total allowed amount, except in unique circumstances as determined by CMS. Any changes in coverage and reimbursement that further restricts coverage of our products or lowers reimbursement for procedures using our products could materially affect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Current and future legislative proposals to further reform healthcare or reduce healthcare costs may result in lower reimbursement for our products, or for the procedures associated with the use of our products, or limit coverage of our products. The cost containment measures that third-party payors and providers are instituting and the effect of any healthcare reform initiative implemented in the future could significantly reduce our revenues from the sale of our products.</w:t>
      </w:r>
    </w:p>
    <w:p>
      <w:pPr>
        <w:spacing w:after="0" w:line="180"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For example, implementation of the Affordable Care Act has the potential to substantially change healthcare financing and delivery by both governmental and private insurers, and significantly impact the pharmaceutical and medical device industries.</w:t>
      </w:r>
    </w:p>
    <w:p>
      <w:pPr>
        <w:spacing w:after="0" w:line="162"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There have been judicial and Congressional challenges and amendments to certain aspects of the Affordable Care Act. For example, on August 16, 2022, the Inflation Reduction Act of 2022, or IRA, was signed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unclear any additional healthcare reform measures of the second Trump administration will impact the Affordable Care Act and our business.</w:t>
      </w:r>
    </w:p>
    <w:p>
      <w:pPr>
        <w:spacing w:after="0" w:line="183"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Affordable Care Act was enacted. On August 2,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on April 1, 2013 and, due to subsequent amendments, will remain in effect until 2032.</w:t>
      </w:r>
    </w:p>
    <w:p>
      <w:pPr>
        <w:spacing w:after="0" w:line="16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For example. the IRA, among other things, (i) directs HHS to negotiate the price of certain high-expenditure, single-source drugs that have been on the market for at least seven years covered under Medicare, and subject drug manufacturers to civil monetary penalties and a potential excise tax by offering a price that is not equal to or less than the negotiated “maximum fair price” for such drugs and biologics under the law (the “Medicare Drug Price Negotiation Program”),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take effect progressively in fiscal year 2023. On August 15, 2024, HHS announced the agreed-upon price of the first ten drugs that were subject to price negotiation, although the Medicare Drug Price Negotiation Program is currently subject to legal challenges. On January 17, 2025, HHS selected fifteen additional drugs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there may be additional health reform measures, particularly in light of recent U.S. Presidential and Congressional elections.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strive to recruit people who share our vision to develop technology that provides a ground-breaking impact to medicine and superior care to patients. We are proud of what we do and believe we create an excellent working environment that is empowering with meaningful compensation, benefits and wellness programs that continue to facilitate the attraction, retention and motivation of talented employees.</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had 32 employees, all of whom were full-time and were located in the United States. None of our employees are represented by a labor union or covered by a collective bargaining agreement. We consider our relationship with our employees to be good.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May 2011. Our principal executive offices are located at 900 North Point Parkway, Suite 200, Alpharetta, Georgia 30005. Our telephone number is (678) 270-3631.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internet website address is www.clearsidebio.com.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62"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www.sec.gov.</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40" w:firstLine="469"/>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general economic and business risks and the other information in this Annual Report on Form 10-K.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5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incurred a net loss of $34.4 million and $32.5 million, respectively, in 2024 and 2023. We expect to incur significant expenses and operating losses over the next several years. Our financial results may fluctuate significantly from quarter to quarter and year to year.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research and development, including preclinical studies and clinical trials.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as we:</w:t>
      </w:r>
    </w:p>
    <w:p>
      <w:pPr>
        <w:spacing w:after="0" w:line="99"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and complete our ongoing and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research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additional partnerships for the development and commercialization of our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and scientific personnel.</w:t>
      </w:r>
    </w:p>
    <w:p>
      <w:pPr>
        <w:spacing w:after="0" w:line="22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drugs that can generate significant revenue once commercialized. This will require us to be successful in a range of challenging activities, including completing preclinical testing and clinical trials of our product candidates, manufacturing, obtaining regulatory approval and potentially entering into agreements for the commercialization of any products for which we may obtain regulatory approval, as well as discovering and developing additional product candidates. We are only in the preliminary stages of most of these activities. We may never succeed in these activities and, even if we do, may never generate sufficient revenue to achieve profitability.</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 A decline in our value could also cause you to lose all or part of your investment.</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meet our financial obligations and to pursue our business objectives. If we are unable to raise capital when needed, we could be forced to delay, reduce or altogether cease our drug development programs or commercialization efforts.</w:t>
      </w:r>
    </w:p>
    <w:p>
      <w:pPr>
        <w:spacing w:after="0" w:line="5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enable us to fund our operating expenses and capital expenditure requirements into the fourth quarter of 2025. However, we will need to obtain substantial additional funding in connection with our continuing operations beyond the fourth quarter of 2025, including additional funding to initiate the Phase 3 trials of CLS-AX. Our future capital requirements will depend on many factors, including:</w:t>
      </w:r>
    </w:p>
    <w:p>
      <w:pPr>
        <w:spacing w:after="0" w:line="72"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ongoing, planned and future clinical trial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 and intend to commercialize ourselves;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pursuant to our license and collaboration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any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sz w:val="20"/>
          <w:szCs w:val="20"/>
          <w:color w:val="auto"/>
        </w:rPr>
      </w:pPr>
    </w:p>
    <w:p>
      <w:pPr>
        <w:ind w:right="40" w:firstLine="469"/>
        <w:spacing w:after="0" w:line="255"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of our product candidates and achieve product sales. In addition, XIPERE and our other product candidates, if approved, may not achieve commercial success.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29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to fund our operations, we expect to finance our cash needs through a combination of equity offerings, debt financings and potential collaboration, license and development agreements. For example, in February 2024, we completed a registered direct offering of 11,111,111 shares of common stock and accompanying warrants to purchase 11,111,111 shares of common stock for gross proceeds of approximately $15.0 million, before deducting placement agent fees and estimated offering expenses. We do not currently have any committed external source of funds, although as described in this report we have also entered into an at-the-market sales facility that allows us to sell shares of our common stock at prevailing market prices and on specified terms,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4" w:lineRule="exact"/>
        <w:rPr>
          <w:sz w:val="20"/>
          <w:szCs w:val="20"/>
          <w:color w:val="auto"/>
        </w:rPr>
      </w:pPr>
    </w:p>
    <w:p>
      <w:pPr>
        <w:ind w:right="20" w:firstLine="469"/>
        <w:spacing w:after="0" w:line="254"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grant licenses on terms that may not be favorable to or relinquish valuable rights to our technologies, research programs, product candidates or future revenue streams. For example, we, through our wholly-owned subsidiary, sold our rights to receive certain royalty and milestone payments under the Arctic Vision License Agreement, Bausch License Agreement, the Aura License Agreement, the REGENXBIO Option and License Agreement and any out-license agreements for, or related to, XIPERE or our SCS Microinjector technology to be used in connection with compounds or products of any third parties in exchange for up to $65 million. If we are unable to raise additional funds through equity or debt financings when needed, we may be required to delay, limit, reduce or terminate our drug development efforts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have sufficient working capital to fund our planned operations for the next twelve months and substantial doubt exists as to our ability to continue as a going concern.</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historical financial statements have been prepared under the assumption that we will continue as a going concern. As of December 31, 2024, we had an accumulated deficit of $355.3 million and had cash and cash equivalents of $20.0 million. These conditions raise substantial doubt about our ability to continue as a going concern within one year after the date the financial statements are issued. Based on our current plans and forecasted expenses, we expect that our cash, cash equivalents and short-term investments as of the filing date, March 27, 2025, will enable us to fund our planned operating expenses and capital expenditure requirements into the fourth quarter of 2025. We have based this estimate on assumptions that may prove to be wrong, and we could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right="80"/>
        <w:spacing w:after="0" w:line="266" w:lineRule="auto"/>
        <w:rPr>
          <w:sz w:val="20"/>
          <w:szCs w:val="20"/>
          <w:color w:val="auto"/>
        </w:rPr>
      </w:pPr>
      <w:r>
        <w:rPr>
          <w:rFonts w:ascii="Times New Roman" w:cs="Times New Roman" w:eastAsia="Times New Roman" w:hAnsi="Times New Roman"/>
          <w:sz w:val="18"/>
          <w:szCs w:val="18"/>
          <w:color w:val="auto"/>
        </w:rPr>
        <w:t>exhaust our capital resources sooner than expected. Until we can generate sufficient revenue, if ever, to fund our operations, we will need to finance future cash needs through public or private equity offerings, license agreements, debt financings or restructurings, collaborations, strategic alliances and marketing or distribution arrangements.</w:t>
      </w:r>
    </w:p>
    <w:p>
      <w:pPr>
        <w:spacing w:after="0" w:line="6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perception of our ability to continue as a going concern may make it more difficult for us to obtain financing for the continuation of our operations and could result in the loss of confidence by investors and employees. Additional financing may not be available to us when needed or, if available, it may not be obtained on commercially reasonable terms. If we are not able to obtain the necessary additional financing on a timely or commercially reasonable basis, we will be forced to delay or scale down some or all of our development activities (or perhaps even cease the operation of our business). If we are unable to continue as a going concern, our stockholders may lose some or all of their investment in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agreements with HCR contain various covenants and other provisions, which, if violated, could materially adversely affect our financial condition.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August 2022, we, through Royalty Sub, entered into the Purchase and Sale Agreement with HCR pursuant to which we sold our rights to royalty and milestone payments due to us from XIPERE and certain license agreements related to our SCS Microinjector, or the Royalties, subject to a cap of 3.4 times the total purchase price paid by HCR under the Purchase and Sale Agreement. Under the terms of the Purchase and Sale Agreement, Royalty Sub received an initial payment of $32.5 million, less certain expenses.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Purchase and Sale Agreement, we entered into a Contribution and Servicing Agreement with Royalty Sub, pursuant to which we assigned the Arctic Vision License Agreement, Bausch License Agreement, Aura License Agreement, REGENXBIO Option and License Agreement, our license agreement with Emory University and The Georgia Tech Research Corporation and related intellectual property rights, or collectively the Contributed Assets, to Royalty Sub. The Contribution and Servicing Agreement contains various representations and warranties, covenants, indemnification obligations and other provisions related to the contribution of the Contributed Assets and our maintenance and servicing obligations with respect to the same.</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Purchase and Sale Agreement, we also entered into a Pledge and Security Agreement with HCR. The Pledge and Security Agreement contains various representations, warranties and covenants, and includes a limited recourse guaranty of Royalty Sub’s obligations under the Purchase and Sale Agreement which is secured by the pledge in favor of HCR all of the capital stock of Royalty Sub. HCR is entitled to foreclose on the capital stock of Royalty Sub following the occurrence of certain remedies events, including, without limitation, a bankruptcy of us, our failure of to perform our obligations under the Contribution and Servicing Agreement or in the event of a change of control of us, any failure to make the payment required under Section 2.3 of the Purchase and Sale Agreement within the time period required thereunder. Such foreclosure, if it were to occur, could have a material adverse effect on our financial condition as HCR, by virtue of owning Royalty Sub, would own the Royalties and the Contributed Assets.</w:t>
      </w:r>
    </w:p>
    <w:p>
      <w:pPr>
        <w:spacing w:after="0" w:line="185"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inflation, increases in interest rates, natural disasters, public health crises, political crises, geopolitical events, such as the conflicts in Ukraine and the Middle East, or other macroeconomic conditions.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In 2023, the Federal Reserve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hostilities in Russia, Ukraine and the Middle East have created extreme volatility in the global capital markets and is expected to have further global economic consequences, including disruptions of the global supply chain and energy markets. Any such volatility and disruptions may adversely affect our or our partners’ business. If the equity and credit markets deteriorate, including as a result of political unrest or war, it may make any necessary debt or equity financing more costly or more dilutive or more difficult to obtain in a timely manner or on favorable terms, if at all. Increased inflation rates can adversely affect us by increasing our costs, including clinical trials costs and labor and employee benefit costs.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efforts are focused on the development of product candidates for treatment of eye disease through suprachoroidal injection and partnering with companies who can leverage our SCS Microinjector to deliver their ophthalmic product candidates to the SCS. Suprachoroidal injection is a novel approach and may fail to achieve and sustain market acceptance.</w:t>
      </w:r>
    </w:p>
    <w:p>
      <w:pPr>
        <w:spacing w:after="0" w:line="6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Injecting drugs into the SCS is a novel approach for ophthalmic therapies, and there is no guarantee this approach will provide adequate patient benefit or be accepted by physicians, patients or third-party payors. We have also licensed our SCS Microinjector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technology to third parties to deliver their proprietary drug candidates into the SCS for the potential treatment of certain ocular indications.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Although the FDA approved XIPERE for suprachoroidal use for the treatment of macular edema associated with uveitis, we cannot guarantee that suprachoroidal injection of other drugs will prove in ongoing and future clinical trials to be a safe or effective approach for treating eye diseases in humans, nor can we ensure that such other drugs will achieve regulatory approval, even if the clinical trials are successful.</w:t>
      </w:r>
    </w:p>
    <w:p>
      <w:pPr>
        <w:spacing w:after="0" w:line="17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addition, the novelty of suprachoroidal injection may make it difficult to demonstrate to physicians and third-party payors that suprachoroidal injection of drugs is an appropriate approach for treating eye diseases and provides advantages compared to the current standards of care. Further, if we or our commercialization and collaboration partners are not successful in conveying to physicians, patients and third-party payors that the suprachoroidal administration of drugs with our proprietary SCS Microinjector provides useful patient outcomes, we or our commercialization and collaboration partners may experience reluctance, or refusal, on the part of physicians to order and use, and third-party payors to cover and provide adequate reimbursement for, such drugs. Additionally, in some cases, drugs delivered using our SCS Microinjector will complement the current standard of care, rather than serve as a replacement for the current standard of care. Therefore, we or our commercialization and collaboration partners may encounter significant difficulty in gaining broad market acceptance by physicians, third-party payors and potential patients.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licensing partners may require that we modify our SCS Microinjector to deliver their product candidates, and we may be unable to do so.</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currently partnering with companies who can leverage our SCS Microinjector to deliver their ophthalmic product candidates to the SCS. Our current and future licensing partners may request modifications to the design of our SCS Microinjector to accommodate the delivery of their respective product candidates. If we are unable to make such modifications, we may not receive regulatory and development milestone payments that we otherwise would be eligible to receive after we have satisfied our obligations under the Purchase and Sale Agreement, which could significantly harm our financial position.</w:t>
      </w:r>
    </w:p>
    <w:p>
      <w:pPr>
        <w:spacing w:after="0" w:line="179"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regulatory approval for, and commercialize either on our own or with a third party, CLS-AX or our other product candidates, or if we experience significant delays in doing so, our business may be harmed.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Given our experience with our clinical programs, the successful development of any of our product candidates is extremely uncertain, and we cannot guarantee that we will be successful in developing any of our product candidates. Further, the FDA may conclude that our clinical trials are not sufficient to support approval of our product candidates.</w:t>
      </w:r>
    </w:p>
    <w:p>
      <w:pPr>
        <w:spacing w:after="0" w:line="176"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invested substantially all of our efforts and financial resources in the development of our proprietary SCS Microinjector for suprachoroidal injection of drugs and the identification of potential drug candidates using that technology. Our ability to generate revenue from our product candidates will depend heavily on their successful development and eventual commercialization, either by us or third parties. The success of those product candidates will depend on several factors, including the following:</w:t>
      </w:r>
    </w:p>
    <w:p>
      <w:pPr>
        <w:spacing w:after="0" w:line="72"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requisite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preclinical studies and clinical trials in compliance with FDA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import sufficient quantity of product for trials or potential commercialization;</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approvals with labeling for sufficiently broad patient populations and indications, without unduly restrictive distribution limitations or safety warnings, such as black box warnings or a risk evaluation and mitigation strategy, or REMS, program;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trademark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training of physicians in the proper use of our SCS Microinjector;</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market our products for use with our SCS Microinjector without a requirement from the FDA that we obtain a separate medical device authorization;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1020" w:right="1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therapies and of the concept of suprachoroidal injection of drugs, if and when approved, by physicians, patients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with other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drugs and our SCS Microinjector following approval.</w:t>
      </w:r>
    </w:p>
    <w:p>
      <w:pPr>
        <w:spacing w:after="0" w:line="22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26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from our clinical trials that we announce or publish from time to time may change as more patient data become available, and such data are subject to audit and verification procedures that could result in material changes in the final data.</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publish data from our clinical trials. Data from clinical trials are subject to the risk that one or more of the clinical outcomes may materially change as patient enrollment continues and more patient data become available. Data also remain subject to audit and verification procedures that may result in the final data being materially different from the preliminary data we previously published. As a result, data should be viewed with caution until the final data are available. Adverse differences between preliminary or interim data and final data could significantly harm our prospects for obtaining regulatory approval of our product candidates.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product candidates.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key element of our strategy is to build a pipeline of product candidates for the treatment of a variety of diseases of the back of the eye via suprachoroidal injection and to progress these product candidates through developmental efforts. We may not be able to develop product candidates that are safe and effective. Even if we are successful in continuing to build our pipeline, the potential product candidates that we identify may not be suitable for clinical development, including as a result of being shown to have significant side effects or other characteristics that indicate that they are unlikely to receive marketing approval or achieve market acceptance. If we do not successfully develop product candidates based upon our approach, we will not be able to obtain product revenue in future periods, which could significantly harm our financial position and adversely affect our stock price.</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of our product candidates.</w:t>
      </w:r>
    </w:p>
    <w:p>
      <w:pPr>
        <w:spacing w:after="0" w:line="51"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The risk of failure for our product candidates is high. It is impossible to predict when or if CLS-AX or any of our product candidates will prove effective or safe in humans and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for our product candidates, including:</w:t>
      </w:r>
    </w:p>
    <w:p>
      <w:pPr>
        <w:spacing w:after="0" w:line="54" w:lineRule="exact"/>
        <w:rPr>
          <w:sz w:val="20"/>
          <w:szCs w:val="20"/>
          <w:color w:val="auto"/>
        </w:rPr>
      </w:pPr>
    </w:p>
    <w:p>
      <w:pPr>
        <w:ind w:left="1020" w:right="1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including failure to demonstrate statistical significance, and we may decide, or regulators may require us, to conduct additional clinical trials or abandon product development programs;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and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institutional review boards to suspend or terminate the trials.</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For example, our ODYSSEY trial was delayed due to the issuance by FDA of draft guidance, requiring us to reassess our original protocol design and we subsequently decided to amend the protocol to have aflibercept as the comparator drug.</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such as black box warnings or a REMS program;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drug development costs may also increase if we experience delays in testing or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or our potential collaborators’ ability to successfully commercialize our product candidates.</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cannot predict how successful we will be at enrolling patients in future clinical trials. In addition, if we are not successful at enrolling patients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patients who would otherwise be eligible for our clinical trials may instead enroll in clinical trials of our competitors. Patient enrollment is affected by other factors including:</w:t>
      </w:r>
    </w:p>
    <w:p>
      <w:pPr>
        <w:spacing w:after="0" w:line="81"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study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drugs approved to treat the diseases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or unacceptable side effects are identified during the development of our product candidates, we may need to abandon or limit our development of some of our product candidates.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our product candidates are associated with side effects in clinical trials or have characteristics that are unexpected, we may need to abandon their development or limit development to more narrow uses or subpopulations in which the side effects or other characteristics are less prevalent, less severe or more acceptable from a risk-benefit perspective. Many product candidates that initially showed promise in early-stage testing have later been found to cause side effects that prevented further development of the product candidate. In addition, in some cases, the FDA could issue a clinical hold to stop the study.</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granted an exclusive license to Bausch for the commercialization and development of XIPERE in the United States and Canada. After we have satisfied our obligations under the Purchase and Sale Agreement, if we are unable to maintain our partnership with Bausch, or if Bausch fails to successfully commercialize XIPERE, our business and prospects will be materially harmed.</w:t>
      </w:r>
    </w:p>
    <w:p>
      <w:pPr>
        <w:spacing w:after="0" w:line="67"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We have granted an exclusive license to Bausch for the commercialization and development of XIPERE in the United States and Canada. Pursuant to our agreement with Bausch, we are entitled to receive payments based on the achievement of specified sales and regulatory milestones and tiered royalties based on annual net sales of XIPERE. We will not retain these royalties and milestone payments until our obligations under the Purchase and Sale Agreement described above in “Business</w:t>
      </w:r>
      <w:r>
        <w:rPr>
          <w:rFonts w:ascii="Arial" w:cs="Arial" w:eastAsia="Arial" w:hAnsi="Arial"/>
          <w:sz w:val="18"/>
          <w:szCs w:val="18"/>
          <w:color w:val="202124"/>
        </w:rPr>
        <w:t>—</w:t>
      </w:r>
      <w:r>
        <w:rPr>
          <w:rFonts w:ascii="Times New Roman" w:cs="Times New Roman" w:eastAsia="Times New Roman" w:hAnsi="Times New Roman"/>
          <w:sz w:val="18"/>
          <w:szCs w:val="18"/>
          <w:color w:val="auto"/>
        </w:rPr>
        <w:t>Royalty Purchase and Sale Agreement” are satisfied. The successful or timely achievement of many of these milestones is outside of our control because the relevant activities will be conducted by Bausch or third parties engaged by Bausch, including manufacturers and suppliers. We expect to depend to a large degree on the payments from Bausch after we have satisfied our obligations under the Purchase and Sale Agreement as well as payments from future potential commercialization partners in order to fund our operations, and a failure to receive such payments may cause us to:</w:t>
      </w:r>
    </w:p>
    <w:p>
      <w:pPr>
        <w:spacing w:after="0" w:line="7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reduce or terminate certain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headcount;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raising of additional funds through equity or convertible debt financings that could be dilutive to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funds by entering into agreements that require us to assign rights to technologies or products that we would have otherwise retained;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arrangements that may be less favorable than those we would have obtained under different circumstances;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strategic transactions or engaging in a joint venture with a third party.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intend to continue to enter into, collaborations with third parties for the development and commercialization of XIPERE. In addition, we may seek commercialization partners for our product candidates. If those collaborations are not successful, we may not be able to capitalize on the market potential of XIPERE and our product candidates.</w:t>
      </w:r>
    </w:p>
    <w:p>
      <w:pPr>
        <w:spacing w:after="0" w:line="6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and intend to continue to enter into, agreements with third-party collaborators for the development and commercialization of XIPERE and our product candidates. Our likely collaborators for any collaboration arrangements include large and mid-size pharmaceutical companies, regional and national pharmaceutical companies and smaller biotechnology companies. Our ability to generate revenues from these arrangements will depend on our collaborators’ abilities to successfully perform the functions assigned to them in these arrangements.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XIPERE and our product candidates would pose the following risks to us:</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refuse to perform clinical trials or other obligations required for approval in a particular jurisdiction outside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regulatory submissions may be denied by the applicable regulatory authorities;</w:t>
      </w:r>
    </w:p>
    <w:p>
      <w:pPr>
        <w:spacing w:after="0" w:line="117"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on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for our product candidates, and those third parties may not perform satisfactorily, including failing to meet deadlines for the completion of such trials or failing to comply with applicable regulatory requirements.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engaged contract research organizations, or CROs, for our ongoing and planned clinical trials.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that would delay our drug development activities.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certain ongoing clinical trials and post the results of certain completed clinical trials on a government-sponsored database, ClinicalTrials.gov, within specified timeframes. Failure to do so by us or third parties can result in FDA refusal to approve applications based on the clinical data, enforcement actions, adverse publicity and civil and criminal sanctions.</w:t>
      </w:r>
    </w:p>
    <w:p>
      <w:pPr>
        <w:spacing w:after="0" w:line="19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or our potential collaborators’ efforts to, successfully commercialize our product candidates.</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the commercialization of our current or future product candidates.</w:t>
      </w:r>
    </w:p>
    <w:p>
      <w:pPr>
        <w:spacing w:after="0" w:line="18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or regulatory noncompliance on the part of our distributors could delay clinical development or marketing approval of our product candidates or commercialization of our products, producing additional losses and depriving us of potential product revenue.</w:t>
      </w:r>
    </w:p>
    <w:p>
      <w:pPr>
        <w:spacing w:after="0" w:line="28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do not have our own manufacturing capabilities and rely on third parties to produce clinical and commercial supplies of our current product candidates and our SCS Microinjector. This reliance on third parties increases the risk that we will not have sufficient quantities of our drug products and our SCS Microinjector, or such quantities at an acceptable cost, which could delay, prevent or impair our development or commercialization efforts.</w:t>
      </w:r>
    </w:p>
    <w:p>
      <w:pPr>
        <w:spacing w:after="0" w:line="72"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procure the active pharmaceutical ingredient of our product candidates on a purchase order basis from a third-party manufacturer, but we do not have a commercial supply agreement in place with that manufacturer. In addition, we have entered into a supply agreement with Gerresheimer, our SCS Microinjector supplier. Some of our current suppliers are based outside of the United States. In addition, some of the facilities of our third-party manufacturers have only undergone a limited number of FDA inspections or no inspections. We expect to continue to rely on third parties as we proceed with preclinical and clinical studies using our SCS Microinjector, as well as for commercial manufacture, for any of our product candidates that receive marketing approval. This reliance on third parties increases the risk that we will not have sufficient quantities of our drug products including our SCS Microinjector or such quantities at an acceptable cost or quality, which could delay, prevent or impair our ability to timely conduct our clinical trials or our other development or commercialization efforts. In addition, we may be unable to establish any agreements with third-party manufacturers or collaborators or to do so on acceptable terms.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Reliance on third-party manufacturers or collaborators entails additional risks, including:</w:t>
      </w:r>
    </w:p>
    <w:p>
      <w:pPr>
        <w:spacing w:after="0" w:line="225" w:lineRule="exact"/>
        <w:rPr>
          <w:sz w:val="20"/>
          <w:szCs w:val="20"/>
          <w:color w:val="auto"/>
        </w:rPr>
      </w:pPr>
    </w:p>
    <w:p>
      <w:pPr>
        <w:ind w:left="1340" w:hanging="380"/>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340" w:hanging="380"/>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8" w:name="page39"/>
    <w:bookmarkEnd w:id="38"/>
    <w:p>
      <w:pPr>
        <w:ind w:left="1340" w:hanging="380"/>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340" w:hanging="380"/>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120" w:firstLine="578"/>
        <w:spacing w:after="0" w:line="254" w:lineRule="auto"/>
        <w:rPr>
          <w:sz w:val="20"/>
          <w:szCs w:val="20"/>
          <w:color w:val="auto"/>
        </w:rPr>
      </w:pPr>
      <w:r>
        <w:rPr>
          <w:rFonts w:ascii="Times New Roman" w:cs="Times New Roman" w:eastAsia="Times New Roman" w:hAnsi="Times New Roman"/>
          <w:sz w:val="18"/>
          <w:szCs w:val="18"/>
          <w:color w:val="auto"/>
        </w:rPr>
        <w:t>Our product candidates, including our proprietary drug formulations packaged together with our SCS Microinjector, are subject to the drug regulations of the FDCA. Third-party manufacturers may not be able to comply with current Good Manufacturing Practices, or cGMP, regulations, regulations applicable to drug/device combination products, including applicable provisions of the FDA’s drug cGMP regulations, device cGMP requirements embodied in the Quality System Regulation, or QSR, or similar regulatory requirements outside the United States. Our failure, or the failure of our third-party manufacturers, to comply with applicable regulations could result in sanctions being imposed on us, including clinical holds, a refusal to file determination by the FDA, receipt of a CRL, fines, injunctions, civil penalties, delays, suspension or withdrawal of approvals, license revocation, seizures or recalls of product candidates, operating restrictions and criminal prosecutions, any of which could significantly affect our ability to achieve regulatory approval of our product candidates.</w:t>
      </w:r>
    </w:p>
    <w:p>
      <w:pPr>
        <w:spacing w:after="0" w:line="192"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Our product candidates that we may develop may compete with other drugs and devices for access to manufacturing facilities. There are a limited number of manufacturers that operate under the drug and device cGMP regulations applicable to our product candidates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or our SCS Microinjector. If our current contract manufacturers cannot perform as agreed, we may be required to replace such manufacturers. Although we believe that there are several potential alternative manufacturers who could manufacture our drugs and the components of our SCS Microinjector, we may incur added costs and delays in identifying and qualifying any such replacement. For example, the FDA could require supplemental data if a new supplier is relied upon for the supply of our products. Any interruption or delay in the supply of components and materials, or our inability to obtain components or materials from alternate sources at acceptable prices in a timely manner, could impair our ability to meet the demand of our customers and cause them to cancel orders.</w:t>
      </w:r>
    </w:p>
    <w:p>
      <w:pPr>
        <w:spacing w:after="0" w:line="188" w:lineRule="exact"/>
        <w:rPr>
          <w:sz w:val="20"/>
          <w:szCs w:val="20"/>
          <w:color w:val="auto"/>
        </w:rPr>
      </w:pPr>
    </w:p>
    <w:p>
      <w:pPr>
        <w:ind w:right="580" w:firstLine="578"/>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compromise our future profit margins and/or our commercialization partner's ability to commercialize any product candidates that receive marketing approval on a timely and competitive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additional collaborations, we may have to alter some of our future development and commercialization plans.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future development and potential commercialization of those product candidates.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distribution capabilities for our product candidates for which we do not out-license commercialization rights, we may not be successful in commercializing those product candidates, if and when they are approved.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a sales infrastructure. To achieve commercial success for any product candidate for which we may obtain marketing approval in the United States and have not licensed the commercialization rights to a third party, we will need to establish a sales organization. There are risks involved with establishing our own sales and distribution capabilities. For example, recruiting and training a sales force is expensive and time-consuming and could delay any product launch. If the commercial launch of a product candidate for which we recruit a sales force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drugs on our own include:</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an adequate number of physicians as to the benefits of our product candidates;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compared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and distribution capabilities and, instead, enter into arrangements with third parties to perform these services, our product revenues and our profitability, if any, are likely to be lower than if we were to sell and distribute any product candidates that we develop ourselves. In addition, we may not be successful in entering into arrangements with third parties to sell and distribute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distribution capabilities successfully, either on our own or in collaboration with third parties, we will not be successful in commercializing our product candidates.</w:t>
      </w:r>
    </w:p>
    <w:p>
      <w:pPr>
        <w:spacing w:after="0" w:line="29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XIPERE and any of our product candidates that receive marketing approval,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XIPERE and any of our product candidates that receive marketing approval may nonetheless fail to gain sufficient market acceptance by physicians, patients, third-party payors and others in the medical community. Suprachoroidal injection of drugs is a novel approach and physicians, patients or third-party payors may be hesitant to deviate from or change the current standard of care. If XIPERE or our product candidates do not achieve an adequate level of market acceptance, we may not generate significant product revenue and we may not become profitable. The degree of market acceptance of XIPERE and our product candidates, if approved for commercial sale,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drugs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healthcare community and patients to adopt new technologies and our novel approach of SCS injection of drugs;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uveitis and retina specialists to expend the time necessary to receive proper training on injecting drugs into the SCS using our SCS Microinjector;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products in sufficient quantities and yields;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provided by us or our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drugs together with other medications.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also are aware of companies that are developing suprachoroidal injectors which may compete with our SCS Microinjector.</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With respect to XIPERE, we face competition from other commercially available forms of TA and other injectable and implantable corticosteroids. Bristol-Myers Squibb markets TA under the brand name Kenalog, for which a number of generic equivalents are currently available. Kenalog is indicated only for intramuscular or intraarticular injection; however, it is commonly used off-label for intraocular inflammation using intravitreal and periocular administration. In addition, Harrow's (acquired by Alcon) injectable TA, Triesence, is approved in the United States for the treatment of uveitis and other ocular inflammatory conditions unresponsive to topical corticosteroids, although it is not specifically indicated for the treatment of macular edema associated with uveitis. Ozurdex, marketed by Allergan, is a bioerodable extended release implant that delivers the corticosteroid dexamethasone and is approved for the treatment of non-infectious uveitis affecting the posterior segment of the eye and for macular edema due to RVO in both the United States and in the European Union. Ozurdex is also approved in the United States for the treatment of DME. Retisert and Yutiq, both intravitreal implants of fluocinolone acetonide, are marketed by Bausch and Alimera, respectively, and are approved in the United Sates for the treatment of chronic non-infectious uveitis affecting the posterior segment of the eye. In addition, Oxular was developing OXU-001 which is dexamethasone delivered via the Oxulumis suprachoroidal device for the treatment of DME. Oxular was acquired by Regeneron in December 2024. It is possible physicians may use OXU-001 off label to treat macular edema associated with uveitis if further developed and ultimately approved.</w:t>
      </w:r>
    </w:p>
    <w:p>
      <w:pPr>
        <w:spacing w:after="0" w:line="19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CLS-AX faces competition with anti-VEGF drugs, the current standard of care for RVO and wet AMD, as well as other drug candidates in development for ocular use for the treatment of wet AMD, such as other TKIs. Axitinib, also known by its brand name Inlyta, is not currently approved for an ocular indication but is approved by the FDA and marketed by Pfizer for the treatment of advanced renal cell carcinoma. Genentech has several products which serve as competitors in this space, including anti-VEGF agents Lucentis, Avastin, and Susvimo. Lucentis is currently approved in the United States and European Union for the treatment of wet AMD, macular edema following RVO, and diabetic retinopathy in patients with DME. Avastin is an anti-VEGF drug routinely used off-label by uveitis and retina specialists in both the United States and in certain countries of the European Union for the treatment of numerous retinal diseases. Susvimo, an ocular implant that releases ranibizumab over time, received approval from the FDA in October 2021 for the treatment of wet AMD in patients who have previously responded to anti-VEGF therapy. Additionally, Genentech’s product, Vabysmo (faricimab-svoa), an intravitreal injection which blocks two disease pathways, including (Ang-2) and vascular endothelial growth factor-A (VEGF-A), received approval in January 2022 for the treatment of wet AMD and DME. In addition to Genentech’s products, Regeneron’s anti-VEGF product, Eylea 2 mg and 8 mg and Novartis’ product, Beovu, also present potential competition for CLS-AX in both the United States and Europe. Eylea is approved for the treatment of wet AMD, macular edema following RVO and diabetic retinopathy and DME in the United States and for the treatment of wet AMD, RVO and DME in the European Union. Novartis’ Beovu was approved in 2019 for the treatment of wet AMD in the United States and in 2020 in Europe.</w:t>
      </w:r>
    </w:p>
    <w:p>
      <w:pPr>
        <w:spacing w:after="0" w:line="18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Ocular drug candidates being investigated for treatment of wet AMD may also represent potential competition for CLS-AX. Ocular Therapeutics and Eyepoint are companies currently investigating TKIs for ocular use in late-stage clinical trials. We expect other established companies will seek to develop new products in the ocular space with the goal of superior efficacy and duration over the current standard of care.</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REGENXBIO, Adverum, and 4D Molecular Therapeutics are currently conducting mid to late-stage clinical trials with various ocular gene therapies for the treatment of wet AMD. These gene-based treatments could potentially compete with CLS-AX due to their potential to be long acting treatments.</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SCS Microinjector faces competition from other devices being developed to access ocular posterior tissues via the SCS. Everads Therapy and Uneedle both have developed competing products and are in various stages of early-stage clinical development.</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FDA or other regulatory approval for their product candidates more rapidly than we may obtain approval for ours, which could result in product approval delays if a competitor obtains market exclusivity from the FDA or our competitors establishing a strong market position before we or our collaborators are able to enter the market. In addition, our ability to compete may be affected in many cases by insurers or other third-party payors seeking to encourage the use of generic drugs. For some of the indications that we are pursuing, drugs used off-label, such as Kenalog and Avastin, serve as cheaper alternatives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1" w:name="page42"/>
    <w:bookmarkEnd w:id="41"/>
    <w:p>
      <w:pPr>
        <w:spacing w:after="0" w:line="266" w:lineRule="auto"/>
        <w:rPr>
          <w:sz w:val="20"/>
          <w:szCs w:val="20"/>
          <w:color w:val="auto"/>
        </w:rPr>
      </w:pPr>
      <w:r>
        <w:rPr>
          <w:rFonts w:ascii="Times New Roman" w:cs="Times New Roman" w:eastAsia="Times New Roman" w:hAnsi="Times New Roman"/>
          <w:sz w:val="18"/>
          <w:szCs w:val="18"/>
          <w:color w:val="auto"/>
        </w:rPr>
        <w:t>our product candidates. Their lower prices could result in significant pricing pressure, even if our product candidates are otherwise viewed as a preferable therapy. Additional drugs may become available on a generic basis over the coming years. If our product candidates achieve marketing approval, we expect that they will be priced at a significant premium over competitive generic drugs.</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XIPERE and our product candidates may be subject to unfavorable pricing regulations, third-party coverage and reimbursement policies or healthcare reform initiatives.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and our collaborators’ ability to commercialize XIPERE and any of our product candidates successfully will depend, in part, on the extent to which coverage and adequate reimbursement for XIPERE and our product candidates will be available from government payor programs at the federal and state levels, including Medicare and Medicaid, private health insurers, managed care plans and other third-party payors. Government authorities and other third-party payors, such as private health insurers and health maintenance organizations, decide which medical products they will pay for and establish reimbursement levels. Increasingly, third-party payors are requiring that drug companies provide them with predetermined discounts from list prices and are challenging the prices charged for drugs and products. Coverage and reimbursement may not be available and, even if these are available, the level of reimbursement may not be satisfactory. Inadequate reimbursement levels may adversely affect the demand for, or the price of, any product candidate for which we obtain marketing approval. Obtaining and maintaining coverage and adequate reimbursement for our drugs may be difficult. We or our collaborators may be required to conduct expensive pharmacoeconomic studies to justify coverage and reimbursement or the level of reimbursement compared to other therapies. If coverage and adequate reimbursement are not available or reimbursement is available only to limited levels, we or our collaborators may not be able to successfully commercialize XIPERE and any other product candidates for which marketing approval is obtained.</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By way of example, the Medicare Prescription Drug Improvement and Modernization Act of 2003, or MMA, changed the way Medicare covers and pays for pharmaceutical products. The legislation expanded Medicare coverage for outpatient drug purchases by those covered by Medicare under a new Part D program and introduced a new reimbursement methodology based on average sales prices for Medicare Part B physician-administered drugs, including drugs currently on the market used by physicians to treat the clinical indications for which we are currently seeking FDA approval and likely XIPERE and our other product candidates, if approved. As a result of this legislation and the expansion of federal coverage of drug products, there is additional pressure to contain and reduce costs.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 These cost reduction initiatives and other provisions of the MMA could decrease the coverage and reimbursement that we receive for any approved products and could seriously harm our business.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from time to time, typically on an annual basis, payment amounts are updated and revised by third-party payors. Because we expect that customers who use XIPERE and our other product candidates, if approved, will be separately reimbursed for the procedure administering our products, these updates could directly impact the demand for our products.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also referred to as the Sustainable Growth Rate,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Under both APMs and MIPS, performance data collected each performance year will affect Medicare payments in later years, including potentially reducing payments. Any reduction in reimbursement from Medicare or other government programs may result in a similar reduction in payments from private payors. We cannot predict how pending and future healthcare legislation will impact our business, and any changes in coverage and reimbursement that further restricts coverage of our products or lowers reimbursement for procedures using our products could materially affect our business.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drugs, if applicable, may also not be sufficient to cover our costs and may not be made permanent.</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believe that physicians who use XIPERE and our other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payors, including private insurers and government-funded programs, like Medicare, and Medicare administrative contractors. CPT code 0465T became effective on January 1, 2017. In November 2023, AMA assigned XIPERE the Category 1 CPT code 67516. We believe the Category 1 code may facilitate better access and adoption of XIPERE and the suprachoroidal injection method. Additionally, there is no guarantee that these billing codes or the payment amounts, if any, associated with such codes will be sufficient to successfully commercialize any approved product and, even if adequate payment amounts are obtained, they could change in the future.</w:t>
      </w:r>
    </w:p>
    <w:p>
      <w:pPr>
        <w:spacing w:after="0" w:line="18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Reimbursement rates may vary according to the use of the product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However, no uniform policy requirement for coverage and reimbursement for drug products exists among third-party payors in the United States.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Additionally, coverage policies and reimbursement rates may change at any time. Thus, even if favorable coverage and reimbursement status is attained, less favorable coverage policies and reimbursement rates may be implemented in the future. For example, beginning on January 1, 2023, certain manufacturers will be required to pay quarterly refunds to the Centers for Medicare &amp; Medicaid Services, or CMS for discarded amounts of single-dose container and single-use package drugs covered under Medicare Part B. Refunds will be based on the discarded volume above 10% of the total allowed amount, except in unique circumstances, as determined by CMS. Our or our collaborators’ inability to promptly obtain coverage and adequate reimbursement rates from both government-funded and private payors for any approved drugs that we develop could significantly harm our operating results, our ability to raise capital and our overall financial condition. Further, any changes in coverage and reimbursement that further restricts coverage of our products or lowers reimbursement for procedures using our products could materially affect our business.</w:t>
      </w:r>
    </w:p>
    <w:p>
      <w:pPr>
        <w:spacing w:after="0" w:line="19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revenues able to be generated from the sale of the product in that country. Adverse pricing limitations may hinder our ability to recoup our investment in XIPERE and one or more product candidates, even if our other product candidates obtain marketing approval.</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XIPERE and our other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our ability to sell XIPERE and our other product candidates profitably if they are approved for sale.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sale of XIPERE as well as the testing of our product candidates in human clinical trials. If we cannot successfully defend ourselves against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40" w:hanging="512"/>
        <w:spacing w:after="0"/>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inability to commercialize any drugs that we may develop.</w:t>
      </w:r>
    </w:p>
    <w:p>
      <w:pPr>
        <w:spacing w:after="0" w:line="22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if we or our collaborators commence commercialization of our product candidates. Insurance coverage is increasingly expensive. We may not be able to maintain insurance coverage at a reasonable cost or in an amount adequate to satisfy any liability that may arise.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the management, research and development, clinical, financial and business development expertise of our executive officers and senior management, as well as the other members of our scientific and clinical development teams. Our executive officers may terminate their employment with us at any time. We do not maintain “key person” insurance for any of our executives or employees.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will also be critical to our success. The loss of the services of our executive officers or other key employees could impede the achievement of our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and gain regulatory approval of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and product candidates, or if our licensors are unable to obtain and maintain patent protection for the technology or product candidates that we license from them, or if the scope of the patent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obtain and maintain patent protection in the United States and other countries with respect to our product candidates. We and our licensors seek to protect our proprietary position by filing patent applications in the United States and abroad related to our technology and product candidates.</w:t>
      </w:r>
    </w:p>
    <w:p>
      <w:pPr>
        <w:spacing w:after="0" w:line="17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4" w:name="page45"/>
    <w:bookmarkEnd w:id="44"/>
    <w:p>
      <w:pPr>
        <w:ind w:right="180"/>
        <w:spacing w:after="0" w:line="258" w:lineRule="auto"/>
        <w:rPr>
          <w:sz w:val="20"/>
          <w:szCs w:val="20"/>
          <w:color w:val="auto"/>
        </w:rPr>
      </w:pPr>
      <w:r>
        <w:rPr>
          <w:rFonts w:ascii="Times New Roman" w:cs="Times New Roman" w:eastAsia="Times New Roman" w:hAnsi="Times New Roman"/>
          <w:sz w:val="18"/>
          <w:szCs w:val="18"/>
          <w:color w:val="auto"/>
        </w:rPr>
        <w:t>aspects of our research and development output before it is too late to obtain patent protection or that we have published an invention prior to filing a relevant patent application. We may not have the right to control the preparation, filing and prosecution of patent applications, or to maintain the rights to patents licensed to third parties. For example, we do not control the prosecution of the patent applications licensed to us under the Emory/GT License described below. Therefore, these patents and applications may not be prosecuted and enforced in a manner consistent with the best interests of our business. If such licensors fail to maintain such patents, or lose rights to those patents, the rights we have licensed may be reduced or eliminated.</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redefine prior art and may also affect patent litigation. The U. S. Patent and Trademark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significantly harm our business and financial condition. In addition, patent reform legislation may pass in the future that could lead to additional uncertainties and increased costs surrounding the prosecution, enforcement and defense of our owned and licensed patents and patent applications.</w:t>
      </w:r>
    </w:p>
    <w:p>
      <w:pPr>
        <w:spacing w:after="0" w:line="19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Moreover, we may be subject to a third-party preissuance submission of prior art to the U.S. Patent and Trademark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and may not be of sufficient scope or strength to provide us with any commercial advantage. Our competitors may be able to design around our owned or licensed patents by developing similar or alternative technologies or drugs without infringing on our intellectual property rights.</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drugs, or limit the duration of the patent protection of our technology and drugs.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drugs similar or identical to ours, and our business will suffer.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2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 Patent and Trademark Office,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or PTA, for patents in families where related patents have issued without PTA. Thus, it cannot be said with certainty how PTA will or will not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was introduced in 2023, which significantly impacted European patents, including those granted before the introduction of such a system. Under the unitary patent system, European applications have the option, upon grant of a patent, of becoming a Unitary Patent which is subject to the jurisdiction of the Unitary Patent Court (UPC). As the UPC is a new court system, its body of case law remains limited, increasing the uncertainty of any litigation. Patents granted before the implementation of the UPC have the option of opting out of the jurisdiction of the UPC and remaining as national patents in the UPC countries. Patents that remain under the jurisdiction of the UPC are potentially vulnerable to a single UPC-based revocation challenge that, if successful, could invalidate the patent in all countries who are signatories to the UPC. We cannot predict with certainty the long-term effects of any potential changes.</w:t>
      </w:r>
    </w:p>
    <w:p>
      <w:pPr>
        <w:spacing w:after="0" w:line="29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Competitors may infringe our issued patents or other intellectual property.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 which would undermine our competitive position.</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significantly harm business.</w:t>
      </w:r>
    </w:p>
    <w:p>
      <w:pPr>
        <w:spacing w:after="0" w:line="5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many of which are protected by proprietary rights of third parties, and we are developing proprietary formulations of these therapeutic agents specifically for suprachoroidal injection using our proprietary SCS Microinjector. Although we seek to develop our proprietary drug formulations that don’t infringe the intellectual property rights of others, we may become party to, or threatened with, future adversarial proceedings or litigation regarding intellectual property rights with respect to our drugs or other aspects of our technology, including interference or derivation proceedings before the U.S. Patent and Trademark Office. Third parties may assert infringement claims against us based on existing patents or patents that may be granted in the future.</w:t>
      </w:r>
    </w:p>
    <w:p>
      <w:pPr>
        <w:spacing w:after="0" w:line="188"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6" w:name="page47"/>
    <w:bookmarkEnd w:id="46"/>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Competing products may be sold in countries in which our patent coverage might not exist or be as strong. If we lose a patent lawsuit alleging our infringement of a competitor’s patent, or if FDA approval is stayed pending the outcome of patent litigation, we could be prevented from marketing our products. As a result, our ability to grow our business and compete in the market may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9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intellectual property licenses with third parties, we could lose license rights that are important to our business.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 party to a license agreement with Emory University and Georgia Tech Research Corporation, or the Emory/GT License, and may enter into additional license agreements in the future. Our existing license agreement imposes, and we expect that future license agreements would impose, various diligence, milestone payment, royalty, insurance and other obligations on us. For example, under the Emory/GT License, we are required to use commercially reasonable efforts to develop and commercialize licensed products under the agreement and to satisfy other specified obligations, including the payment of license fees and minimum royalty payments. If we fail to comply with our obligations under our license agreements, our licensors may have the right to terminate these license agreements, in which event we might not be able to market any product that is covered by these agreements, or to convert the license to a non-exclusive license, which could impair the value of the product candidate being developed under the license agreement. Termination of these license agreements or reduction or elimination of our licensed rights may result in our having to negotiate new or reinstated licenses with less favorable terms. If our licensors under the Emory/GT License were to terminate their license agreement with us for any reason, we would lose access to critical technology related to our SCS Microinjector.</w:t>
      </w:r>
    </w:p>
    <w:p>
      <w:pPr>
        <w:spacing w:after="0" w:line="29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additional intellectual property from third parties, and such licenses may not be available or may not be available on commercially reasonable terms.</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 third party may hold intellectual property rights, including patent rights, that are important or necessary to the development of our product candidates. It may be necessary for us or our collaborators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cease development of one or more or our product candidates or accept unfavorable contractual terms. If we are unable to obtain such licenses on commercially reasonable terms, our business could be harmed.</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Although we try to ensure that our employees do not use the proprietary information or know-how of others in their work for us, we may be subject to claims that these employees or we have inadvertently or otherwise used or disclosed intellectual property, including trade secrets or other proprietary information, of any such employee’s former employer. We may also in the future be subject to claims that we have caused an employee to breach the terms of his or her non-competition or non-solicitation agreement. Litigation may be necessary to defend against these potential claims.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or our collaborators’ ability to commercialize our product candidates.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any of our product candidates that are approved for marketing from the products of our competitors. Other than the trade name XIPERE, we have not yet selected trademarks for our product candidates or begun the process of applying to register trademarks for our product candidates. Once we select trademarks and apply to register them, our trademark applications may not be approved. In addition, third parties may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have in-licensed may have been discovered through a government funded program and may be subject to certain federal regulations.</w:t>
      </w:r>
    </w:p>
    <w:p>
      <w:pPr>
        <w:spacing w:after="0" w:line="5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Some of the intellectual property rights we have licensed, including such rights licensed from Emory University and Georgia Tech Research Corporation,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may have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could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225"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we and our collaborators will not be able to commercialize our product candidates, and our ability to generate revenue will be materially impaired.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research, testing, manufacture, safety, efficacy, quality control, recordkeeping, labeling, packaging, storage, approval, advertising, promotion, sale, distribution, import, export, and reporting of safety and other post-market information, are subject to comprehensive regulation by the FDA and other regulatory agencies in the United States and by the European Medicines Agency, or EMA, and similar regulatory authorities outside the United States. Failure to obtain marketing approval for a product candidate will prevent us, or any collaborator to whom we grant rights, from commercializing the product candidate. We expect to rely on third-party CROs to assist us in preparing some or all aspects of the applications necessary to gain marketing approvals.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its approved use, which could limit sales of the product.</w:t>
      </w:r>
    </w:p>
    <w:p>
      <w:pPr>
        <w:spacing w:after="0" w:line="19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and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9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a product candidate satisfies the requirements for the Section 505(b)(2) regulatory approval pathway, or if the requirements under Section 505(b)(2) are not as we expect, the approval pathway for our product candidates in this pathway will likely take significantly longer, cost significantly more and entail significantly greater complications and risks than anticipated, and in either case may not be successful.</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believe that certain of our product candidates, including our proprietary drug formulations packaged together with our SCS Microinjector, will be regulated under the drug provisions of the FDCA, enabling us to submit NDAs for approval of our product candidates. The Drug Price Competition and Patent Term Restoration Act of 1984, also known as the Hatch-Waxman Amendments, added Section 505(b)(2) to the FDCA. Section 505(b)(2) permits the filing of an NDA where at least some of the information required for approval comes from studies not conducted by or for the applicant and for which the applicant has not obtained a right of reference.</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the FDA does not allow us to pursue the Section 505(b)(2) regulatory pathway for a product candidate as anticipated, we may need to conduct additional clinical trials, provide additional data and information and meet additional standards for regulatory approval. If this were to occur, the time and financial resources required to obtain FDA approval for our product candidates, and complications and risks associated with our product candidates, would likely substantially increase. We may need to obtain additional funding, which could result in significant dilution to the ownership interests of our then existing stockholders to the extent we issue equity securities or convertible debt. We cannot assure you that we would be able to obtain such additional financing on terms acceptable to us, if at all.</w:t>
      </w:r>
    </w:p>
    <w:p>
      <w:pPr>
        <w:spacing w:after="0" w:line="18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Moreover, inability to pursue the Section 505(b)(2) regulatory pathway could result in competitive products reaching the market before our product candidates, which could impact our competitive position and prospects. Even if we are allowed to pursue the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9" w:name="page50"/>
    <w:bookmarkEnd w:id="49"/>
    <w:p>
      <w:pPr>
        <w:spacing w:after="0" w:line="282" w:lineRule="auto"/>
        <w:rPr>
          <w:sz w:val="20"/>
          <w:szCs w:val="20"/>
          <w:color w:val="auto"/>
        </w:rPr>
      </w:pPr>
      <w:r>
        <w:rPr>
          <w:rFonts w:ascii="Times New Roman" w:cs="Times New Roman" w:eastAsia="Times New Roman" w:hAnsi="Times New Roman"/>
          <w:sz w:val="18"/>
          <w:szCs w:val="18"/>
          <w:color w:val="auto"/>
        </w:rPr>
        <w:t>Section 505(b)(2) regulatory pathway, we cannot assure you that our product candidates will receive the requisite approvals for commercialization, or that a competitor would not obtain approval first, including subsequent market exclusivity from the FDA, thereby delaying potential approval of our product.</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notwithstanding the approval of a number of products by the FDA under Section 505(b)(2) over the last few years, some pharmaceutical companies and others have objected to the FDA’s interpretation of Section 505(b)(2). If the FDA’s interpretation of Section 505(b)(2) is successfully challenged, the FDA may be required to change its Section 505(b)(2) policies and practices, which could delay or even prevent the FDA from approving any NDA that we submit under Section 505(b)(2).</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time may be required to obtain regulatory approval for our product candidates because of the complexity involved with co-packaging a drug-device combination product.</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product candidates require coordination within the FDA and similar foreign regulatory agencies for review of the drug along with the SCS Microinjector. Although the FDA and similar foreign regulatory agencies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 In addition, to date, the FDA has not requested a separate medical device authorization submission for our SCS Microinjector. However, the FDA may request a separate medical device authorization submission for our SCS Microinjector in the future, which could delay the development and commercialization of our product candidates. Additionally, other jurisdictions may have additional requirements for any drug and device combination, which may cause delays in product approval.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or requirements.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in order for us or our collaborators to commercialize our products in any market.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product candidates internationally could affect our business.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may seek regulatory approval for our product candidates outside of the United States and, accordingly, we expect that we will be subject to additional risks related to operating in foreign countries if we obtain the necessary approvals, including:</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40" w:hanging="512"/>
        <w:spacing w:after="0"/>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and other risks associated with our international operations may compromise our ability to achieve or maintain profitability.</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If any of our product candidates receives marketing approval, the accompanying label may limit its approved uses, which could limit sales of the product, or include a black box warning to highlight a specific health risk.</w:t>
      </w:r>
    </w:p>
    <w:p>
      <w:pPr>
        <w:spacing w:after="0" w:line="18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However, companies may share truthful and not misleading information that is otherwise consistent with the product’s FDA approved labeling. The FDA imposes stringent restrictions on manufacturers’ communications regarding off-label use and if we do not market our drugs for their approved indications, we may be subject to enforcement action for off-label marketing. Violations of the FDCA relating 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ind w:right="160"/>
        <w:spacing w:after="0" w:line="282" w:lineRule="auto"/>
        <w:rPr>
          <w:sz w:val="20"/>
          <w:szCs w:val="20"/>
          <w:color w:val="auto"/>
        </w:rPr>
      </w:pPr>
      <w:r>
        <w:rPr>
          <w:rFonts w:ascii="Times New Roman" w:cs="Times New Roman" w:eastAsia="Times New Roman" w:hAnsi="Times New Roman"/>
          <w:sz w:val="18"/>
          <w:szCs w:val="18"/>
          <w:color w:val="auto"/>
        </w:rPr>
        <w:t>the promotion of prescription drugs may lead to investigations alleging violations of federal and state healthcare fraud and abuse laws, such as the federal civil False Claims Act, as well as state consumer protection laws.</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drugs, including device malfunctions, manufacturers or manufacturing processes, or failure to comply with regulatory requirements, may have negative consequences, including:</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drugs, manufacturers or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drug;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drug distribution or use;</w:t>
      </w:r>
    </w:p>
    <w:p>
      <w:pPr>
        <w:spacing w:after="0" w:line="117" w:lineRule="exact"/>
        <w:rPr>
          <w:rFonts w:ascii="Times New Roman" w:cs="Times New Roman" w:eastAsia="Times New Roman" w:hAnsi="Times New Roman"/>
          <w:sz w:val="18"/>
          <w:szCs w:val="18"/>
          <w:color w:val="auto"/>
        </w:rPr>
      </w:pPr>
    </w:p>
    <w:p>
      <w:pPr>
        <w:ind w:left="1040" w:hanging="512"/>
        <w:spacing w:after="0"/>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withdrawal of the drugs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received orphan drug designation in the European Union for the treatment of non-infectious uveitis, we may not be able to obtain orphan drug marketing exclusivity for this product candidate.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Union, may designate drugs for relatively small patient populations as orphan drugs. We have received orphan drug designation from the EMA for the treatment of non-infectious uveitis, and we may seek orphan drug designation from the FDA or EMA for our future product candidates. However, we cannot pursue orphan drug designation from the FDA for the treatment of uveitis.</w:t>
      </w:r>
    </w:p>
    <w:p>
      <w:pPr>
        <w:spacing w:after="0" w:line="18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the medicinal product is unlikely to be developed. For either of these conditions, the applicant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 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In addition, the period of market exclusivity may be reduced to six years if it can be demonstrated based on available evidence that the original orphan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ind w:right="20"/>
        <w:spacing w:after="0" w:line="282" w:lineRule="auto"/>
        <w:rPr>
          <w:sz w:val="20"/>
          <w:szCs w:val="20"/>
          <w:color w:val="auto"/>
        </w:rPr>
      </w:pPr>
      <w:r>
        <w:rPr>
          <w:rFonts w:ascii="Times New Roman" w:cs="Times New Roman" w:eastAsia="Times New Roman" w:hAnsi="Times New Roman"/>
          <w:sz w:val="18"/>
          <w:szCs w:val="18"/>
          <w:color w:val="auto"/>
        </w:rPr>
        <w:t>medicinal product is sufficiently profitable not to justify maintenance of market exclusivity. There is no guarantee that we will be able to obtain or maintain orphan exclusivity even if we receive marketing authorization in Europe.</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or failure to comply with applicable regulatory requirements. Misconduct by employees and independent contractors, such as principal investigators, CROs, consultants, commercial partners and vendors, could include failures to comply with FDA regulations, to provide accurate information to the FDA, to comply with manufacturing standards we have established, to comply with federal and state healthcare fraud and abuse laws, to report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substantial civil, criminal and administrative penalties, damages, monetary fines, disgorgement, possible exclusion from participation in Medicare, Medicaid and other federal healthcare programs, contractual damages, reputational harm, imprisonment,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29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play a primary role in the recommendation and prescription of XIPERE and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federal Anti-Kickback Statute and the federal civil False Claims Act, that may constrain the business or financial arrangements and relationships through which we research, sell, market and distribute XIPERE and any product candidates for which we obtain marketing approval. In addition, we may be subject to physician payment transparency laws and patient privacy and security regulation by the federal government and by the states and foreign jurisdictions in which we conduct our business. The applicable federal, state and foreign healthcare laws (including privacy and cybersecurity laws and regulations) that may affect our ability to operate include the following:</w:t>
      </w:r>
    </w:p>
    <w:p>
      <w:pPr>
        <w:spacing w:after="0" w:line="84" w:lineRule="exact"/>
        <w:rPr>
          <w:sz w:val="20"/>
          <w:szCs w:val="20"/>
          <w:color w:val="auto"/>
        </w:rPr>
      </w:pPr>
    </w:p>
    <w:p>
      <w:pPr>
        <w:ind w:left="1020" w:right="14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w:t>
      </w:r>
    </w:p>
    <w:p>
      <w:pPr>
        <w:spacing w:after="0" w:line="71"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federal civil False Claims Act which permits private individuals, on behalf of the government, to bring civil whistleblower or qui tam actions to enforce the law, prohibits individuals or entities from, among other things, knowingly presenting, or causing to be presented, to the federal government, including federal health care programs, such as, the Medicare and Medicaid programs, claims for payment that are false or fraudulent or making a false statement to avoid, decrease or conceal an obligation to pay money to the federal government;</w:t>
      </w:r>
    </w:p>
    <w:p>
      <w:pPr>
        <w:spacing w:after="0" w:line="75"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left="1020" w:hanging="503"/>
        <w:spacing w:after="0" w:line="255"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or HIPAA, which created additional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0"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2019, or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access, or otherwise process individually identifiable health information, with respect to safeguarding the privacy, security and transmission of individually identifiable health information;</w:t>
      </w:r>
    </w:p>
    <w:p>
      <w:pPr>
        <w:spacing w:after="0" w:line="79"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created under Section 6002 of the Patient Protection and Affordable Care Act, as amended by the Health Care and Education Reconciliation Act of 2010, or collectively, the Affordable Care Act, imposed annual reporting requirements for certain manufacturers of drugs, devices, biologics and medical supplies for certain payments and “transfers of value” provided to physicians (defined to include doctors, dentists, optometrists, podiatrists, and chiropractors), other healthcare professionals (such as physicians assistants and nurse practitioners), and teaching hospitals, as well as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ind w:left="1020" w:right="60" w:hanging="503"/>
        <w:spacing w:after="0" w:line="254"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state and local laws requiring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 the Affordable Care Act, among other things, amended the intent requirement of the federal Anti-Kickback Statute and the healthcare fraud statute. A person or entity no longer needs to have actual knowledge of these statutes or specific intent to violate them in order to have committed a violation. In addition, the Affordable Care Act provided that the government may assert that a claim including items or services resulting from a violation of the federal Anti-Kickback Statute constitutes a false or fraudulent claim for purposes of the federal civil False Claims Act.</w:t>
      </w:r>
    </w:p>
    <w:p>
      <w:pPr>
        <w:spacing w:after="0" w:line="1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disgorgement, exclusion from participation in government healthcare programs, such as Medicare and Medicaid, additional reporting requirements and/or oversight if we become subject to a corporate integrity agreement or similar agreement to resolve allegations of non-compliance with these laws, and the curtailment or restructuring of our operations, as well as reputational harm, which could significantly harm our business. If any of the physicians or other healthcare providers or entities with whom we expect to do business, including future collaborators, are found not to be in compliance with applicable laws, they may be subject to the same criminal, civil and administrative sanctions, including exclusions from participation in government healthcare programs, which could also affect our business.</w:t>
      </w:r>
    </w:p>
    <w:p>
      <w:pPr>
        <w:spacing w:after="0" w:line="2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Affordable Care Act was signed into law,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There have been judicial and congressional challenges and amendments to certain aspects of the Affordable Care Act For example, on August 16, 2022, the Inflation Reduction Act of 2022, or IRA, was signed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unclear how any additional healthcare reform measures of the second Trump administration will impact the Affordable Care Act and our business.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These changes included aggregate reductions to Medicare payments to providers of up to 2% per fiscal year, which went into effect in April 2013 and, due to subsequent legislative amendments, will stay in effect through 2032, unless additional Congressional action is taken. Additionally, on March 11, 2021, the American Rescue Plan Act of 2021 was signed into law, which eliminates the statutory Medicaid drug rebate cap, currently set at 100% of a drug’s average manufacturer price, for single source and innovator multiple source drugs, beginning January 1, 2024. These new laws may result in additional reductions in Medicare and other healthcare funding, which could negatively impact customers for our product candidates, if approved, and, accordingly, our financial operations.</w:t>
      </w:r>
    </w:p>
    <w:p>
      <w:pPr>
        <w:spacing w:after="0" w:line="18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For example, the IRA, among other things, (i) directs the U.S. Department of Health and Human Services, or HHS, to negotiate the price of certain high-expenditure, single-source drugs biologics that have been on the market for at least 7 years covered under Medicare, and subject drug manufacturers to civil monetary penalties and a potential excise tax by offering a price that is not equal to or less than the negotiated “maximum fair price” for such drugs and biologics under the law (the “Medicare Drug Price Negotiation Program”),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effect starting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drugs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particularly in light of the recent U.S. Presidential and Congressional elections,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affect our revenue, if any.</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drugs is unavailable or limited in scope or amount, or if pricing is set at unsatisfactory levels, our business could be harmed, possibly materially.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may be volatile, and purchasers of our common stock could incur substantial losses.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stock price has been and may continue to be volatile. The stock market in general and the market for biopharmaceutical companies in particular have experienced extreme volatility that has often been unrelated or disproportionate to the operating performance of particular companies. Broad market and industry factors, including potentially worsening economic conditions, inflation and other adverse effects or developments may negatively affect the market price of our common stock, regardless of our actual operating performance. As a result of this volatility, investors may not be able to sell their common stock at or above the price paid for the shares. The market price for our common stock may be influenced by many factors, including:</w:t>
      </w:r>
    </w:p>
    <w:p>
      <w:pPr>
        <w:spacing w:after="0" w:line="75"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17" w:lineRule="exact"/>
        <w:rPr>
          <w:rFonts w:ascii="Times New Roman" w:cs="Times New Roman" w:eastAsia="Times New Roman" w:hAnsi="Times New Roman"/>
          <w:sz w:val="18"/>
          <w:szCs w:val="18"/>
          <w:color w:val="auto"/>
        </w:rPr>
      </w:pPr>
    </w:p>
    <w:p>
      <w:pPr>
        <w:ind w:left="1040" w:hanging="512"/>
        <w:spacing w:after="0"/>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specific stockholders;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w:t>
      </w:r>
    </w:p>
    <w:p>
      <w:pPr>
        <w:spacing w:after="0" w:line="22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initiate or to continue to provide research coverage of our common stock, and such lack of research coverage may adversely affect the market price of our common stock. Even if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6" w:name="page57"/>
    <w:bookmarkEnd w:id="56"/>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stock and other equity-linked securities in connection with financings, acquisitions, investments, our stock incentive plans or otherwise will dilute all other stockholders.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Subject to compliance with applicable rules and regulations, we may issue our shares of common stock or securities convertible into our common stock from time to time in connection with a financing, acquisition, investment, our stock incentive plans or otherwise. For example, we, among other things, issued warrants to purchase 11,111,111 shares of common stock to certain investors in a registered direct offering, all of which were outstanding as of March 24, 2025. The exercise of our outstanding warrants could result in significant dilution to existing stockholders, adversely affect the market price of our common shares and impair our ability to raise capital through the sale of additional equity securities. In addition, the expectation of such exercises could encourage the short selling of our common stock, which could place further downward pressure on the trading price of our common stock. Any such issuance could result in substantial dilution to our existing stockholders and cause the trading price of our common stock to decline.</w:t>
      </w:r>
    </w:p>
    <w:p>
      <w:pPr>
        <w:spacing w:after="0" w:line="29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all applicable requirements of Nasdaq and Nasdaq determines to delist our common stock, the delisting could adversely affect the market liquidity of our common stock and the market price of our common stock could decrease.</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February 7, 2025, we received a letter from Nasdaq, notifying us that, from December 18, 2024 to February 4, 2025, the closing bid price for our common stock was below $1.00. In accordance with Nasdaq Listing Rule 5810(c)(3)(A) we were provided an initial period of 180 calendar days, or until August 6, 2025, to regain compliance with Nasdaq’s bid price requirement. If, at any time before August 6, 2025, the bid price for our common stock closes at $1.00 or more for a minimum of 10 consecutive business days, we will regain compliance with the bid price requirement, unless Nasdaq staff exercises its discretion to extend this 10-day period pursuant to Nasdaq rules.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regain compliance with the requirements for listing our common stock on Nasdaq. 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significant number of our shares are sold into the market, it could cause the market price of our common stock to drop significantly, even if our business is doing well.</w:t>
      </w:r>
    </w:p>
    <w:p>
      <w:pPr>
        <w:spacing w:after="0" w:line="5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All of our outstanding shares of common stock are available for sale in the public market, subject only to the restrictions of Rule 144 under the Securities Act in the case of our affiliates.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have filed registration statements on Form S-8 registering the issuance of shares of common stock subject to options or other equity awards issued or reserved for future issuance under our equity incentive plans. These registered shares will be available for sale in the public market subject to vesting arrangements and exercise of options and, in the case of our affiliates, the restrictions of Rule 144.</w:t>
      </w:r>
    </w:p>
    <w:p>
      <w:pPr>
        <w:spacing w:after="0" w:line="280"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5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of our three classes of directors are elected each year;</w:t>
      </w:r>
    </w:p>
    <w:p>
      <w:pPr>
        <w:spacing w:after="0" w:line="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stockholders are not entitled to remove directors other than by a 66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bscript"/>
        </w:rPr>
        <w:t>3</w:t>
      </w:r>
      <w:r>
        <w:rPr>
          <w:rFonts w:ascii="Times New Roman" w:cs="Times New Roman" w:eastAsia="Times New Roman" w:hAnsi="Times New Roman"/>
          <w:sz w:val="18"/>
          <w:szCs w:val="18"/>
          <w:color w:val="auto"/>
        </w:rPr>
        <w:t>% vote and only for cause;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7" w:name="page58"/>
    <w:bookmarkEnd w:id="57"/>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not permitted to take actions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22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certain litigation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amended and restated certificate of incorporation or our amended and restated bylaws or (iv) any action asserting a claim governed by the internal affairs doctrine. However, this exclusive forum provision would not apply to suits brought to enforce a duty or liability created by the Securities Act or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9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as a result of the reduced disclosure and governance requirements applicable to smaller reporting companies, our common stock may be less attractive to investors.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shares held by non-affiliates is less than $700 million and our annual revenue was less than $100 million during the most recently completed fiscal year. We will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may choose to present only the two most recent fiscal years of audited financial statements in our Annual Report on Form 10-K and we have reduced disclosure obligations regarding executive compensation. In addition, as a smaller reporting company and non-accelerated filer, we are not required to comply with the auditor attestation requirements of Section 404 of the Sarbanes-Oxley Act.</w:t>
      </w:r>
    </w:p>
    <w:p>
      <w:pPr>
        <w:spacing w:after="0" w:line="189"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may invest or spend our cash in ways with which investors do not agree.</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Investors may not agree with our decisions, and our use of our cash may not yield any return on investment. Our failure to apply our resources effectively could compromise our ability to pursue our growth strategy. Investors will not have the opportunity to influence our decisions on how to use our cash and cash equivalents.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the sole source of gains and investors may never receive a return on their investment.</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Investors should not rely on an investment in our common stock to provide dividend income. We have not declared or paid cash dividends on our common stock to date. We currently intend to retain our future earnings, if any, to fund the development and growth of our business. In addition, our prior loan agreement prohibited us from paying dividends without the consent of the lenders under the agreement, and we expect that the terms of any future debt agreements would likewise preclude us from paying dividends. As a result, capital appreciation, if any, of our common stock will be investors’ sole source of gain for the foreseeable future. Investors seeking cash dividends should not purchase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6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collect, receive, store, process, generate, use, transfer, disclose, and share proprietary, confidential, and sensitive data, including personal data (such as health-related data), intellectual property, and trade secrets.</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internal computer systems, and those of our CROs, contract manufacturing organizations and other third parties on whom we rely, are vulnerable to damage from computer viruses, unauthorized access, security breaches, natural disasters, terrorism, war and telecommunication and electrical failures. Cyberattacks, malicious internet-based activity, and online and offline fraud are prevalent and continue to increase. These threats are becoming increasingly difficult to detect and threaten the confidentiality, integrity, and availability of our sensitive information and information technology systems, and those of the third parties upon which we rely. These threats come from a variety of sources. In addition to traditional computer “hackers,” threat actors, personnel (such as through theft or misuse), sophisticated nation-states, and nation-state-supported actors now engage in attacks. We and the third parties upon which we rely are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9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Remote work has increased risks to our information technology systems and data, as our employees may utilize network connections, computers and devices outside our premises or network, including working at home, while in transit and in public locations.</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In addition, supply-chain attacks have increased in frequency and severity, and we cannot guarantee that third parties’ infrastructure in our supply chain or our third-party partners’ supply chains have not been compromised. </w:t>
      </w:r>
      <w:r>
        <w:rPr>
          <w:rFonts w:ascii="Times New Roman" w:cs="Times New Roman" w:eastAsia="Times New Roman" w:hAnsi="Times New Roman"/>
          <w:sz w:val="18"/>
          <w:szCs w:val="18"/>
          <w:color w:val="000000"/>
        </w:rPr>
        <w:t>While we have implemented security measures designed to protect against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security incidents, there can be no assurance that these measures will be effective.</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of the foregoing could result in a material disruption of our clinical and product development activities and business operations, in addition to possibly requiring substantial expenditures of resources to remedy. For example, the loss or compromise of clinical trial data from completed or ongoing clinical trials could result in delays in our regulatory approval efforts and significantly increase our costs to recover or reproduce the data. To the extent that any disruption or security incident was to result in a loss or damage to our data or applications, or inappropriate disclosure of confidential or proprietary information, or any personal data for which we are responsible, we could incur significant unexpected losses, expenses and liabilities, we could face litigation or suffer reputational harm and the further development of our product candidates could be delayed.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9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8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sensitive third-party data, and other sensitive data the Company may process, e.g., business plans, transactions, or financial information.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or HITECH, imposes specific requirements relating to the privacy, security, and transmission of individually identifiable protected health information.</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example, the California Consumer Privacy Act of 2018, or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 and our customers. Similar laws are being considered in several other states, as well as at the federal and local levels, and we expect more states to pass similar laws in the future.</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or EU GDPR, and the United Kingdom’s GDPR, or UK GDPR (collectively, “GDPR”), Australia’s Privacy Act, and China’s Personal Information Protection Law, or PIPL, impose strict requirements for processing personal data. For example, under the GDPR, companies may face temporary or definitive bans on data processing and other corrective actions; fines of up to 20 million Euros under the EU GDPR, 17.5 million pounds sterling under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t>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also target customers in Asia and may be subject to new and emerging data privacy regimes in Asia, including China’s Personal Information Protection Law, Japan’s Act on the Protection of Personal Information, and Singapore’s Personal Data Protection Act. For example, China’s PIPL imposes a set of specific obligations on covered businesses in connection with their processing and transfer of personal data and imposes fines of up to RMB 50 million or 5% of the prior year’s total annual revenue of the violator. India’s new privacy legislation, the Digital Personal Data Protection Act, or DPDP, may also apply to our operations.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or EEA, and the United Kingdom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the EEA and United Kingdom to the United States in compliance with law, such as the EEA standard contractual clauses, the United Kingdom’s International Data Transfer Agreement / Addendum, and the EU-U.S. Data Privacy Framework and the United Kingdom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9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We also publish privacy policies, marketing materials, whitepapers,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76"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2017 comprehensive tax reform bill, as modified by the CARES Act, the Inflation Reduction Act, and possible future changes in tax laws or regulations could adversely affect our business and financial condition.</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Tax Act, signed into law on December 22, 2017, significantly revised the Internal Revenue Code of 1986, as amended, or the Code. In March 2020, the Tax Act was modified in certain respects by the Coronavirus Aid, Relief, and Economic Security (CARES) Act. More recently, the Inflation Reduction Inflation of 2022, or the IRA, was enacted which includes provisions that impact the U.S. federal income taxation of corporations, including imposing a minimum tax on the book income of certain large corporations and an excise tax on certain corporate stock repurchases that would be imposed on the corporation repurchasing such stock. Future guidance from the U.S. Internal Revenue Service and other tax authorities with respect to the Tax Act, as modified by the CARES Act, and the IRA, may affect us, and certain aspects of the Tax Act, CARES Act and IRA could be repealed or modified in future legislation. Changes in corporate tax rates, the realization of net deferred tax assets relating to our U.S. operations, the taxation of foreign earnings, and the deductibility of expenses under the Tax Act, the CARES Act, the IRA,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Act, the CARES Act, the IRA, or any newly enacted federal tax legislation.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accrued amounts.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taxation in numerous U.S. states and territories. As a result, our effective tax rate is derived from a combination of applicable tax rates in the various places in which we operate. In preparing our financial statements, we estimate the amount of tax that will become payable in each of such places. Nevertheless, our effective tax rate may be different than experienced in the past due to numerous factors, including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use potential future operating losses and our federal and state NOL carryforwards to offset future taxable income, if any. However, our ability to use existing NOL carryforwards could be limited as a result of issuances of equity securities.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2024, we had $240.6 million of federal and $96.1 million of state net operating loss, or NOL, carryforwards. If not utilized, the portion of these federal NOL carryforwards arising in tax years beginning before 2018 will begin to expire at various dates beginning in 2034, and these state NOL carryforwards will begin to expire at various dates beginning in 2027. Under the Tax Act, as modified by the CARES Act, federal NOLs incurred in taxable years beginning in 2018 and in later years may be carried forward indefinitely, but the deductibility of such federal NOLs is limited for taxable years beginning after 2021 to 80% of taxable income. Certain states have conformed to the federal NOL rules included in the Tax Act and CARES Act. However, under Section 382 of the Code of 1986, as interpreted by the U.S. Internal Revenue Service, the amount of benefits from our NOL carryforwards may be impaired or limited if we incur ownership changes. The completion of our IPO, follow-on public offerings, private placements and other transactions that have occurred, and future offerings of our securities have triggered, and may in the future trigger additional, ownership changes.</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since we will need to raise substantial additional funding to finance our operations, we may undergo ownership changes in the future. Any such additional limitations may significantly reduce the value of our NOL carryforwards before they expire, which could result in greater tax liabilities than we would incur in the absence of such limitations. At the state level, there may be periods during which the use of net operating loss carryforwards is suspended or otherwise limited, which could accelerate or permanently increase state taxes owed.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the Sarbanes-Oxley Act and the rules and regulations of The Nasdaq Stock Market. The Sarbanes-Oxley Act requires, among other things, that we maintain effective disclosure controls and procedures and internal control over financial reporting. Because we are a smaller reporting company and a non-accelerated filer, we are not required to comply with the auditor attestation requirements of Section 404 of the Sarbanes-Oxley Act. However, we must perform system and process evaluation and testing of our internal control over financial reporting to allow management to report on the effectiveness of our internal control over financial reporting in this report and future annual reports on Form 10-K, as required by Section 404 of the Sarbanes-Oxley Act. This requires that we incur substantial additional professional fees and internal costs to expand our accounting and finance functions and that we expend significant management efforts.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2" w:name="page63"/>
    <w:bookmarkEnd w:id="62"/>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Stock Market, the Securities and Exchange Commission or other regulatory authorities.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and demands upon management as a result of being a public company.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legal, accounting and other costs, which we expect to increase if we cease to be a smaller reporting company under SEC rules.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notwithstanding our efforts to comply with new laws, regulations and standards, we fail to comply, regulatory authorities may initiate legal proceedings against us and our business may be harmed. 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extreme weather events, earthquakes and other natural disasters could adversely affect our business.</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recent years, extreme weather events and changing weather patterns such as storms, flooding, droughts, fires and temperature changes have become more common. As a result, we are potentially exposed to varying natural disaster or extreme weather risks such as hurricanes, tornadoes, fires, droughts or floods, or other events that may result from the impact of climate change on the environment, such as sea level rise. The potential impacts of climate change may also include increased operating costs associated with additional regulatory requirements and investments in reducing energy, water use and greenhouse gas emissions.</w:t>
      </w:r>
    </w:p>
    <w:p>
      <w:pPr>
        <w:spacing w:after="0" w:line="28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global economic conditions and geopolitical tensions could have a negative effect on our business, results of operations and financial condition and liquidity.</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recent years, concerns about the global economic outlook have adversely affected market and business conditions in general. Macroeconomic weakness and uncertainty could make it more difficult for us or the licensing partners on whom we depend to commercialize XIPERE to manage our respective operations. Geopolitical tensions, such as Russia’s recent incursion into Ukraine, ongoing conflicts between the United States and China, tariff and trade policy changes, economic sanctions and increasing potential of conflict involving countries in Asia, including countries that are part of the Arctic Territory under our license agreement with Arctic Vision, create uncertainty for us and for global commerce generally. Sustained or worsening of global economic conditions and increasing geopolitical tensions may increase our cost of doing business, limit our ability to access capital, disrupt our supply chain operations or the supply chain operations of our licensing partners and intensify pricing pressures. Any or all of these factors could negatively affect our business, financial condition and result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trade secrets, data we may collect about trial participants in connection with clinical trials, sensitive third-party data, business plans, transactions, and financial information, or collectively Information Systems and Data.</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cybersecurity function, which comprises, in part, our information technology team, helps identify, assess and manage our cybersecurity threats and risks. Our cybersecurity function identifies and assesses risks from cybersecurity threats by monitoring and evaluating our threat environment using various methods including, for example, manual tools, internal or external audits, automated tools, subscribing to and analyzing reports and services that identify cybersecurity threats and threat actors, conducting threat assessments for internal and external threats, conducting scans of the threat environment, evaluating our (and our industry’s) risk profile, using external intelligence feeds, conducting vulnerability assessments to identify vulnerabilities, and evaluating threats reported to us. Depending on the environment, we implement and maintain various technical, physical, and organizational measures and processes designed to manage and mitigate material risks from cybersecurity threats to our Information Systems and Data, including, for example: incident detection and response, an incident response plan, a vendor risk management program, employee training, data encryption, access controls, physical security, network security controls, systems monitoring, cyber insurance, and asset management, tracking, and disposal.</w:t>
      </w:r>
    </w:p>
    <w:p>
      <w:pPr>
        <w:spacing w:after="0" w:line="18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the cybersecurity function works with management to prioritize our risk management processes and mitigate cybersecurity threats that are more likely to lead to a material impact to our business.</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professional services firms (including legal counsel), threat intel service providers, and cybersecurity software providers. We also use third-party service providers to perform a variety of functions throughout our business, such as hosting companies, application providers, contract research organizations, supply chain resources, and contract manufacturing organizations. We manage cybersecurity risks associated with our use of these providers by conducting audits and risk assessments on certain vendors, requesting and analyzing responses on a security questionnaire, and reviewing relevant reports.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 Item 1A. Risk Factors in this Annual Report on Form 10-K, including “—If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jc w:val="both"/>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audit committee is responsible for overseeing Company’s cybersecurity risk management processes, including oversight and mitigation of risks from cybersecurity threats.</w:t>
      </w:r>
    </w:p>
    <w:p>
      <w:pPr>
        <w:spacing w:after="0" w:line="16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members of management, including our Senior Director of Information Technology, who has over 23-years of experience in IT management (including cybersecurity) and a degree in Computer Information Systems.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Senior Director of IT, as part of our overall cybersecurity function, is responsible for hiring appropriate personnel, helping to integrate cybersecurity risk considerations into the Company’s overall risk management strategy, and communicating key priorities to relevant personnel. Our Chief Financial Officer, or CFO, is responsible for approving budgets, helping prepare for cybersecurity incidents, approving cybersecurity processes, and reviewing security assessments and other significant security-related incidents.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response process to cybersecurity incidents is designed to escalate certain incidents to members of management depending on the circumstances, including the CFO. Our CFO and Senior Director of IT work with the Company’s incident response team to help the Company mitigate and remediate cybersecurity incidents of which they are notified. In addition, the Company’s incident response policy includes reporting to the board of directors committee responsible for certain cybersecurity incidents.</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receives an annual update from our cybersecurity function concerning the Company’s significant cybersecurity threats and risk and the processes the Company has implemented to address them. In addition, they receive timely</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4" w:name="page65"/>
    <w:bookmarkEnd w:id="64"/>
    <w:p>
      <w:pPr>
        <w:ind w:right="440"/>
        <w:spacing w:after="0" w:line="282" w:lineRule="auto"/>
        <w:rPr>
          <w:sz w:val="20"/>
          <w:szCs w:val="20"/>
          <w:color w:val="auto"/>
        </w:rPr>
      </w:pPr>
      <w:r>
        <w:rPr>
          <w:rFonts w:ascii="Times New Roman" w:cs="Times New Roman" w:eastAsia="Times New Roman" w:hAnsi="Times New Roman"/>
          <w:sz w:val="18"/>
          <w:szCs w:val="18"/>
          <w:color w:val="auto"/>
        </w:rPr>
        <w:t>notifications of significant cybersecurity incidences based on our cybersecurity response plan. The audit committee also has access to various reports, summaries or presentations related to cybersecurity threats, risk and mitigation.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Our principal offices occupy approximately 14,000 square feet of office space in Alpharetta, Georgia under a lease with an initial term until November 2026, with a renewal option for one additional three-year term.</w:t>
      </w:r>
    </w:p>
    <w:p>
      <w:pPr>
        <w:spacing w:after="0" w:line="16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current leased facilities are suitable and adequate to meet our current and anticipated needs. We believe that suitable additional or substitute space will be available as needed to accommodate any expansion of our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“CLSD.”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March 24, 2025, we had 77,143,872 shares of common stock outstanding held by 7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Parties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40" w:firstLine="509"/>
        <w:spacing w:after="0" w:line="224"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related notes to those statements included later in this Annual Report. In addition to historical financial information, the following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reflect our plans, estimates, beliefs and expectations that involve risks and uncertainties. Our actual results and the timing of events could differ materially from those discussed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Factors that could cause or contribute to these differences include those discussed below and elsewhere in this Annual Report, particularly in Item 1A. “Risk Factors” and “Special Note Regarding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revolutionizing the delivery of therapies to the back of the eye through the suprachoroidal space, or SCS. Our SCS injection platform, utilizing our proprietary SCS Microinjector, enables an in-office, repeatable, non-surgical procedure for the targeted and compartmentalized delivery of a wide variety of therapies to the macula, retina or choroid to potentially preserve and improve vision in patients with sight-threatening eye diseases. Our suprachoroidal injection technology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spacing w:after="0" w:line="187"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color w:val="auto"/>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 (triamcinolone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w:t>
      </w:r>
    </w:p>
    <w:p>
      <w:pPr>
        <w:spacing w:after="0" w:line="18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our company, raising capital, conducting preclinical studies and clinical trials and undertaking other research and development initiatives. To date, we have only generated revenue through upfront payments and milestone payments related to license agreements and other revenue generated from collaboration agreements. We have primarily financed our operations through public offerings and private placements of our equity securities, issuances of convertible promissory notes and loan agreements. As of December 31, 2024, we had an accumulated deficit of $355.3 million. We recorded net losses of $34.4 million, $32.5 million and $32.9 million for the years ended December 31, 2024, 2023 and 2022, respectively. We anticipate that a substantial portion of our capital resources and efforts in the foreseeable future will be focused on completing the necessary development for and obtaining regulatory approval of CLS-AX, as well as discovering compounds and developing proprietary therapeutics to utilize with our SCS Microinjector.</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and increasing operating losses at least for the next several years. We do not expect to generate significant product or license and other revenue unless and until XIPERE is successfully commercialized by its licensees or until we successfully complete development of, obtain regulatory approval for and commercialize additional product candidates, either on our own or together with a third party. Our financial results may fluctuate significantly from quarter to quarter and year to year, depending on the timing of our clinical trials and our expenditures on other research and development activities. We expect clinical trial expenses to increase in 2025 as a result of our planned Phase 3 clinical trial of CLS-AX as well as continuing our pipeline development. We also will continue our efforts to seek to discover, research and develop additional product candidates and seek regulatory approvals in additional regions for XIPERE for the treatment of macular edema associated with uveitis. Based on our current research and development plans, we expect to have sufficient resources to fund our planned operations into the fourth quarter of 2025. We will require additional capital in order to complete clinical development of CLS-AX.</w:t>
      </w:r>
    </w:p>
    <w:p>
      <w:pPr>
        <w:spacing w:after="0" w:line="18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These factors raise substantial doubt regarding our ability to continue as a going concern. Our consolidated financial statements have been prepared on a going concern basis, which 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Other Revenue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have not generated any revenue from the sale of XIPERE and we do not expect to generate any other product revenue unless or until we obtain regulatory approval of and commercialize our other product candidates, either on our own or with a third party. The revenue received under the Bausch license agreement, as well as other certain payments from our licensees, will be recorded as non-cash revenue until we have fulfilled our obligations under the Purchase and Sale Agreement. Our revenue in recent years has been generated primarily from our license agreements. We continue to seek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goods sold are related to the sales of our SCS Microinjector kits to our licensees for approved products.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research and development of our preclinical and clinical product candidates, which include:</w:t>
      </w:r>
    </w:p>
    <w:p>
      <w:pPr>
        <w:spacing w:after="0" w:line="54" w:lineRule="exact"/>
        <w:rPr>
          <w:sz w:val="20"/>
          <w:szCs w:val="20"/>
          <w:color w:val="auto"/>
        </w:rPr>
      </w:pPr>
    </w:p>
    <w:p>
      <w:pPr>
        <w:ind w:left="1020" w:right="7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share-based compensation expense for research and development personnel;</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activities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our product candidates;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our research and development facility;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incurred.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research and development expenses by program for the years ended December 31, 2024, 2023 and 2022.</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196"/>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XIPERE (uveitis program)</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CLS-AX (wet AMD program)</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00" w:type="dxa"/>
            <w:vAlign w:val="bottom"/>
          </w:tcPr>
          <w:p>
            <w:pPr>
              <w:spacing w:after="0"/>
              <w:rPr>
                <w:sz w:val="18"/>
                <w:szCs w:val="18"/>
                <w:color w:val="auto"/>
              </w:rPr>
            </w:pPr>
          </w:p>
        </w:tc>
      </w:tr>
      <w:tr>
        <w:trPr>
          <w:trHeight w:val="210"/>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program expense</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Unallocated</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100" w:type="dxa"/>
            <w:vAlign w:val="bottom"/>
          </w:tcPr>
          <w:p>
            <w:pPr>
              <w:spacing w:after="0"/>
              <w:rPr>
                <w:sz w:val="18"/>
                <w:szCs w:val="18"/>
                <w:color w:val="auto"/>
              </w:rPr>
            </w:pPr>
          </w:p>
        </w:tc>
      </w:tr>
      <w:tr>
        <w:trPr>
          <w:trHeight w:val="250"/>
        </w:trPr>
        <w:tc>
          <w:tcPr>
            <w:tcW w:w="5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-24765</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spacing w:after="0" w:line="282" w:lineRule="auto"/>
        <w:rPr>
          <w:sz w:val="20"/>
          <w:szCs w:val="20"/>
          <w:color w:val="auto"/>
        </w:rPr>
      </w:pPr>
      <w:r>
        <w:rPr>
          <w:rFonts w:ascii="Times New Roman" w:cs="Times New Roman" w:eastAsia="Times New Roman" w:hAnsi="Times New Roman"/>
          <w:sz w:val="18"/>
          <w:szCs w:val="18"/>
          <w:color w:val="auto"/>
        </w:rPr>
        <w:t>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83"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clinical trials and development of our product candidates will depend on a variety of factors that may include, among other things, the following:</w:t>
      </w:r>
    </w:p>
    <w:p>
      <w:pPr>
        <w:spacing w:after="0" w:line="54" w:lineRule="exact"/>
        <w:rPr>
          <w:sz w:val="20"/>
          <w:szCs w:val="20"/>
          <w:color w:val="auto"/>
        </w:rPr>
      </w:pPr>
    </w:p>
    <w:p>
      <w:pPr>
        <w:ind w:left="1020" w:right="2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process development, scale-up and manufacturing of our product candidates including the SCS Microinjector for clinical trials and for requirements associated with regulatory filings;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 and any requirement for extension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profiles of the product candidates.</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the accrued interest and interest income earned on our cash and cash equivalents.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Other income, net consists of expenses allocated to the warrants issued in connection with our registered direct offering in February 2024 and the change in fair value of the warrants during the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on Liability Related to the Sales of Future Royalties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Non-cash interest expense on liability related to the sales of future royalties consists of imputed interest on the carrying value of the liability and the amortization of the related issuance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or U.S. GAAP. The preparation of these consolidated financial statements requires us to make estimates, judgments and assumptions that affect the reported amounts of assets and liabilities, disclosure of contingent assets and liabilities as of the dates of the consolidated balance sheets and the reported amounts of expenses during the reporting periods. In accordance with U.S. GAAP, we evaluate our estimates and judgments on an ongoing basis. Significant estimates include certain assumptions used in royalty financing obligation, certain assumptions used in the valuation of warrant liabilities and certain assumptions used to estimate research and development expenses, including clinical trials.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define our critical accounting policies, in accordance with U.S. GAAP, as those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consolidated financial statements appearing elsewhere in this Annual Report on Form 10-K, we believe the following are the critical accounting policies used in the preparation of our consolidated financial statements that require significant estimates and judgments.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recognize revenue from our contracts with customers under Financial Accounting Standards Board, or FASB, Accounting Standards Codification, or ASC, Topic 606, Revenue from Contracts with Customers, or ASC 606. Under ASC 606, we recognize revenue in an amount that reflects the consideration to which we expect to be entitled in exchange for the transfer of promised goods or services to customers. To determine revenue recognition for contracts with customers that are within the scope of ASC 606, we perform the following steps: (1) identify the contract with the customer,</w:t>
      </w:r>
    </w:p>
    <w:p>
      <w:pPr>
        <w:spacing w:after="0" w:line="3" w:lineRule="exact"/>
        <w:rPr>
          <w:sz w:val="20"/>
          <w:szCs w:val="20"/>
          <w:color w:val="auto"/>
        </w:rPr>
      </w:pPr>
    </w:p>
    <w:p>
      <w:pPr>
        <w:jc w:val="both"/>
        <w:ind w:firstLine="8"/>
        <w:spacing w:after="0" w:line="255"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(3) determine the transaction price, (4) allocate the transaction price to the performance obligations in the contract, and (5) recognize revenue when (or as) the entity satisfies a performance obligation. We only apply the five-step model to contracts when it is probable that we will collect the consideration we are entitled to in exchange for the goods or services transferred to the customer.</w:t>
      </w:r>
    </w:p>
    <w:p>
      <w:pPr>
        <w:spacing w:after="0" w:line="18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As part of the accounting for our revenue arrangements, we develop assumptions that require judgment such as the estimate of the stand-alone selling price for each performance obligation identified in the contract.</w:t>
      </w:r>
    </w:p>
    <w:p>
      <w:pPr>
        <w:spacing w:after="0" w:line="16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our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we recognize revenue allocated to the license when the license is transferred to the customer and the customer is able to use and benefit from the license. For licenses that are bundled with other promised goods or services,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spacing w:after="0" w:line="18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commercialization, and regulatory milestone payments,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whether the achievement of the milestones is considered probable and estimate the amount to be included in the transaction price using the most likely amount method. Performance milestone payments represent a form of variable consideration. If it is probable that a significant revenue reversal would not occur, the associated milestone value is included in the transaction price. Achievement of milestones that are not within our or our licensee’s control, such as regulatory approvals, are not</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69" w:name="page70"/>
    <w:bookmarkEnd w:id="69"/>
    <w:p>
      <w:pPr>
        <w:spacing w:after="0" w:line="261" w:lineRule="auto"/>
        <w:rPr>
          <w:sz w:val="20"/>
          <w:szCs w:val="20"/>
          <w:color w:val="auto"/>
        </w:rPr>
      </w:pPr>
      <w:r>
        <w:rPr>
          <w:rFonts w:ascii="Times New Roman" w:cs="Times New Roman" w:eastAsia="Times New Roman" w:hAnsi="Times New Roman"/>
          <w:sz w:val="18"/>
          <w:szCs w:val="18"/>
          <w:color w:val="auto"/>
        </w:rPr>
        <w:t>considered probable until the approvals are achieved. The transaction price is then allocated to each performance obligation on a relative stand-alone selling price basis and we recognize revenue as or when the performance obligations under the contract are satisfied. At the end of each subsequent reporting period, we re-evaluate the probability of achieving such milestones and any related constraint, and if necessary, adjust our estimate of the overall transaction price. Any such adjustments are recorded on a cumulative catch-up basis, which would affect revenues and earnings in the period of adjustment.</w:t>
      </w:r>
    </w:p>
    <w:p>
      <w:pPr>
        <w:spacing w:after="0" w:line="17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Manufacturing Supply Services: </w:t>
      </w:r>
      <w:r>
        <w:rPr>
          <w:rFonts w:ascii="Times New Roman" w:cs="Times New Roman" w:eastAsia="Times New Roman" w:hAnsi="Times New Roman"/>
          <w:sz w:val="18"/>
          <w:szCs w:val="18"/>
          <w:color w:val="auto"/>
        </w:rPr>
        <w:t>Arrangements that include a promise for future supply of drug substance or drug product for either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development or commercial supply at the customer’s discretion are generally considered options. </w:t>
      </w:r>
      <w:r>
        <w:rPr>
          <w:rFonts w:ascii="Times New Roman" w:cs="Times New Roman" w:eastAsia="Times New Roman" w:hAnsi="Times New Roman"/>
          <w:sz w:val="18"/>
          <w:szCs w:val="18"/>
          <w:color w:val="212529"/>
        </w:rPr>
        <w:t>The arrangements may also include assistance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oversight of the customer’s use of the drug substance or drug product. </w:t>
      </w:r>
      <w:r>
        <w:rPr>
          <w:rFonts w:ascii="Times New Roman" w:cs="Times New Roman" w:eastAsia="Times New Roman" w:hAnsi="Times New Roman"/>
          <w:sz w:val="18"/>
          <w:szCs w:val="18"/>
          <w:color w:val="000000"/>
        </w:rPr>
        <w:t>We assess if these options provide a material right to the licensee and if so, they are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accounted for as separate performance obligations at the outset of the arrangement.</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received any royalty revenue resulting from any of our licensing arrangements.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accrued expenses. This process involves reviewing open contracts and purchase orders, communicating with applicable vendor personnel to identify services that have been performed on our behalf and estimating the level of service performed and the associated cost incurred for the service when we have not yet been invoiced or otherwise notified of actual cost. We make estimates of our accrued expenses as of each consolidated balance sheet date in our consolidated financial statements based on facts and circumstances known to us. We periodically confirm the accuracy of our estimates with the service providers and make adjustments if necessary. Examples of estimated accrued expenses include fees paid to CROs and investigative sites in connection with clinical trials.</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accrue our expenses related to clinical trials based on our estimates of the services received and efforts expended pursuant to contracts with multiple research institutions and CROs that conduct research activities or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level of effort varies from our estimate, we will adjust the accrual accordingly. If we underestimate or overestimate the level of services performed or the costs of these services, our actual expenses could differ from our estimates. Although we do not currently anticipate the future settlement of existing accruals to differ materially from our estimates, our understanding of the status and timing of services performed relative to the actual status and timing of services performed may vary and could result in us reporting amounts that are too high or too low for any period.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Compensation cost related to share-based awards granted to employees, directors and consultants is measured based on the estimated fair value of the award at the grant date. We estimate the fair value of stock options using a Black-Scholes option pricing model. Share-based compensation costs are expensed on a straight-line basis over the relevant vesting period. The fair value of restricted stock units, or RSUs, granted is measured based on the market value of our common stock on the date of grant and is recognized ratably over the requisite service period, which is generally the vesting period of the awards. All share-based compensation costs are recorded in general and administrative or research and development costs in the consolidated statements of operations based upon the underlying employees’ roles.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Determining the appropriate fair value measurement of share-based awards requires the use of subjective assumptions. The determination of the fair value measurement of options using the Black-Scholes option pricing model is affected by our estimated common stock fair values as well as assumptions regarding a number of other subjective variables. These other variables include the expected term of the options, our expected stock price volatility over the expected term of the options, stock option exercise, risk-free interest rates and expected dividends.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ind w:left="520"/>
        <w:spacing w:after="0"/>
        <w:rPr>
          <w:sz w:val="20"/>
          <w:szCs w:val="20"/>
          <w:color w:val="auto"/>
        </w:rPr>
      </w:pPr>
      <w:r>
        <w:rPr>
          <w:rFonts w:ascii="Times New Roman" w:cs="Times New Roman" w:eastAsia="Times New Roman" w:hAnsi="Times New Roman"/>
          <w:sz w:val="18"/>
          <w:szCs w:val="18"/>
          <w:color w:val="auto"/>
        </w:rPr>
        <w:t>We estimate the fair value of stock options at the grant date using Black-Scholes option pricing model with the following assumptions:</w:t>
      </w:r>
    </w:p>
    <w:p>
      <w:pPr>
        <w:spacing w:after="0" w:line="115" w:lineRule="exact"/>
        <w:rPr>
          <w:sz w:val="20"/>
          <w:szCs w:val="20"/>
          <w:color w:val="auto"/>
        </w:rPr>
      </w:pPr>
    </w:p>
    <w:p>
      <w:pPr>
        <w:ind w:left="1020" w:hanging="503"/>
        <w:spacing w:after="0" w:line="284"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our common stock. T</w:t>
      </w:r>
      <w:r>
        <w:rPr>
          <w:rFonts w:ascii="Times New Roman" w:cs="Times New Roman" w:eastAsia="Times New Roman" w:hAnsi="Times New Roman"/>
          <w:sz w:val="18"/>
          <w:szCs w:val="18"/>
          <w:color w:val="auto"/>
        </w:rPr>
        <w:t>he fair value of our common stock is the closing price of our common stock on The Nasdaq Global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of grant.</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We calculate expected volatility based on the historical volatility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We calculate the expected term using historical data.</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4"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risk-free interest rate is based on the yields of U.S. Treasury securities with maturities similar to the expected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liquidity.</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Forfeitures are accounted for as they occur.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We have never declared or paid any cash dividends and do not presently plan to pay cash dividends in the foreseeable future.</w:t>
      </w:r>
    </w:p>
    <w:p>
      <w:pPr>
        <w:spacing w:after="0" w:line="227"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have an employee stock purchase plan that is considered a compensatory plan. The fair value of the discount and the look-back period of the employee stock purchase plan are estimated using the Black-Scholes option pricing model and expense is recognized over the six-month withholding period prior to the purchase date.</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Share-based compensation expense related to stock options, the employee stock purchase plan and RSUs aggregated $4.5 million, $4.2 million and $4.9 million for the years ended December 31, 2024,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Related to the Sales of Royalties and Non-Cash Interest Expense</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Purchase and Sale Agreement, we recognized a liability related to the sales of future royalties under ASC 470-10 Debt and ASC 835-30 Interest - Imputation of Interest. The initial funds received by us pursuant to the terms of the Purchase and Sale Agreement were recorded as a liability and are accreted under the effective interest method up to the estimated amount of future royalties and milestone payments to be made under the Purchase and Sale Agreement. The issuance costs were recorded as a direct deduction to the carrying amount of the liability and are being amortized under the effective interest method over the estimated period the liability will be repaid. We estimate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we will prospectively adjust the effective interest and the related amortization of the liability and related issuance costs.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(i) are freestanding financial instruments pursuant to ASC 480, (ii) meet the definition of a liability pursuant to ASC 480, and (iii) meet all of the requirements for equity classification under ASC 815, including whether the warrants are indexed to our own stock and whether the warrant holders could potentially require “net cash settlement” in a circumstance outside of our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For warrants that meet all criteria for equity classification, the warrants are required to be recorded as a component of additional paid-in capital, on the consolidated statement of stockholders’ deficit at the time of issuance. For warrants that do not meet all the criteria for equity classification, the warrants are required to be recorded at their initial fair value on the date of issuance and on each consolidated balance sheet date thereafter.</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warrant liabilities are measured at fair value using a simulation model which takes into account, as of the valuation date, factors including the current exercise price, the expected life of the warrant, the current price of our common stock, the expected volatility, holding cost, the risk-free interest rate for the term of the warrant and the likelihood of achieving certain future milestone events and the related impact to the price of our common stock. The warrant liabilities are revalued at each reporting period and changes in fair value are recognized in other income, net in the consolidated statements of operations. The selection of the appropriate valuation model and the inputs and assumptions that are required to determine the valuation requires significant judgment and requires management to make estimates and assumptions that affect the reported amount of the related liability and reported amounts of the change in fair value. Actual results could differ from those estimates, and changes in these estimates are recorded when known.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and 2023</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2024 and 2023.</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Period-to-</w:t>
            </w:r>
          </w:p>
        </w:tc>
        <w:tc>
          <w:tcPr>
            <w:tcW w:w="0" w:type="dxa"/>
            <w:vAlign w:val="bottom"/>
          </w:tcPr>
          <w:p>
            <w:pPr>
              <w:spacing w:after="0"/>
              <w:rPr>
                <w:sz w:val="1"/>
                <w:szCs w:val="1"/>
                <w:color w:val="auto"/>
              </w:rPr>
            </w:pPr>
          </w:p>
        </w:tc>
      </w:tr>
      <w:tr>
        <w:trPr>
          <w:trHeight w:val="238"/>
        </w:trPr>
        <w:tc>
          <w:tcPr>
            <w:tcW w:w="6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6"/>
                <w:szCs w:val="16"/>
                <w:color w:val="auto"/>
              </w:rPr>
              <w:t>(in thousands)</w:t>
            </w:r>
          </w:p>
        </w:tc>
        <w:tc>
          <w:tcPr>
            <w:tcW w:w="4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4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(6,562 )</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16"/>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(2,256 )</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4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0"/>
        </w:trPr>
        <w:tc>
          <w:tcPr>
            <w:tcW w:w="64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(2,524 )</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(28,882 )</w:t>
            </w: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(24,844 )</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(4,038 )</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4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Non-cash interest expense on liability</w:t>
            </w:r>
          </w:p>
        </w:tc>
        <w:tc>
          <w:tcPr>
            <w:tcW w:w="280" w:type="dxa"/>
            <w:vAlign w:val="bottom"/>
          </w:tcPr>
          <w:p>
            <w:pPr>
              <w:spacing w:after="0"/>
              <w:rPr>
                <w:sz w:val="17"/>
                <w:szCs w:val="17"/>
                <w:color w:val="auto"/>
              </w:rPr>
            </w:pPr>
          </w:p>
        </w:tc>
        <w:tc>
          <w:tcPr>
            <w:tcW w:w="14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(9,779 )</w:t>
            </w:r>
          </w:p>
        </w:tc>
        <w:tc>
          <w:tcPr>
            <w:tcW w:w="380" w:type="dxa"/>
            <w:vAlign w:val="bottom"/>
          </w:tcPr>
          <w:p>
            <w:pPr>
              <w:spacing w:after="0"/>
              <w:rPr>
                <w:sz w:val="17"/>
                <w:szCs w:val="17"/>
                <w:color w:val="auto"/>
              </w:rPr>
            </w:pPr>
          </w:p>
        </w:tc>
        <w:tc>
          <w:tcPr>
            <w:tcW w:w="13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(9,360 )</w:t>
            </w:r>
          </w:p>
        </w:tc>
        <w:tc>
          <w:tcPr>
            <w:tcW w:w="180" w:type="dxa"/>
            <w:vAlign w:val="bottom"/>
          </w:tcPr>
          <w:p>
            <w:pPr>
              <w:spacing w:after="0"/>
              <w:rPr>
                <w:sz w:val="17"/>
                <w:szCs w:val="17"/>
                <w:color w:val="auto"/>
              </w:rPr>
            </w:pP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(419 )</w:t>
            </w:r>
          </w:p>
        </w:tc>
        <w:tc>
          <w:tcPr>
            <w:tcW w:w="0" w:type="dxa"/>
            <w:vAlign w:val="bottom"/>
          </w:tcPr>
          <w:p>
            <w:pPr>
              <w:spacing w:after="0"/>
              <w:rPr>
                <w:sz w:val="1"/>
                <w:szCs w:val="1"/>
                <w:color w:val="auto"/>
              </w:rPr>
            </w:pPr>
          </w:p>
        </w:tc>
      </w:tr>
      <w:tr>
        <w:trPr>
          <w:trHeight w:val="221"/>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the sales of future royalties</w:t>
            </w:r>
          </w:p>
        </w:tc>
        <w:tc>
          <w:tcPr>
            <w:tcW w:w="28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(34,352 )</w:t>
            </w:r>
          </w:p>
        </w:tc>
        <w:tc>
          <w:tcPr>
            <w:tcW w:w="38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(32,485 )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(1,867 )</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-1002030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-1002030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-1002030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In the years ended December 31, 2024 and 2023, we recognized $1.7 million and $8.2 million, respectively, of revenue associated with our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agreements. License and other revenue for the year ended December 31, 2024 was primarily from providing training materials and clinical trial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to our licensees. License and other revenue for the year ended December 31, 2023 was primarily a result of the upfront license fee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from BioCryst, $1.4 million of milestone payments from Aura and $1.0 million from providing training materials and clinical trial products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licensees.</w:t>
      </w:r>
    </w:p>
    <w:p>
      <w:pPr>
        <w:spacing w:after="0" w:line="205" w:lineRule="exact"/>
        <w:rPr>
          <w:sz w:val="20"/>
          <w:szCs w:val="20"/>
          <w:color w:val="auto"/>
        </w:rPr>
      </w:pPr>
    </w:p>
    <w:p>
      <w:pPr>
        <w:ind w:right="2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In the years ended December 31, 2024 and 2023, we recognized $0.1 million and $0.4 million, respectively, in cost of goods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related to the sales of our SCS Microinjector kits to our licensees.</w:t>
      </w:r>
    </w:p>
    <w:p>
      <w:pPr>
        <w:spacing w:after="0" w:line="15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 decreased by $2.3 million, from $20.8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$18.6 million for the year ended December 31, 2024. This was primarily due to a $2.7 million decrease for the costs of ODYSSEY, a Phase 2b clinical trial of CLS-AX and related manufacturing costs for formulation and production. Additionally, there was $0.8 million decrease in costs related to our development programs. This was partially offset by a $0.5 million increase in employee related costs, a $0.3 million increase in consulting fees and the receipt of $0.8 million in research and development tax credits received in the prior year.</w:t>
      </w:r>
    </w:p>
    <w:p>
      <w:pPr>
        <w:spacing w:after="0" w:line="183"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were consistent for the years ended December 31, 2024 and 2023.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2023, there was a $0.5 million decrease in professional fees and a $0.3 million decrease for insurance costs, partially offset by a $0.5 million increase in consulting fees and a $0.2 million increase in miscellaneous expenses.</w:t>
      </w:r>
    </w:p>
    <w:p>
      <w:pPr>
        <w:spacing w:after="0" w:line="173"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for the year ended December 31, 2024 and 2023 was $1.4 million and $1.7 million, respectively, and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comprised of interest income from the cash and cash equivalents. The decrease for the year ended December 31, 2024 was due to a lower balance of the cash and cash equivalents.</w:t>
      </w:r>
    </w:p>
    <w:p>
      <w:pPr>
        <w:spacing w:after="0" w:line="173"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$2.8 million for the year ended December 31, 2024 and was due to the decrease in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liabilities of $3.6 million from February 9, 2024, the issuance date of the warrants, to December 31, 2024 partially offset by $0.8 million of direct registered offering costs that were allocated to the warrants.</w:t>
      </w:r>
    </w:p>
    <w:p>
      <w:pPr>
        <w:spacing w:after="0" w:line="173"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Non-cash interest expense from liability related to the sales of future royalties</w:t>
      </w:r>
      <w:r>
        <w:rPr>
          <w:rFonts w:ascii="Times New Roman" w:cs="Times New Roman" w:eastAsia="Times New Roman" w:hAnsi="Times New Roman"/>
          <w:sz w:val="18"/>
          <w:szCs w:val="18"/>
          <w:color w:val="auto"/>
        </w:rPr>
        <w:t>. Non-cash interest expense for the years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2023 was $9.8 million and $9.4 million, respectively, and was comprised of imputed interest on the liability related to the sales of future royalties and the amortization of the associated issuance costs.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2023 and 2022</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78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2023 and 2022.</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Period-to-</w:t>
            </w: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6"/>
                <w:szCs w:val="16"/>
                <w:color w:val="auto"/>
              </w:rPr>
              <w:t>(in thousands)</w:t>
            </w:r>
          </w:p>
        </w:tc>
        <w:tc>
          <w:tcPr>
            <w:tcW w:w="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4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4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4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33,070</w:t>
            </w:r>
          </w:p>
        </w:tc>
        <w:tc>
          <w:tcPr>
            <w:tcW w:w="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(24,844 )</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(30,277 )</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58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Non-cash interest expense on liability</w:t>
            </w:r>
          </w:p>
        </w:tc>
        <w:tc>
          <w:tcPr>
            <w:tcW w:w="260" w:type="dxa"/>
            <w:vAlign w:val="bottom"/>
            <w:shd w:val="clear" w:color="auto" w:fill="CFF0FC"/>
          </w:tcPr>
          <w:p>
            <w:pPr>
              <w:spacing w:after="0"/>
              <w:rPr>
                <w:sz w:val="17"/>
                <w:szCs w:val="17"/>
                <w:color w:val="auto"/>
              </w:rPr>
            </w:pPr>
          </w:p>
        </w:tc>
        <w:tc>
          <w:tcPr>
            <w:tcW w:w="1380" w:type="dxa"/>
            <w:vAlign w:val="bottom"/>
            <w:gridSpan w:val="2"/>
            <w:vMerge w:val="restart"/>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(9,360 )</w:t>
            </w:r>
          </w:p>
        </w:tc>
        <w:tc>
          <w:tcPr>
            <w:tcW w:w="340" w:type="dxa"/>
            <w:vAlign w:val="bottom"/>
            <w:shd w:val="clear" w:color="auto" w:fill="CFF0FC"/>
          </w:tcPr>
          <w:p>
            <w:pPr>
              <w:spacing w:after="0"/>
              <w:rPr>
                <w:sz w:val="17"/>
                <w:szCs w:val="17"/>
                <w:color w:val="auto"/>
              </w:rPr>
            </w:pPr>
          </w:p>
        </w:tc>
        <w:tc>
          <w:tcPr>
            <w:tcW w:w="1280" w:type="dxa"/>
            <w:vAlign w:val="bottom"/>
            <w:gridSpan w:val="2"/>
            <w:vMerge w:val="restart"/>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(3,339 )</w:t>
            </w:r>
          </w:p>
        </w:tc>
        <w:tc>
          <w:tcPr>
            <w:tcW w:w="140" w:type="dxa"/>
            <w:vAlign w:val="bottom"/>
            <w:shd w:val="clear" w:color="auto" w:fill="CFF0FC"/>
          </w:tcPr>
          <w:p>
            <w:pPr>
              <w:spacing w:after="0"/>
              <w:rPr>
                <w:sz w:val="17"/>
                <w:szCs w:val="17"/>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(6,021 )</w:t>
            </w: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5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to the sales of future royalties</w:t>
            </w:r>
          </w:p>
        </w:tc>
        <w:tc>
          <w:tcPr>
            <w:tcW w:w="260" w:type="dxa"/>
            <w:vAlign w:val="bottom"/>
            <w:shd w:val="clear" w:color="auto" w:fill="CFF0FC"/>
          </w:tcPr>
          <w:p>
            <w:pPr>
              <w:spacing w:after="0"/>
              <w:rPr>
                <w:sz w:val="19"/>
                <w:szCs w:val="19"/>
                <w:color w:val="auto"/>
              </w:rPr>
            </w:pPr>
          </w:p>
        </w:tc>
        <w:tc>
          <w:tcPr>
            <w:tcW w:w="1380" w:type="dxa"/>
            <w:vAlign w:val="bottom"/>
            <w:gridSpan w:val="2"/>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(32,485 )</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(32,947 )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-864870</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-864870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-864870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In the years ended December 31, 2023 and 2022, we recognized $8.2 million and $1.3 million, respectively, of revenue associated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agreements. License revenue for the year ended December 31, 2023 was primarily a result of the upfront license fee payment of $5.0 million from BioCryst, $1.4 million of milestone payments from Aura and $1.0 million from providing training materials and clinical trial products to our licensees. License revenue for the year ended December 31, 2022 was primarily from providing training materials and clinical trial products to our licensees.</w:t>
      </w:r>
    </w:p>
    <w:p>
      <w:pPr>
        <w:spacing w:after="0" w:line="180" w:lineRule="exact"/>
        <w:rPr>
          <w:sz w:val="20"/>
          <w:szCs w:val="20"/>
          <w:color w:val="auto"/>
        </w:rPr>
      </w:pPr>
    </w:p>
    <w:p>
      <w:pPr>
        <w:ind w:right="2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In the years ended December 31, 2023 and 2022, we recognized $0.4 million and $0.2 million, respectively, in cost of goods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related to the sales of our SCS Microinjector kits to our licensees.</w:t>
      </w:r>
    </w:p>
    <w:p>
      <w:pPr>
        <w:spacing w:after="0" w:line="158"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 increased by $1.2 million, from $19.6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to $20.8 million for the year ended December 31, 2023. This increase was primarily due to a $6.8 million increase for the costs of ODYSSEY, a Phase 2b clinical trial of CLS-AX and related manufacturing costs for formulation and production. This was offset by a $2.2 million decrease in costs for OASIS, a Phase 1/2a clinical trial of CLS-AX and the OASIS extension study. Additionally, there was $1.4 million decrease in costs related to our development programs, a $0.2 million decrease in costs related to XIPERE, a $0.7 million decrease in employee related costs and the receipt of $0.8 million in research and development tax credits received in the year ended December 31, 2023.</w:t>
      </w:r>
    </w:p>
    <w:p>
      <w:pPr>
        <w:spacing w:after="0" w:line="182"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$0.1 million for the years ended December 31, 2023 and 2022.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a result of a $0.7 million increase in professional fees, partially offset by a $0.2 million decrease in patent related expenses and a $0.3 million decrease for insurance costs.</w:t>
      </w:r>
    </w:p>
    <w:p>
      <w:pPr>
        <w:spacing w:after="0" w:line="173"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for the years ended December 31, 2023 and 2022 was $1.7 million and $0.7 million, respectively, and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comprised of interest income from the cash and cash equivalents. The increase for the year ended December 31, 2023 was due to higher interest rates.</w:t>
      </w:r>
    </w:p>
    <w:p>
      <w:pPr>
        <w:spacing w:after="0" w:line="17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Non-cash interest expense from liability related to the sales of future royalties</w:t>
      </w:r>
      <w:r>
        <w:rPr>
          <w:rFonts w:ascii="Times New Roman" w:cs="Times New Roman" w:eastAsia="Times New Roman" w:hAnsi="Times New Roman"/>
          <w:sz w:val="18"/>
          <w:szCs w:val="18"/>
          <w:color w:val="auto"/>
        </w:rPr>
        <w:t>. Non-cash interest expense for the years ended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2022 was $9.4 million and $3.3 million, respectively, and was comprised of imputed interest on the liability related to the sales of future royalties and the amortization of the associated issuance costs. The increase was due to a full year of interest expense for the year ended December 31, 2023 versus five months of interest expense for the year ended December 31, 2022.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have funded our operations primarily through the proceeds from public offerings of our common stock, sales of convertible preferred stock and the issuance of long-term debt. As of December 31, 2024, we had cash and cash equivalents of $20.0 million. We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3" w:name="page74"/>
    <w:bookmarkEnd w:id="73"/>
    <w:p>
      <w:pPr>
        <w:ind w:right="240"/>
        <w:spacing w:after="0" w:line="282" w:lineRule="auto"/>
        <w:rPr>
          <w:sz w:val="20"/>
          <w:szCs w:val="20"/>
          <w:color w:val="auto"/>
        </w:rPr>
      </w:pPr>
      <w:r>
        <w:rPr>
          <w:rFonts w:ascii="Times New Roman" w:cs="Times New Roman" w:eastAsia="Times New Roman" w:hAnsi="Times New Roman"/>
          <w:sz w:val="18"/>
          <w:szCs w:val="18"/>
          <w:color w:val="auto"/>
        </w:rPr>
        <w:t>invest any cash in excess of our immediate requirements primarily with a view to liquidity and capital preservation. As of December 31, 2024, our funds were held in cash and money market funds.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February 6, 2024, we entered into a securities purchase agreement with institutional investors and an existing stockholder, pursuant to which we issued and sold, in a registered direct offering, or the Registered Direct Offering: (i) an aggregate of 11,111,111 shares of our common stock, or Shares; and (ii) warrants to purchase up to 11,111,111 shares of common stock, or Warrants.</w:t>
      </w:r>
    </w:p>
    <w:p>
      <w:pPr>
        <w:spacing w:after="0" w:line="17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combined purchase price of each Share and accompanying Warrants was $1.35. The exercise price for the Warrants is $1.62 per share. The Warrants are exercisable and will expire on August 9, 2029. The net proceeds to us from the Registered Direct Offering were $13.9 million.</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January 31, 2024, or the Amendment Effective Date, we entered into a fourth amendment to the license agreement, or the Emory License Agreement, with Emory University and Georgia Tech Research Corporation (collectively, the “Licensor”) pursuant to which the parties agreed to reduce the Sublicense Percentage (as defined in the Emory License Agreement) from a low double digit percentage to a high single digit percentage that we will pay the Licensor applicable to any fees or payments paid to us by any Sublicensee (as defined in the Emory License Agreement) of the Licensed Patents and/or Licensed Technology (each as defined in the Emory License Agreement), on or after July 1, 2023, excluding (i) amounts paid to us by a Sublicensee to reimburse us for certain research and development costs pursuant to a written agreement between us and such Sublicensee, (ii) the value of intellectual property transferred or granted to us if necessary or helpful to the development or commercialization of Licensed Products (as defined in the Emory License Agreement) and (iii) amounts paid for shares of our stock. The payment to Licensor of any such Sublicense Percentage is due within 30 days of receipt by us of a qualifying payment from a Sublicensee, provided however, with respect to any qualifying payments received by us from a Sublicensee after July 1, 2023 but prior to January 1, 2025, the payment to Licensor of any such Sublicensee Percentage is due to Licensor by March 31, 2025. The parties also agreed to a revised annual license maintenance fee due each year, or the Maintenance Fee, starting in 2023 through 2028, as follows: $0.3 million for 2023 through 2025, $0.4 million for 2026, $400,000 for 2027 and $0.5 million for 2028. We paid the Maintenance Fee for 2023 in February 2024 and the Maintenance Fee for 2024 in October 2024. The remaining annual Maintenance Fee payments are due on October 1st of each year.</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December 22, 2023, we, through our wholly owned subsidiary Royalty Sub, entered into a letter agreement, or the Letter Agreement, with HCR and HCR Clearside SPV, LLC (as assignee of HCR Collateral Management, LLC), or the Agent, amending that certain Purchase and Sale Agreement, dated as of August 8, 2022, by and among Royalty Sub, HCR and Agent. Pursuant to the terms of the Letter Agreement, Royalty Sub and Agent mutually agreed that Royalty Sub waived any and all rights to the $12.5 million milestone payment which was deposited in an escrow account, or the First Milestone Payment, in connection with the closing of the transactions contemplated by the Purchase and Sale Agreement and agreed to the release of the First Milestone Payment to Agent.</w:t>
      </w:r>
    </w:p>
    <w:p>
      <w:pPr>
        <w:spacing w:after="0" w:line="183"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color w:val="auto"/>
        </w:rPr>
        <w:t>On November 1, 2023, we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entered into a license agreement, or the BioCryst License Agreement, with BioCryst Pharmaceuticals, Inc., or BioCryst, pursuant to which we granted BioCryst an exclusive, worldwide and sublicensable license to our SCS Microinjector for the delivery of BioCryst’s proprietary plasma kallikrein inhibitor known as avoralstat for the treatment and prevention of diabetic macular edema, or DME.</w:t>
      </w:r>
    </w:p>
    <w:p>
      <w:pPr>
        <w:spacing w:after="0" w:line="175"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We received an upfront license fee payment of $5.0 million in connection with signing of the BioCryst License Agreement. In addition, we are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us tiered mid-single digit royalties on annual global net product sales, with the highest royalty rate applied to sales over $1.5 billion, subject to reductions in specified circumstances. Our rights to these royalties and milestone payments have been sold pursuant to the terms and conditions of the Purchase and Sale Agreement described above in "Business</w:t>
      </w:r>
      <w:r>
        <w:rPr>
          <w:rFonts w:ascii="Arial" w:cs="Arial" w:eastAsia="Arial" w:hAnsi="Arial"/>
          <w:sz w:val="18"/>
          <w:szCs w:val="18"/>
          <w:color w:val="202124"/>
        </w:rPr>
        <w:t>—</w:t>
      </w:r>
      <w:r>
        <w:rPr>
          <w:rFonts w:ascii="Times New Roman" w:cs="Times New Roman" w:eastAsia="Times New Roman" w:hAnsi="Times New Roman"/>
          <w:sz w:val="18"/>
          <w:szCs w:val="18"/>
          <w:color w:val="auto"/>
        </w:rPr>
        <w:t>Royalty Purchase and Sale Agreement."</w:t>
      </w:r>
    </w:p>
    <w:p>
      <w:pPr>
        <w:spacing w:after="0" w:line="17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May 2023, we terminated our at-the-market sales agreement with Cowen and Company, LLC, or the Prior ATM Agreement. We sold 515,959 shares of its common stock for net proceeds of $0.7 million under the Prior ATM Agreement with Cowen and Company, LLC during the six months ended June 30, 2023, prior to the termination of the Prior ATM Agreement. During the year ended December 31, 2022, we sold 425,460 shares of common stock for net proceeds of $0.6 million under the Prior ATM Agreement.</w:t>
      </w:r>
    </w:p>
    <w:p>
      <w:pPr>
        <w:spacing w:after="0" w:line="187" w:lineRule="exact"/>
        <w:rPr>
          <w:sz w:val="20"/>
          <w:szCs w:val="20"/>
          <w:color w:val="auto"/>
        </w:rPr>
      </w:pPr>
    </w:p>
    <w:p>
      <w:pPr>
        <w:ind w:right="220" w:firstLine="509"/>
        <w:spacing w:after="0"/>
        <w:rPr>
          <w:sz w:val="20"/>
          <w:szCs w:val="20"/>
          <w:color w:val="auto"/>
        </w:rPr>
      </w:pPr>
      <w:r>
        <w:rPr>
          <w:rFonts w:ascii="Times New Roman" w:cs="Times New Roman" w:eastAsia="Times New Roman" w:hAnsi="Times New Roman"/>
          <w:sz w:val="18"/>
          <w:szCs w:val="18"/>
          <w:color w:val="auto"/>
        </w:rPr>
        <w:t>In May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or the Sales Agreement, with Cantor Fitzgerald &amp; Co., or Cantor under which we may offer and sell, from time to time at its sole discretion, shares of its common stock, having an aggregate offering price of up to $50.0 million through Cantor as our sales agent. During the year ended December 31, 2024, we sold 2,172,723 shares of our common stock for net proceeds of $2.5 million under the Sales Agreement. During the year ended December 31, 2023, we sold 1,073,740 shares of our common stock for net proceeds of $1.1 million under the Sales Agreement. Subsequent to</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December 31, 2024, we sold an additional 297,908 shares of our common stock pursuant to the Sales Agreement for net proceeds of $0.3 million.</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8, 2022, or the Closing Date, we, through our wholly-owned subsidiary Clearside Royalty LLC, a Delaware limited liability company, or Royalty Sub, entered into a Purchase and Sale Agreement with entities managed by HealthCare Royalty Management, LLC, or HCR, pursuant to which Royalty Sub sold to HCR certain of its rights to receive royalty and milestone payments payable to Royalty Sub under the Arctic Vision License Agreement, Bausch License Agreement, that certain License Agreement, effective as of July 3, 2019, by and between us and Aura Biosciences, Inc., that certain Option and License Agreement, dated as of August 29, 2019, by and between REGENXBIO Inc. and us,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in exchange for up to $65 million. Under the terms of the Purchase and Sale Agreement, Royalty Sub received a payment of $32.1 million, representing the $32.5 million to which we were entitled less certain expenses. There were additional issuance costs of $1.5 million related to the Purchase and Sale Agreement resulting in net proceeds of $30.6 million. An additional $12.5 million was deposited in an escrow account, which was released to HCR pursuant to the Letter Agreement described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research and development costs to build our product candidate pipeline, legal and other regulatory expenses and general overhead costs. In addition, we have certain contractual obligations for future payments. Refer to Footnote 10 to our consolidated financial statements included in this Annual Report on Form 10-K.</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2"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Sales Agreement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disruptions to, and volatility in, the credit and financial markets in the United States and worldwide and related macroeconomic changes, such as rising inflation.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5" w:name="page76"/>
    <w:bookmarkEnd w:id="75"/>
    <w:p>
      <w:pPr>
        <w:ind w:right="420"/>
        <w:spacing w:after="0" w:line="282" w:lineRule="auto"/>
        <w:rPr>
          <w:sz w:val="20"/>
          <w:szCs w:val="20"/>
          <w:color w:val="auto"/>
        </w:rPr>
      </w:pPr>
      <w:r>
        <w:rPr>
          <w:rFonts w:ascii="Times New Roman" w:cs="Times New Roman" w:eastAsia="Times New Roman" w:hAnsi="Times New Roman"/>
          <w:sz w:val="18"/>
          <w:szCs w:val="18"/>
          <w:color w:val="auto"/>
        </w:rPr>
        <w:t>terminate our drug development or future commercialization efforts or grant rights to develop and market product candidates that we would otherwise prefer to develop and market ourselves.</w:t>
      </w:r>
    </w:p>
    <w:p>
      <w:pPr>
        <w:spacing w:after="0" w:line="162"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Our plans primarily consist of raising additional capital, potentially in a combination of equity or debt financings, monetizing royalties, or restructurings, or potentially entering into additional collaborations, partnerships and other strategic arrangements.</w:t>
      </w:r>
    </w:p>
    <w:p>
      <w:pPr>
        <w:spacing w:after="0" w:line="3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on our current plans and forecasted expenses, we expect that our cash and cash equivalents as of the filing date, March 27, 2025, will enable us to fund our planned operating expenses and capital expenditure requirements into the fourth quarter of 2025. We have based this estimate on assumptions that may prove to be wrong, and we could exhaust our capital resources sooner than we expect. We will require additional capital in order to initiate the Phase 3 clinical trials of CLS-AX, which we expect could be initiated as early as the second half of 2025.</w:t>
      </w:r>
    </w:p>
    <w:p>
      <w:pPr>
        <w:spacing w:after="0" w:line="180" w:lineRule="exact"/>
        <w:rPr>
          <w:sz w:val="20"/>
          <w:szCs w:val="20"/>
          <w:color w:val="auto"/>
        </w:rPr>
      </w:pPr>
    </w:p>
    <w:p>
      <w:pPr>
        <w:ind w:right="1540" w:firstLine="509"/>
        <w:spacing w:after="0" w:line="258" w:lineRule="auto"/>
        <w:rPr>
          <w:sz w:val="20"/>
          <w:szCs w:val="20"/>
          <w:color w:val="auto"/>
        </w:rPr>
      </w:pPr>
      <w:r>
        <w:rPr>
          <w:rFonts w:ascii="Times New Roman" w:cs="Times New Roman" w:eastAsia="Times New Roman" w:hAnsi="Times New Roman"/>
          <w:sz w:val="18"/>
          <w:szCs w:val="18"/>
          <w:color w:val="auto"/>
        </w:rPr>
        <w:t>These factors raise substantial doubt regarding our ability to continue as a going concern. Our consolidated financial statements have been prepared on a going concern basis, which 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net cash flows (used in) provided by our operating, investing and financing activities: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(24,698 )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(18,135 )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(13,365 )</w:t>
            </w: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(638 )</w:t>
            </w:r>
          </w:p>
        </w:tc>
        <w:tc>
          <w:tcPr>
            <w:tcW w:w="1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(1,777 )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(8,900 )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(19,498 )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2024, 2023 and 2022, our operating activities used net cash of $24.7 million, $18.1 million and $13.4 million, respectively. The net cash used in operating activities for the year ended December 31, 2024 was due to ongoing research and development expenses to develop our pipeline and ongoing costs for ODYSSEY, the Phase 2b clinical trial for CLS-AX, as well as the supporting general and administrative costs. The net cash used in operating activities for the year ended December 31, 2023 was due to ongoing research and development expenses to develop our pipeline and ongoing costs for ODYSSEY, as well as the supporting general and administrative costs. This was partially offset by the receipt of research and development tax credits. The net cash used for the year ended December 31, 2022 was primarily due to research and development expenses related to the preclinical and clinical programs offset by the receipt of the $10.0 million milestone payment received from Bausch in connection with pre-launch activities for XIPERE.</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our investing activities used net cash of $0.6 million, $1.8 million and $0.2 million, respectively. The net cash used in investing activities for the year ended December 31, 2024 was primarily due to $1.0 million for the purchase of property and equipment, partially offset by $0.3 million of cash provided by the maturity of short-term investments. The net cash used for investing activities for the years ended December 31, 2023 and 2022 was for the purchase of property and equipment.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2024, 2023 and 2022, our net cash provided by financing activities was $16.4 million, $0.4 million and $31.3 million, respectively. The cash provided by financing activities for the year ended December 31, 2024 consisted primarily of $13.9 million of net proceeds from the sale of shares of our common stock in a registered direct offering and $2.5 million of net proceeds from the sale of shares of our common stock under the Sales Agreement. The cash provided by financing activities for the year ended December 31, 2023 consisted primarily of $1.7 million of net proceeds from the sale of shares of our common stock under the Prior ATM Agreement and the Sales Agreement partially offset by a payment of $1.4 million related to the Purchase and Sale Agreement. The net cash provided by financing activities for the year ended December 31, 2022 was primarily comprised of $30.6 million from the Purchase and Sale Agreement, net of issuance costs and $0.6 million of net proceeds from the sale of shares of our common stock under the Prior ATM Agreement.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us and how they may do so, see our risk factors under Part 1. Item 1A. Risk Factors and Item 1C. Cybersecurity in this Annual Report on Form 10-K, including “—If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See Item 8. “Consolidated Financial Statements and Supplementary Data – Note 2, Significant Accounting Policies” for a discussion of recent accounting pronouncements and their effect on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shares held by non-affiliates is less than $700 million and our annual revenue was less than $100 million during the most recently completed fiscal year. We will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may choose to present only the two most recent fiscal years of audited financial statements in our Annual Report on Form 10-K and we have reduced disclosure obligations regarding executive compensation.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252525"/>
        </w:rPr>
        <w:t>We are a smaller reporting company as defined by Rule 12b-2 of the Exchange Act and are not required to provide the information required under this item.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91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tc>
        <w:tc>
          <w:tcPr>
            <w:tcW w:w="20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60" w:type="dxa"/>
            <w:vAlign w:val="bottom"/>
            <w:gridSpan w:val="6"/>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080" w:type="dxa"/>
            <w:vAlign w:val="bottom"/>
          </w:tcPr>
          <w:p>
            <w:pPr>
              <w:spacing w:after="0"/>
              <w:rPr>
                <w:sz w:val="24"/>
                <w:szCs w:val="24"/>
                <w:color w:val="auto"/>
              </w:rPr>
            </w:pPr>
          </w:p>
        </w:tc>
      </w:tr>
      <w:tr>
        <w:trPr>
          <w:trHeight w:val="41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680" w:type="dxa"/>
            <w:vAlign w:val="bottom"/>
          </w:tcPr>
          <w:p>
            <w:pPr>
              <w:spacing w:after="0"/>
              <w:rPr>
                <w:sz w:val="16"/>
                <w:szCs w:val="16"/>
                <w:color w:val="auto"/>
              </w:rPr>
            </w:pPr>
          </w:p>
        </w:tc>
        <w:tc>
          <w:tcPr>
            <w:tcW w:w="848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42)</w:t>
            </w:r>
          </w:p>
        </w:tc>
        <w:tc>
          <w:tcPr>
            <w:tcW w:w="2080" w:type="dxa"/>
            <w:vAlign w:val="bottom"/>
          </w:tcPr>
          <w:p>
            <w:pPr>
              <w:jc w:val="right"/>
              <w:ind w:right="590"/>
              <w:spacing w:after="0" w:line="194"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680" w:type="dxa"/>
            <w:vAlign w:val="bottom"/>
          </w:tcPr>
          <w:p>
            <w:pPr>
              <w:spacing w:after="0"/>
              <w:rPr>
                <w:sz w:val="17"/>
                <w:szCs w:val="17"/>
                <w:color w:val="auto"/>
              </w:rPr>
            </w:pPr>
          </w:p>
        </w:tc>
        <w:tc>
          <w:tcPr>
            <w:tcW w:w="54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3040" w:type="dxa"/>
            <w:vAlign w:val="bottom"/>
            <w:gridSpan w:val="4"/>
          </w:tcPr>
          <w:p>
            <w:pPr>
              <w:spacing w:after="0"/>
              <w:rPr>
                <w:sz w:val="17"/>
                <w:szCs w:val="17"/>
                <w:color w:val="auto"/>
              </w:rPr>
            </w:pPr>
          </w:p>
        </w:tc>
        <w:tc>
          <w:tcPr>
            <w:tcW w:w="208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8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2024, 2023 and 2022</w:t>
            </w:r>
          </w:p>
        </w:tc>
        <w:tc>
          <w:tcPr>
            <w:tcW w:w="1620" w:type="dxa"/>
            <w:vAlign w:val="bottom"/>
            <w:gridSpan w:val="3"/>
          </w:tcPr>
          <w:p>
            <w:pPr>
              <w:spacing w:after="0"/>
              <w:rPr>
                <w:sz w:val="17"/>
                <w:szCs w:val="17"/>
                <w:color w:val="auto"/>
              </w:rPr>
            </w:pPr>
          </w:p>
        </w:tc>
        <w:tc>
          <w:tcPr>
            <w:tcW w:w="208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680" w:type="dxa"/>
            <w:vAlign w:val="bottom"/>
          </w:tcPr>
          <w:p>
            <w:pPr>
              <w:spacing w:after="0"/>
              <w:rPr>
                <w:sz w:val="17"/>
                <w:szCs w:val="17"/>
                <w:color w:val="auto"/>
              </w:rPr>
            </w:pPr>
          </w:p>
        </w:tc>
        <w:tc>
          <w:tcPr>
            <w:tcW w:w="84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(Deficit) for the years ended December 31, 2024, 2023</w:t>
            </w:r>
          </w:p>
        </w:tc>
        <w:tc>
          <w:tcPr>
            <w:tcW w:w="208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20" w:type="dxa"/>
            <w:vAlign w:val="bottom"/>
            <w:tcBorders>
              <w:top w:val="single" w:sz="8" w:color="0000EE"/>
            </w:tcBorders>
            <w:gridSpan w:val="8"/>
          </w:tcPr>
          <w:p>
            <w:pPr>
              <w:ind w:left="160"/>
              <w:spacing w:after="0" w:line="196" w:lineRule="exact"/>
              <w:rPr>
                <w:sz w:val="20"/>
                <w:szCs w:val="20"/>
                <w:color w:val="auto"/>
              </w:rPr>
            </w:pPr>
            <w:r>
              <w:rPr>
                <w:rFonts w:ascii="Times New Roman" w:cs="Times New Roman" w:eastAsia="Times New Roman" w:hAnsi="Times New Roman"/>
                <w:sz w:val="18"/>
                <w:szCs w:val="18"/>
                <w:color w:val="0000FF"/>
              </w:rPr>
              <w:t>and 2022</w:t>
            </w:r>
          </w:p>
        </w:tc>
        <w:tc>
          <w:tcPr>
            <w:tcW w:w="9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4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208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680" w:type="dxa"/>
            <w:vAlign w:val="bottom"/>
          </w:tcPr>
          <w:p>
            <w:pPr>
              <w:spacing w:after="0"/>
              <w:rPr>
                <w:sz w:val="17"/>
                <w:szCs w:val="17"/>
                <w:color w:val="auto"/>
              </w:rPr>
            </w:pPr>
          </w:p>
        </w:tc>
        <w:tc>
          <w:tcPr>
            <w:tcW w:w="69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580" w:type="dxa"/>
            <w:vAlign w:val="bottom"/>
            <w:gridSpan w:val="2"/>
          </w:tcPr>
          <w:p>
            <w:pPr>
              <w:spacing w:after="0"/>
              <w:rPr>
                <w:sz w:val="17"/>
                <w:szCs w:val="17"/>
                <w:color w:val="auto"/>
              </w:rPr>
            </w:pPr>
          </w:p>
        </w:tc>
        <w:tc>
          <w:tcPr>
            <w:tcW w:w="2080" w:type="dxa"/>
            <w:vAlign w:val="bottom"/>
          </w:tcPr>
          <w:p>
            <w:pPr>
              <w:jc w:val="right"/>
              <w:ind w:right="590"/>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668"/>
        </w:trPr>
        <w:tc>
          <w:tcPr>
            <w:tcW w:w="700" w:type="dxa"/>
            <w:vAlign w:val="bottom"/>
            <w:gridSpan w:val="2"/>
          </w:tcPr>
          <w:p>
            <w:pPr>
              <w:spacing w:after="0"/>
              <w:rPr>
                <w:sz w:val="24"/>
                <w:szCs w:val="24"/>
                <w:color w:val="auto"/>
              </w:rPr>
            </w:pPr>
          </w:p>
        </w:tc>
        <w:tc>
          <w:tcPr>
            <w:tcW w:w="3400" w:type="dxa"/>
            <w:vAlign w:val="bottom"/>
            <w:tcBorders>
              <w:top w:val="single" w:sz="8" w:color="0000EE"/>
            </w:tcBorders>
            <w:gridSpan w:val="3"/>
          </w:tcPr>
          <w:p>
            <w:pPr>
              <w:spacing w:after="0"/>
              <w:rPr>
                <w:sz w:val="24"/>
                <w:szCs w:val="24"/>
                <w:color w:val="auto"/>
              </w:rPr>
            </w:pPr>
          </w:p>
        </w:tc>
        <w:tc>
          <w:tcPr>
            <w:tcW w:w="2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76</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763"/>
        </w:trPr>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Clearside Biomedical,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Clearside Biomedical, Inc. (the Company) as of December 31, 2024 and 2023, the related consolidated statements of operations, stockholders' equity (deficit)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financial statements, the Company has recurring losses, negative cash flows from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warrants issued as part of equity offerings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As discussed in Note 7 to the consolidated financial statements, on February 6, 2024, the Company entered</w:t>
            </w:r>
          </w:p>
        </w:tc>
      </w:tr>
      <w:tr>
        <w:trPr>
          <w:trHeight w:val="21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into a securities purchase agreement with institutional investors and an existing stockholder, pursuant to</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which the Company issued and sold, in a registered direct offering: (i) an aggregate of 11,111,111 shares of</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its common stock; and (ii) warrants to purchase up to 11,111,111 shares of common stock. The net proceeds</w:t>
            </w:r>
          </w:p>
        </w:tc>
      </w:tr>
      <w:tr>
        <w:trPr>
          <w:trHeight w:val="234"/>
        </w:trPr>
        <w:tc>
          <w:tcPr>
            <w:tcW w:w="2420" w:type="dxa"/>
            <w:vAlign w:val="bottom"/>
          </w:tcPr>
          <w:p>
            <w:pPr>
              <w:spacing w:after="0"/>
              <w:rPr>
                <w:sz w:val="20"/>
                <w:szCs w:val="20"/>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 the Company from the registered direct offering were $13.9 million.</w:t>
            </w:r>
          </w:p>
        </w:tc>
      </w:tr>
      <w:tr>
        <w:trPr>
          <w:trHeight w:val="292"/>
        </w:trPr>
        <w:tc>
          <w:tcPr>
            <w:tcW w:w="2420" w:type="dxa"/>
            <w:vAlign w:val="bottom"/>
          </w:tcPr>
          <w:p>
            <w:pPr>
              <w:spacing w:after="0"/>
              <w:rPr>
                <w:sz w:val="24"/>
                <w:szCs w:val="24"/>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Company accounts for warrants as liability-classified instruments based on an assessment of the</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warrants’ specific terms and applicable authoritative guidance. The Company’s warrant liabilities are</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measured at fair value using a simulation model which takes into account, as of the valuation date, factors</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including the current exercise price, the expected life of the warrant, the current price of the Company's</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common stock, the expected volatility, the risk-free interest rate for the term of the warrants and the</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likelihood of achieving certain future milestone events and the related impact to the price of the Company's</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common stock. The warrant liabilities are remeasured at each reporting period and changes in fair value are</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recognized in other income, net in the consolidated statements of operations. The Company recorded the</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warrant liabilities on the consolidated balance sheet at its fair value of $6.7 million as of December 31,</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2024.  The Company recorded the change in the fair value of the warrant liabilities during the year ended</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December 31, 2024, of $3.6 million, as an increase in other income, net in the consolidated statements of</w:t>
            </w:r>
          </w:p>
        </w:tc>
      </w:tr>
      <w:tr>
        <w:trPr>
          <w:trHeight w:val="234"/>
        </w:trPr>
        <w:tc>
          <w:tcPr>
            <w:tcW w:w="2420" w:type="dxa"/>
            <w:vAlign w:val="bottom"/>
          </w:tcPr>
          <w:p>
            <w:pPr>
              <w:spacing w:after="0"/>
              <w:rPr>
                <w:sz w:val="20"/>
                <w:szCs w:val="20"/>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operations.</w:t>
            </w:r>
          </w:p>
        </w:tc>
      </w:tr>
      <w:tr>
        <w:trPr>
          <w:trHeight w:val="279"/>
        </w:trPr>
        <w:tc>
          <w:tcPr>
            <w:tcW w:w="2420" w:type="dxa"/>
            <w:vAlign w:val="bottom"/>
          </w:tcPr>
          <w:p>
            <w:pPr>
              <w:spacing w:after="0"/>
              <w:rPr>
                <w:sz w:val="24"/>
                <w:szCs w:val="24"/>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Auditing the Company’s measurement of the fair value of the warrant liabilities was complex due to the</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methodology used and significant estimation uncertainty of certain assumptions, specifically the likelihood</w:t>
            </w:r>
          </w:p>
        </w:tc>
      </w:tr>
      <w:tr>
        <w:trPr>
          <w:trHeight w:val="234"/>
        </w:trPr>
        <w:tc>
          <w:tcPr>
            <w:tcW w:w="2420" w:type="dxa"/>
            <w:vAlign w:val="bottom"/>
          </w:tcPr>
          <w:p>
            <w:pPr>
              <w:spacing w:after="0"/>
              <w:rPr>
                <w:sz w:val="20"/>
                <w:szCs w:val="20"/>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of achieving certain future milestone events and related impact on the Company's common stock price.</w:t>
            </w:r>
          </w:p>
        </w:tc>
      </w:tr>
      <w:tr>
        <w:trPr>
          <w:trHeight w:val="412"/>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How We Addressed</w:t>
            </w: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 test the valuation of warrant liabilities as of December 31, 2024, our audit procedures included, among</w:t>
            </w:r>
          </w:p>
        </w:tc>
      </w:tr>
      <w:tr>
        <w:trPr>
          <w:trHeight w:val="21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the Matter in Our</w:t>
            </w: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others, with the assistance of our valuation specialists, we (a) evaluated the methodologies used to measure</w:t>
            </w:r>
          </w:p>
        </w:tc>
      </w:tr>
      <w:tr>
        <w:trPr>
          <w:trHeight w:val="21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fair value of the warrant liabilities; and (b) we performed independent calculations to test the</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reasonableness of the measurement of the fair value for warrant liabilities recorded by the Company. Such</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independent calculations assessed the mathematical accuracy of the Company’s valuation model and the</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mathematical accuracy of the underlying valuation assumptions used in the model to measure the fair value</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of the warrant liabilities. We also assessed the reasonableness of assumptions utilized in the measurement</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of the fair value of the warrant liabilities, including the likelihood of achieving certain future milestone</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events and related impact on the Company's common stock price by evaluating Company-specific</w:t>
            </w:r>
          </w:p>
        </w:tc>
      </w:tr>
      <w:tr>
        <w:trPr>
          <w:trHeight w:val="216"/>
        </w:trPr>
        <w:tc>
          <w:tcPr>
            <w:tcW w:w="2420" w:type="dxa"/>
            <w:vAlign w:val="bottom"/>
          </w:tcPr>
          <w:p>
            <w:pPr>
              <w:spacing w:after="0"/>
              <w:rPr>
                <w:sz w:val="18"/>
                <w:szCs w:val="18"/>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information, comparing the assumptions to available external industry data and sensitizing the change in</w:t>
            </w:r>
          </w:p>
        </w:tc>
      </w:tr>
      <w:tr>
        <w:trPr>
          <w:trHeight w:val="234"/>
        </w:trPr>
        <w:tc>
          <w:tcPr>
            <w:tcW w:w="2420" w:type="dxa"/>
            <w:vAlign w:val="bottom"/>
          </w:tcPr>
          <w:p>
            <w:pPr>
              <w:spacing w:after="0"/>
              <w:rPr>
                <w:sz w:val="20"/>
                <w:szCs w:val="20"/>
                <w:color w:val="auto"/>
              </w:rPr>
            </w:pPr>
          </w:p>
        </w:tc>
        <w:tc>
          <w:tcPr>
            <w:tcW w:w="8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common stock price applied to the valuation.</w:t>
            </w:r>
          </w:p>
        </w:tc>
      </w:tr>
      <w:tr>
        <w:trPr>
          <w:trHeight w:val="958"/>
        </w:trPr>
        <w:tc>
          <w:tcPr>
            <w:tcW w:w="2420" w:type="dxa"/>
            <w:vAlign w:val="bottom"/>
          </w:tcPr>
          <w:p>
            <w:pPr>
              <w:spacing w:after="0"/>
              <w:rPr>
                <w:sz w:val="24"/>
                <w:szCs w:val="24"/>
                <w:color w:val="auto"/>
              </w:rPr>
            </w:pPr>
          </w:p>
        </w:tc>
        <w:tc>
          <w:tcPr>
            <w:tcW w:w="88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78</w:t>
            </w:r>
          </w:p>
        </w:tc>
      </w:tr>
      <w:tr>
        <w:trPr>
          <w:trHeight w:val="763"/>
        </w:trPr>
        <w:tc>
          <w:tcPr>
            <w:tcW w:w="242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Liability Related to the Sales of Future Royalties, Net</w:t>
      </w:r>
    </w:p>
    <w:p>
      <w:pPr>
        <w:sectPr>
          <w:pgSz w:w="11900" w:h="16838" w:orient="portrait"/>
          <w:cols w:equalWidth="0" w:num="1">
            <w:col w:w="11200"/>
          </w:cols>
          <w:pgMar w:left="320" w:top="981" w:right="379" w:bottom="1440" w:gutter="0" w:footer="0" w:header="0"/>
        </w:sectPr>
      </w:pPr>
    </w:p>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Description of the</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Matter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5 to the consolidated financial statements, on August 8, 2022, the Company entered into a Royalty Purchase and Sale Agreement with a third party, pursuant to which the Company sold certain of its rights to receive royalty and milestone payments. The Company received proceeds of $32.1 million, representing the $32.5 million to which the Company was entitled, net of certain transaction related expenses. The Company will repay the lender at a multiple of the initial proceeds received, which may vary based on timing and amount of cash flows received from its licensing partners.</w:t>
      </w:r>
    </w:p>
    <w:p>
      <w:pPr>
        <w:spacing w:after="0" w:line="79" w:lineRule="exact"/>
        <w:rPr>
          <w:sz w:val="20"/>
          <w:szCs w:val="20"/>
          <w:color w:val="auto"/>
        </w:rPr>
      </w:pPr>
    </w:p>
    <w:p>
      <w:pPr>
        <w:sectPr>
          <w:pgSz w:w="11900" w:h="16838" w:orient="portrait"/>
          <w:cols w:equalWidth="0" w:num="2">
            <w:col w:w="2680" w:space="720"/>
            <w:col w:w="7800"/>
          </w:cols>
          <w:pgMar w:left="320" w:top="981" w:right="379" w:bottom="1440" w:gutter="0" w:footer="0" w:header="0"/>
          <w:type w:val="continuous"/>
        </w:sectPr>
      </w:pPr>
    </w:p>
    <w:p>
      <w:pPr>
        <w:jc w:val="both"/>
        <w:ind w:left="3400"/>
        <w:spacing w:after="0" w:line="253" w:lineRule="auto"/>
        <w:rPr>
          <w:sz w:val="20"/>
          <w:szCs w:val="20"/>
          <w:color w:val="auto"/>
        </w:rPr>
      </w:pPr>
      <w:r>
        <w:rPr>
          <w:rFonts w:ascii="Times New Roman" w:cs="Times New Roman" w:eastAsia="Times New Roman" w:hAnsi="Times New Roman"/>
          <w:sz w:val="18"/>
          <w:szCs w:val="18"/>
          <w:color w:val="auto"/>
        </w:rPr>
        <w:t>The Company recorded the financing as a liability related to the sales of future royalties, net on the balance sheet at its carrying value of $51.8 million as of December 31, 2024. The Company imputes interest expense associated with this liability using the effective interest rate method. Such interest expense is recorded in the statement of operations for the year ended December 31, 2024 as Non-cash interest expense on liability related to the sales of future royalties. The effective interest rate is calculated based on the rate that would enable the estimated liability to be repaid in full over the anticipated life of the arrangement. The Company utilizes the prospective method to record interest expense by updating its estimate of the new effective interest rate each period, based on its current estimate of remaining cash flows under the arrangement. The Company estimates the amount and timing of expected payments based on historical experience and its expectations of future activities from its license partners, as well as current market conditions.</w:t>
      </w:r>
    </w:p>
    <w:p>
      <w:pPr>
        <w:spacing w:after="0" w:line="70" w:lineRule="exact"/>
        <w:rPr>
          <w:sz w:val="20"/>
          <w:szCs w:val="20"/>
          <w:color w:val="auto"/>
        </w:rPr>
      </w:pPr>
    </w:p>
    <w:p>
      <w:pPr>
        <w:jc w:val="both"/>
        <w:ind w:left="3400"/>
        <w:spacing w:after="0" w:line="261" w:lineRule="auto"/>
        <w:rPr>
          <w:sz w:val="20"/>
          <w:szCs w:val="20"/>
          <w:color w:val="auto"/>
        </w:rPr>
      </w:pPr>
      <w:r>
        <w:rPr>
          <w:rFonts w:ascii="Times New Roman" w:cs="Times New Roman" w:eastAsia="Times New Roman" w:hAnsi="Times New Roman"/>
          <w:sz w:val="18"/>
          <w:szCs w:val="18"/>
          <w:color w:val="auto"/>
        </w:rPr>
        <w:t>Auditing the liability related to the sales of future royalties, net was complex and highly judgmental due to the estimation uncertainty in determining the effective interest rate. The Company’s effective interest rate model includes cash flow projections for future royalty and milestone payments, which are sensitive to certain assumptions that are forward looking and could be affected by future market conditions.</w:t>
      </w:r>
    </w:p>
    <w:p>
      <w:pPr>
        <w:sectPr>
          <w:pgSz w:w="11900" w:h="16838" w:orient="portrait"/>
          <w:cols w:equalWidth="0" w:num="1">
            <w:col w:w="11200"/>
          </w:cols>
          <w:pgMar w:left="320" w:top="981" w:right="37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How We Addressed</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Matter in Our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the liability related to the sales of future royalties, net as of December 31, 2024, our audit procedures included, among others, assessing the underlying data and significant assumptions used by the Company in determining the timing and amount of future cash flows used within its effective interest rate model. We assessed the reasonableness of the significant assumptions used in the cash flow projections by inspecting third party evidence to support management’s projections. We also assessed the reasonableness of future projections based on activity to date. We recalculated the current year interest expense and performed sensitivity analyses to evaluate the changes in the effective interest rate, and associated interest expense, that would result from changes in certain assumptions.</w:t>
      </w:r>
    </w:p>
    <w:p>
      <w:pPr>
        <w:spacing w:after="0" w:line="200" w:lineRule="exact"/>
        <w:rPr>
          <w:sz w:val="20"/>
          <w:szCs w:val="20"/>
          <w:color w:val="auto"/>
        </w:rPr>
      </w:pPr>
    </w:p>
    <w:p>
      <w:pPr>
        <w:sectPr>
          <w:pgSz w:w="11900" w:h="16838" w:orient="portrait"/>
          <w:cols w:equalWidth="0" w:num="2">
            <w:col w:w="2680" w:space="720"/>
            <w:col w:w="7800"/>
          </w:cols>
          <w:pgMar w:left="320" w:top="981" w:right="37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ectPr>
          <w:pgSz w:w="11900" w:h="16838" w:orient="portrait"/>
          <w:cols w:equalWidth="0" w:num="1">
            <w:col w:w="11200"/>
          </w:cols>
          <w:pgMar w:left="320" w:top="981" w:right="37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9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20,020</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28,920</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r>
      <w:tr>
        <w:trPr>
          <w:trHeight w:val="196"/>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21,274</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30,123</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r>
      <w:tr>
        <w:trPr>
          <w:trHeight w:val="23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bottom w:val="single" w:sz="8" w:color="auto"/>
            </w:tcBorders>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25,126</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(includes $491 and $331 to a related party as of</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December 31, 2024 and 2023, respectively)</w:t>
            </w:r>
          </w:p>
        </w:tc>
        <w:tc>
          <w:tcPr>
            <w:tcW w:w="94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2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tcPr>
          <w:p>
            <w:pPr>
              <w:spacing w:after="0"/>
              <w:rPr>
                <w:sz w:val="18"/>
                <w:szCs w:val="18"/>
                <w:color w:val="auto"/>
              </w:rPr>
            </w:pPr>
          </w:p>
        </w:tc>
      </w:tr>
      <w:tr>
        <w:trPr>
          <w:trHeight w:val="192"/>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 (includes $304 and $215 to a related party as of</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December 31, 2024 and 2023, respectively)</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2,967</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00" w:type="dxa"/>
            <w:vAlign w:val="bottom"/>
            <w:shd w:val="clear" w:color="auto" w:fill="CFF0FC"/>
          </w:tcPr>
          <w:p>
            <w:pPr>
              <w:spacing w:after="0"/>
              <w:rPr>
                <w:sz w:val="18"/>
                <w:szCs w:val="18"/>
                <w:color w:val="auto"/>
              </w:rPr>
            </w:pPr>
          </w:p>
        </w:tc>
      </w:tr>
      <w:tr>
        <w:trPr>
          <w:trHeight w:val="203"/>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FF0FC"/>
          </w:tcPr>
          <w:p>
            <w:pPr>
              <w:spacing w:after="0"/>
              <w:rPr>
                <w:sz w:val="17"/>
                <w:szCs w:val="17"/>
                <w:color w:val="auto"/>
              </w:rPr>
            </w:pPr>
          </w:p>
        </w:tc>
      </w:tr>
      <w:tr>
        <w:trPr>
          <w:trHeight w:val="196"/>
        </w:trPr>
        <w:tc>
          <w:tcPr>
            <w:tcW w:w="77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9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4,794</w:t>
            </w:r>
          </w:p>
        </w:tc>
        <w:tc>
          <w:tcPr>
            <w:tcW w:w="28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6,813</w:t>
            </w:r>
          </w:p>
        </w:tc>
        <w:tc>
          <w:tcPr>
            <w:tcW w:w="100" w:type="dxa"/>
            <w:vAlign w:val="bottom"/>
            <w:tcBorders>
              <w:top w:val="single" w:sz="8" w:color="CFF0FC"/>
            </w:tcBorders>
          </w:tcPr>
          <w:p>
            <w:pPr>
              <w:spacing w:after="0"/>
              <w:rPr>
                <w:sz w:val="17"/>
                <w:szCs w:val="17"/>
                <w:color w:val="auto"/>
              </w:rPr>
            </w:pP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Liability related to the sales of future royalties, net</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51,767</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41,988</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6,692</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7"/>
                <w:szCs w:val="17"/>
                <w:color w:val="auto"/>
              </w:rPr>
            </w:pPr>
          </w:p>
        </w:tc>
      </w:tr>
      <w:tr>
        <w:trPr>
          <w:trHeight w:val="196"/>
        </w:trPr>
        <w:tc>
          <w:tcPr>
            <w:tcW w:w="7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63,981</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49,930</w:t>
            </w:r>
          </w:p>
        </w:tc>
        <w:tc>
          <w:tcPr>
            <w:tcW w:w="100" w:type="dxa"/>
            <w:vAlign w:val="bottom"/>
            <w:shd w:val="clear" w:color="auto" w:fill="CFF0FC"/>
          </w:tcPr>
          <w:p>
            <w:pPr>
              <w:spacing w:after="0"/>
              <w:rPr>
                <w:sz w:val="17"/>
                <w:szCs w:val="17"/>
                <w:color w:val="auto"/>
              </w:rPr>
            </w:pP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and no shares issued at</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December 31, 2024 and 2023</w:t>
            </w:r>
          </w:p>
        </w:tc>
        <w:tc>
          <w:tcPr>
            <w:tcW w:w="9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$0.001 par value; 200,000,000 shares authorized</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at December 31, 2024 and 2023; 76,578,383 and 62,850,841 shares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issued and outstanding at December 31, 2024 and 2023, respectively</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FF0FC"/>
          </w:tcPr>
          <w:p>
            <w:pPr>
              <w:spacing w:after="0"/>
              <w:rPr>
                <w:sz w:val="18"/>
                <w:szCs w:val="18"/>
                <w:color w:val="auto"/>
              </w:rPr>
            </w:pPr>
          </w:p>
        </w:tc>
      </w:tr>
      <w:tr>
        <w:trPr>
          <w:trHeight w:val="203"/>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316,343</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304,948</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98"/>
              </w:rPr>
              <w:t>(355,275 )</w:t>
            </w: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(320,923 )</w:t>
            </w:r>
          </w:p>
        </w:tc>
      </w:tr>
      <w:tr>
        <w:trPr>
          <w:trHeight w:val="20"/>
        </w:trPr>
        <w:tc>
          <w:tcPr>
            <w:tcW w:w="77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9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(38,855 )</w:t>
            </w:r>
          </w:p>
        </w:tc>
        <w:tc>
          <w:tcPr>
            <w:tcW w:w="44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(15,912 )</w:t>
            </w:r>
          </w:p>
        </w:tc>
      </w:tr>
      <w:tr>
        <w:trPr>
          <w:trHeight w:val="236"/>
        </w:trPr>
        <w:tc>
          <w:tcPr>
            <w:tcW w:w="778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940" w:type="dxa"/>
            <w:vAlign w:val="bottom"/>
            <w:tcBorders>
              <w:top w:val="single" w:sz="8" w:color="auto"/>
              <w:bottom w:val="single" w:sz="8" w:color="auto"/>
            </w:tcBorders>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25,126</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34,018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-3299460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-3282315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-2245360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-299720</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0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584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8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License and other revenue (includes $321 and $5,050 from a</w:t>
            </w:r>
          </w:p>
        </w:tc>
        <w:tc>
          <w:tcPr>
            <w:tcW w:w="3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related party for the years ended December 31, 2024 and 2023,</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(includes $1,051 and $1,109 to</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related party for the years ended December 31, 2024 and</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 respectively)</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30,546</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(28,882 )</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(24,844 )</w:t>
            </w:r>
          </w:p>
        </w:tc>
        <w:tc>
          <w:tcPr>
            <w:tcW w:w="3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(30,277 )</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Non-cash interest expense on liability</w:t>
            </w:r>
          </w:p>
        </w:tc>
        <w:tc>
          <w:tcPr>
            <w:tcW w:w="380" w:type="dxa"/>
            <w:vAlign w:val="bottom"/>
          </w:tcPr>
          <w:p>
            <w:pPr>
              <w:spacing w:after="0"/>
              <w:rPr>
                <w:sz w:val="17"/>
                <w:szCs w:val="17"/>
                <w:color w:val="auto"/>
              </w:rPr>
            </w:pPr>
          </w:p>
        </w:tc>
        <w:tc>
          <w:tcPr>
            <w:tcW w:w="1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(9,779 )</w:t>
            </w:r>
          </w:p>
        </w:tc>
        <w:tc>
          <w:tcPr>
            <w:tcW w:w="380" w:type="dxa"/>
            <w:vAlign w:val="bottom"/>
          </w:tcPr>
          <w:p>
            <w:pPr>
              <w:spacing w:after="0"/>
              <w:rPr>
                <w:sz w:val="17"/>
                <w:szCs w:val="17"/>
                <w:color w:val="auto"/>
              </w:rPr>
            </w:pPr>
          </w:p>
        </w:tc>
        <w:tc>
          <w:tcPr>
            <w:tcW w:w="1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(9,360 )</w:t>
            </w:r>
          </w:p>
        </w:tc>
        <w:tc>
          <w:tcPr>
            <w:tcW w:w="380" w:type="dxa"/>
            <w:vAlign w:val="bottom"/>
          </w:tcPr>
          <w:p>
            <w:pPr>
              <w:spacing w:after="0"/>
              <w:rPr>
                <w:sz w:val="17"/>
                <w:szCs w:val="17"/>
                <w:color w:val="auto"/>
              </w:rPr>
            </w:pPr>
          </w:p>
        </w:tc>
        <w:tc>
          <w:tcPr>
            <w:tcW w:w="1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(3,339 )</w:t>
            </w:r>
          </w:p>
        </w:tc>
        <w:tc>
          <w:tcPr>
            <w:tcW w:w="0" w:type="dxa"/>
            <w:vAlign w:val="bottom"/>
          </w:tcPr>
          <w:p>
            <w:pPr>
              <w:spacing w:after="0"/>
              <w:rPr>
                <w:sz w:val="1"/>
                <w:szCs w:val="1"/>
                <w:color w:val="auto"/>
              </w:rPr>
            </w:pPr>
          </w:p>
        </w:tc>
      </w:tr>
      <w:tr>
        <w:trPr>
          <w:trHeight w:val="221"/>
        </w:trPr>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the sales of future royalties</w:t>
            </w:r>
          </w:p>
        </w:tc>
        <w:tc>
          <w:tcPr>
            <w:tcW w:w="38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(34,352 )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(32,485 )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(32,947 )</w:t>
            </w:r>
          </w:p>
        </w:tc>
        <w:tc>
          <w:tcPr>
            <w:tcW w:w="0" w:type="dxa"/>
            <w:vAlign w:val="bottom"/>
          </w:tcPr>
          <w:p>
            <w:pPr>
              <w:spacing w:after="0"/>
              <w:rPr>
                <w:sz w:val="1"/>
                <w:szCs w:val="1"/>
                <w:color w:val="auto"/>
              </w:rPr>
            </w:pPr>
          </w:p>
        </w:tc>
      </w:tr>
      <w:tr>
        <w:trPr>
          <w:trHeight w:val="197"/>
        </w:trPr>
        <w:tc>
          <w:tcPr>
            <w:tcW w:w="58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(0.47 )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(0.53 )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(0.55 )</w:t>
            </w:r>
          </w:p>
        </w:tc>
        <w:tc>
          <w:tcPr>
            <w:tcW w:w="0" w:type="dxa"/>
            <w:vAlign w:val="bottom"/>
          </w:tcPr>
          <w:p>
            <w:pPr>
              <w:spacing w:after="0"/>
              <w:rPr>
                <w:sz w:val="1"/>
                <w:szCs w:val="1"/>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73,803,348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61,806,959</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60,204,862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-1425575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-1425575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-1425575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-448310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-431165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-448310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-431165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-448310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-431165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480" w:type="dxa"/>
            <w:vAlign w:val="bottom"/>
            <w:gridSpan w:val="4"/>
            <w:vMerge w:val="restart"/>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4080" w:type="dxa"/>
            <w:vAlign w:val="bottom"/>
          </w:tcPr>
          <w:p>
            <w:pPr>
              <w:spacing w:after="0"/>
              <w:rPr>
                <w:sz w:val="13"/>
                <w:szCs w:val="13"/>
                <w:color w:val="auto"/>
              </w:rPr>
            </w:pPr>
          </w:p>
        </w:tc>
        <w:tc>
          <w:tcPr>
            <w:tcW w:w="2480" w:type="dxa"/>
            <w:vAlign w:val="bottom"/>
            <w:tcBorders>
              <w:bottom w:val="single" w:sz="8" w:color="auto"/>
            </w:tcBorders>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276"/>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3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14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Paid-In-Capital</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59,722,930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293,406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(255,491 )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37,975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Issuance of common shares under</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at-the-market sales agreement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425,460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7"/>
                <w:szCs w:val="17"/>
                <w:color w:val="auto"/>
              </w:rPr>
              <w:t>Issuance of common shares under</w:t>
            </w: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66,919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49,187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8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7"/>
                <w:szCs w:val="17"/>
                <w:color w:val="auto"/>
              </w:rPr>
              <w:t>Vesting and settlement of restricted</w:t>
            </w: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stock units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375,331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(32,947 )</w:t>
            </w: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(32,947 )</w:t>
            </w: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60,639,827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298,984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(288,438 )</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8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7"/>
                <w:szCs w:val="17"/>
                <w:color w:val="auto"/>
              </w:rPr>
              <w:t>Issuance of common shares under</w:t>
            </w: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at-the-market sales agreement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1,589,699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0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Issuance of common shares under</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81,816</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Vesting and settlement of restricted</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471,390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4,202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(32,485 )</w:t>
            </w:r>
          </w:p>
        </w:tc>
        <w:tc>
          <w:tcPr>
            <w:tcW w:w="1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(32,485 )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62,850,841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304,948</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(320,923 )</w:t>
            </w: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(15,912 )</w:t>
            </w: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registered</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 offering</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11,111,111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08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7"/>
                <w:szCs w:val="17"/>
                <w:color w:val="auto"/>
              </w:rPr>
              <w:t>Issuance of common shares under</w:t>
            </w: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at-the-market sales agreement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2,172,723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0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Issuance of common shares under</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Vesting and settlement of restricted</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4,513</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(34,352 )</w:t>
            </w:r>
          </w:p>
        </w:tc>
        <w:tc>
          <w:tcPr>
            <w:tcW w:w="1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(34,352 )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76,578,383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316,343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(355,275 )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(38,855 )</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-3025140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-3025140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-3025140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-3025140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6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2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r>
      <w:tr>
        <w:trPr>
          <w:trHeight w:val="19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(34,352 )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(32,485 )</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(32,947 )</w:t>
            </w:r>
          </w:p>
        </w:tc>
      </w:tr>
      <w:tr>
        <w:trPr>
          <w:trHeight w:val="18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w:t>
            </w:r>
          </w:p>
        </w:tc>
        <w:tc>
          <w:tcPr>
            <w:tcW w:w="9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89"/>
        </w:trPr>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interest expense on liability related to the sales of future</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royalties, net of issuance costs accretion</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120" w:type="dxa"/>
            <w:vAlign w:val="bottom"/>
          </w:tcPr>
          <w:p>
            <w:pPr>
              <w:spacing w:after="0"/>
              <w:rPr>
                <w:sz w:val="18"/>
                <w:szCs w:val="18"/>
                <w:color w:val="auto"/>
              </w:rPr>
            </w:pPr>
          </w:p>
        </w:tc>
      </w:tr>
      <w:tr>
        <w:trPr>
          <w:trHeight w:val="205"/>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FF0FC"/>
          </w:tcPr>
          <w:p>
            <w:pPr>
              <w:spacing w:after="0"/>
              <w:rPr>
                <w:sz w:val="17"/>
                <w:szCs w:val="17"/>
                <w:color w:val="auto"/>
              </w:rPr>
            </w:pPr>
          </w:p>
        </w:tc>
      </w:tr>
      <w:tr>
        <w:trPr>
          <w:trHeight w:val="203"/>
        </w:trPr>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120" w:type="dxa"/>
            <w:vAlign w:val="bottom"/>
          </w:tcPr>
          <w:p>
            <w:pPr>
              <w:spacing w:after="0"/>
              <w:rPr>
                <w:sz w:val="17"/>
                <w:szCs w:val="17"/>
                <w:color w:val="auto"/>
              </w:rPr>
            </w:pPr>
          </w:p>
        </w:tc>
      </w:tr>
      <w:tr>
        <w:trPr>
          <w:trHeight w:val="203"/>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9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(3,635 )</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costs allocated to warrant liabilities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and accretion of available-for-sale investments, net</w:t>
            </w:r>
          </w:p>
        </w:tc>
        <w:tc>
          <w:tcPr>
            <w:tcW w:w="9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(339 )</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termination of operating lease</w:t>
            </w:r>
          </w:p>
        </w:tc>
        <w:tc>
          <w:tcPr>
            <w:tcW w:w="90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(55 )</w:t>
            </w:r>
          </w:p>
        </w:tc>
      </w:tr>
      <w:tr>
        <w:trPr>
          <w:trHeight w:val="203"/>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9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FF0FC"/>
          </w:tcPr>
          <w:p>
            <w:pPr>
              <w:spacing w:after="0"/>
              <w:rPr>
                <w:sz w:val="17"/>
                <w:szCs w:val="17"/>
                <w:color w:val="auto"/>
              </w:rPr>
            </w:pPr>
          </w:p>
        </w:tc>
      </w:tr>
      <w:tr>
        <w:trPr>
          <w:trHeight w:val="203"/>
        </w:trPr>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 prepaid expenses and other current assets</w:t>
            </w:r>
          </w:p>
        </w:tc>
        <w:tc>
          <w:tcPr>
            <w:tcW w:w="9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(51 )</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(220 )</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10,420</w:t>
            </w:r>
          </w:p>
        </w:tc>
        <w:tc>
          <w:tcPr>
            <w:tcW w:w="120" w:type="dxa"/>
            <w:vAlign w:val="bottom"/>
            <w:shd w:val="clear" w:color="auto" w:fill="CFF0FC"/>
          </w:tcPr>
          <w:p>
            <w:pPr>
              <w:spacing w:after="0"/>
              <w:rPr>
                <w:sz w:val="17"/>
                <w:szCs w:val="17"/>
                <w:color w:val="auto"/>
              </w:rPr>
            </w:pPr>
          </w:p>
        </w:tc>
      </w:tr>
      <w:tr>
        <w:trPr>
          <w:trHeight w:val="203"/>
        </w:trPr>
        <w:tc>
          <w:tcPr>
            <w:tcW w:w="6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9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(118 )</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(83 )</w:t>
            </w:r>
          </w:p>
        </w:tc>
      </w:tr>
      <w:tr>
        <w:trPr>
          <w:trHeight w:val="189"/>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 and accrued liabilities (includes $248 and $82</w:t>
            </w:r>
          </w:p>
        </w:tc>
        <w:tc>
          <w:tcPr>
            <w:tcW w:w="9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3"/>
        </w:trPr>
        <w:tc>
          <w:tcPr>
            <w:tcW w:w="6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 a related party for the year ended December 31, 2024 and</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2023, respectively)</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(1,433 )</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shd w:val="clear" w:color="auto" w:fill="CFF0FC"/>
          </w:tcPr>
          <w:p>
            <w:pPr>
              <w:spacing w:after="0"/>
              <w:rPr>
                <w:sz w:val="18"/>
                <w:szCs w:val="18"/>
                <w:color w:val="auto"/>
              </w:rPr>
            </w:pPr>
          </w:p>
        </w:tc>
      </w:tr>
      <w:tr>
        <w:trPr>
          <w:trHeight w:val="203"/>
        </w:trPr>
        <w:tc>
          <w:tcPr>
            <w:tcW w:w="6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9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(75 )</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(130 )</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(24,698 )</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(18,135 )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(13,365 )</w:t>
            </w:r>
          </w:p>
        </w:tc>
      </w:tr>
      <w:tr>
        <w:trPr>
          <w:trHeight w:val="20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9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(16,911 )</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Maturity of short-term investments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9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(977 )</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(1,777 )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(246 )</w:t>
            </w:r>
          </w:p>
        </w:tc>
      </w:tr>
      <w:tr>
        <w:trPr>
          <w:trHeight w:val="20"/>
        </w:trPr>
        <w:tc>
          <w:tcPr>
            <w:tcW w:w="62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(638 )</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(1,777 )</w:t>
            </w:r>
          </w:p>
        </w:tc>
        <w:tc>
          <w:tcPr>
            <w:tcW w:w="3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(246 )</w:t>
            </w: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9"/>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and warrants in</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registered direct offering, net of issuance costs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royalty purchase and sale agreement, net of</w:t>
            </w:r>
          </w:p>
        </w:tc>
        <w:tc>
          <w:tcPr>
            <w:tcW w:w="9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6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$1,862 of issuance costs</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30,638</w:t>
            </w:r>
          </w:p>
        </w:tc>
        <w:tc>
          <w:tcPr>
            <w:tcW w:w="120" w:type="dxa"/>
            <w:vAlign w:val="bottom"/>
            <w:shd w:val="clear" w:color="auto" w:fill="CFF0FC"/>
          </w:tcPr>
          <w:p>
            <w:pPr>
              <w:spacing w:after="0"/>
              <w:rPr>
                <w:sz w:val="18"/>
                <w:szCs w:val="18"/>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royalty purchase and sale agreement</w:t>
            </w:r>
          </w:p>
        </w:tc>
        <w:tc>
          <w:tcPr>
            <w:tcW w:w="90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(1,350 )</w:t>
            </w:r>
          </w:p>
        </w:tc>
        <w:tc>
          <w:tcPr>
            <w:tcW w:w="3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at-the-market sales agreement, net of issuance costs</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shares issued under employee stock purchase plan</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7"/>
                <w:szCs w:val="17"/>
                <w:color w:val="auto"/>
              </w:rPr>
            </w:pPr>
          </w:p>
        </w:tc>
      </w:tr>
      <w:tr>
        <w:trPr>
          <w:trHeight w:val="203"/>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16,436</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31,333</w:t>
            </w:r>
          </w:p>
        </w:tc>
        <w:tc>
          <w:tcPr>
            <w:tcW w:w="120" w:type="dxa"/>
            <w:vAlign w:val="bottom"/>
          </w:tcPr>
          <w:p>
            <w:pPr>
              <w:spacing w:after="0"/>
              <w:rPr>
                <w:sz w:val="17"/>
                <w:szCs w:val="17"/>
                <w:color w:val="auto"/>
              </w:rPr>
            </w:pPr>
          </w:p>
        </w:tc>
      </w:tr>
      <w:tr>
        <w:trPr>
          <w:trHeight w:val="19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9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(8,900 )</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(19,498 )</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17,722</w:t>
            </w:r>
          </w:p>
        </w:tc>
        <w:tc>
          <w:tcPr>
            <w:tcW w:w="12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28,920</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48,418</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30,696</w:t>
            </w:r>
          </w:p>
        </w:tc>
        <w:tc>
          <w:tcPr>
            <w:tcW w:w="120" w:type="dxa"/>
            <w:vAlign w:val="bottom"/>
          </w:tcPr>
          <w:p>
            <w:pPr>
              <w:spacing w:after="0"/>
              <w:rPr>
                <w:sz w:val="17"/>
                <w:szCs w:val="17"/>
                <w:color w:val="auto"/>
              </w:rPr>
            </w:pPr>
          </w:p>
        </w:tc>
      </w:tr>
      <w:tr>
        <w:trPr>
          <w:trHeight w:val="23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20,020</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28,920</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48,418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8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in accounts payable</w:t>
            </w:r>
          </w:p>
        </w:tc>
        <w:tc>
          <w:tcPr>
            <w:tcW w:w="9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and accrued liabilities</w:t>
            </w: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-2245360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-2245360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-2245360</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-951230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-951230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-951230</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-410845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-393700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-410845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-393700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-410845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-393700</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6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r>
      <w:tr>
        <w:trPr>
          <w:trHeight w:val="19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20,020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28,920</w:t>
            </w:r>
          </w:p>
        </w:tc>
        <w:tc>
          <w:tcPr>
            <w:tcW w:w="5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48,258</w:t>
            </w: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(recorded in other current assets)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7"/>
                <w:szCs w:val="17"/>
                <w:color w:val="auto"/>
              </w:rPr>
            </w:pPr>
          </w:p>
        </w:tc>
      </w:tr>
      <w:tr>
        <w:trPr>
          <w:trHeight w:val="23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20,020</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28,920</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48,418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Clearside Biomedical, Inc. (the “Company”) is a biopharmaceutical company focused on revolutionizing the delivery of therapies to the back of the eye through the suprachoroidal space (SCS). Incorporated in the State of Delaware on May 26, 2011, the Company has its corporate headquarters in Alpharetta, Georgia.</w:t>
      </w:r>
    </w:p>
    <w:p>
      <w:pPr>
        <w:spacing w:after="0" w:line="176"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Company’s activities since inception have primarily consisted of developing product and technology rights, raising capital and performing research and development activities.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cash and cash equivalents of $20.0 million as of December 31, 2024.</w:t>
      </w:r>
    </w:p>
    <w:p>
      <w:pPr>
        <w:spacing w:after="0" w:line="225"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Historically, the Company has funded its operations primarily through the sale of common stock and convertible preferred stock, the issuance of long-term debt, and license agreements. On October 25, 2021, the Company announced that the U.S. Food and Drug Administration (the "FDA") approved XIPERE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(triamcinolone acetonide injectable suspension) for the treatment of macular edema associated with uveitis, a form of eye inflammation. In January 2022, the Company received $10.0 million from Bausch + Lomb, a division of Bausch Health Companies, Inc. ("Bausch"), upon completion of pre-launch activities for XIPERE pursuant to the license agreement granting Bausch an exclusive license to develop and commercialize XIPERE in the United States and Canada. Bausch launched XIPERE in the United States in the first quarter of 2022.</w:t>
      </w:r>
    </w:p>
    <w:p>
      <w:pPr>
        <w:spacing w:after="0" w:line="198"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On February 6, 2024, the Company entered into a securities purchase agreement with institutional investors and an existing stockholder, pursuant to which the Company issued and sold, in a registered direct offering (the “Registered Direct Offering”): (i) an aggregate of 11,111,111 shares (the “Shares”) of its common stock; and (ii) warrants to purchase up to 11,111,111 shares of common stock (the “Warrants”).</w:t>
      </w:r>
    </w:p>
    <w:p>
      <w:pPr>
        <w:spacing w:after="0" w:line="176"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The combined purchase price of each Share and accompanying Warrant was $1.35. The exercise price for the Warrants is $1.62 per share. The Warrants are exercisable and will expire on August 9, 2029. The net proceeds to the Company from the Registered Direct Offering were $13.9 million.</w:t>
      </w:r>
    </w:p>
    <w:p>
      <w:pPr>
        <w:spacing w:after="0" w:line="14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January 31, 2024 (the “Amendment Effective Date”), the Company entered into a fourth amendment to the license agreement (as amended, the “Emory License Agreement”) with Emory University and Georgia Tech Research Corporation (collectively, the “Licensor”) pursuant to which the parties agreed to reduce the Sublicense Percentage (as defined in the Emory License Agreement) from a low double digit percentage to a high single digit percentage that the Company will pay the Licensor applicable to any fees or payments paid to the Company by any Sublicensee (as defined in the Emory License Agreement) of the Licensed Patents and/or Licensed Technology (each as defined in the Emory License Agreement), on or after July 1, 2023, excluding (i) amounts paid to the Company by a Sublicensee to reimburse the Company for certain research and development costs pursuant to a written agreement between the Company and such Sublicensee, (ii) the value of intellectual property transferred or granted to the Company if necessary or helpful to the development or commercialization of Licensed Products (as defined in the Emory License Agreement) and (iii) amounts paid for shares of the Company’s stock. The payment to Licensor of any such Sublicense Percentage is due within 30 days of receipt by the Company of a qualifying payment from a Sublicensee, provided however, with respect to any qualifying payments received by the Company from a Sublicensee after July 1, 2023 but prior to January 1, 2025, the payment to Licensor of any such Sublicensee Percentage is due to Licensor by March 31, 2025. The parties also agreed to a revised annual license maintenance fee due each year (the “Maintenance Fee”) starting in 2023 through 2028, as follows: $0.3 million for 2023 through 2025, $0.4 million for 2026 and for 2027 and $0.5 million for 2028. The Company paid the Maintenance Fee for 2023 in February 2024 and the Maintenance Fee for 2024 in October 2024. The remaining annual Maintenance Fee payments are due on October 1st of each year.</w:t>
      </w:r>
    </w:p>
    <w:p>
      <w:pPr>
        <w:spacing w:after="0" w:line="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December 22, 2023, Clearside Biomedical, Inc., through its wholly owned subsidiary Royalty Sub, entered into a letter agreement (the “Letter Agreement”) with HCR and HCR Clearside SPV, LLC (as assignee of HCR Collateral Management, LLC) (“Agent”) amending that certain Purchase and Sale Agreement, dated as of August 8, 2022, by and among Royalty Sub, HCR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jc w:val="both"/>
        <w:spacing w:after="0" w:line="266" w:lineRule="auto"/>
        <w:rPr>
          <w:sz w:val="20"/>
          <w:szCs w:val="20"/>
          <w:color w:val="auto"/>
        </w:rPr>
      </w:pPr>
      <w:r>
        <w:rPr>
          <w:rFonts w:ascii="Times New Roman" w:cs="Times New Roman" w:eastAsia="Times New Roman" w:hAnsi="Times New Roman"/>
          <w:sz w:val="18"/>
          <w:szCs w:val="18"/>
          <w:color w:val="auto"/>
        </w:rPr>
        <w:t>Agent. Pursuant to the terms of the Letter Agreement, Royalty Sub and Agent mutually agreed that Royalty Sub waived any and all rights to the $12.5 million milestone payment which was deposited in an escrow account (“First Milestone Payment") in connection with the closing of the transactions contemplated by the Purchase and Sale Agreement and agreed to the release of the First Milestone Payment to Agent.</w:t>
      </w:r>
    </w:p>
    <w:p>
      <w:pPr>
        <w:spacing w:after="0" w:line="6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On November 1, 2023, the Company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entered into a license agreement (the “BioCryst License Agreement”) with BioCryst Pharmaceuticals, Inc. (“BioCryst”) pursuant to which the Company granted BioCryst an exclusive, worldwide and sublicensable license to the Company’s SCS Microinjector for the delivery of BioCryst’s proprietary plasma kallikrein inhibitor known as avoralstat for the treatment and prevention of diabetic macular edema (“DME”).</w:t>
      </w:r>
    </w:p>
    <w:p>
      <w:pPr>
        <w:spacing w:after="0" w:line="175"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The Company received an upfront license fee payment of $5.0 million in connection with signing of the BioCryst License Agreement. In addition, the Company is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the Company tiered mid-single digit royalties on annual global net product sales, with the highest royalty rate applied to sales over $1.5 billion, subject to reductions in specified circumstances. The Company’s rights to these royalties and milestone payments have been sold pursuant to the terms and conditions of the Purchase and Sale Agreement described above in in Note 5 to the consolidated financial statements.</w:t>
      </w:r>
    </w:p>
    <w:p>
      <w:pPr>
        <w:spacing w:after="0" w:line="185"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In May 2023, the Company terminated its at-the-market sales agreement with Cowen and Company, LLC (the "Prior ATM Agreement"). The Company sold 515,959 shares of its common stock for net proceeds of $0.7 million under its Prior ATM Agreement with Cowen and Company, LLC during the year ended December 31, 2023, prior to the termination of the Prior ATM Agreement.</w:t>
      </w:r>
    </w:p>
    <w:p>
      <w:pPr>
        <w:spacing w:after="0" w:line="183"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In May 2023,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("Cantor") under which the Company may offer and sell, from time to time at its sole discretion, shares of its common stock, having an aggregate offering price of up to $50.0 million through Cantor as its sales agent. During the year ended December 31, 2024, the Company sold 2,172,723 shares of its common stock for net proceeds of $2.5 million under the Sales Agreement. During the year ended December 31, 2023, the Company sold 1,073,740 shares of its common stock for net proceeds of $1.1 million under the Sales Agreement. Subsequent to December 31, 2024, the Company sold an additional 297,908 shares of its common stock pursuant to the Sales Agreement for net proceeds of $0.3 million.</w:t>
      </w:r>
    </w:p>
    <w:p>
      <w:pPr>
        <w:spacing w:after="0" w:line="19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August 8, 2022, the Company entered into a Purchase and Sale Agreement (the "Purchase and Sale Agreement") pursuant to which it sold its rights to receive royalty and milestone payments due to the Company from XIPERE and certain SCS Microinjector license agreements subject to a cap which may be increased under certain circumstances. The Company received a payment of $32.1 million in September 2022, representing the $32.5 million to which the Company was entitled, net of certain of HCR's transaction-related expenses which the Company agreed to reimburse. There were additional issuance costs of $1.5 million related to the Purchase and Sale Agreement resulting in net proceeds of $30.6 million.</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has suffered recurring losses and negative cash flows from operations since inception and anticipates incurring additional losses until such time, if ever, that it can generate significant revenue. The Company has no current source of revenue to sustain present activities. The Company does not expect to generate other meaningful revenue until and unless the Company's licensees successfully commercialize XIPERE and the Company has fulfilled its obligations under the Purchase and Sale Agreement, its other licensees receive regulatory approval and successfully commercialize its product candidates, or the Company commercializes its product candidates either on its own or with a third party. In the absence of product or other revenues, the amount, timing, nature or source of which cannot be predicted, the Company’s losses will continue as it conducts its research and development activities.</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will continue to need to obtain additional financing to fund future operations, including completing the development, partnering and potential commercialization of its primary product candidates. The Company will need to obtain financing to complete the development and conduct clinical trials for the regulatory approval of its product candidates if requested by regulatory bodies. If such product candidates were to receive regulatory approval, the Company would need to obtain financing to prepare for the potential commercialization of its product candidates, if the Company decides to commercialize the products on its own.</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within one year after the date the financial statements are issued. Based on its current plans and forecasted expenses, the Company expects that its cash and cash equivalents as of the filing date, March 27, 2025, will enable the Company to fund its planned operating expenses and capital expenditure requirements into the fourth quarter of 2025.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results of the financial operations of Clearside Biomedical, Inc. and its wholly-owned subsidiary, Clearside Royalty LLC. a Delaware limited liability company, which was formed for the purposes of the transactions contemplated by the Purchase and Sale Agreement described in Note 5. All intercompany balances and transactions have been eliminated.</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have been prepared in conformity with U.S. generally accepted accounting principles in the United States of America (“U.S. GAAP”). Certain amounts reported in prior periods have been reclassified to conform to the current period financial statement presentation. These reclassifications are not material and have no effect on the previously reported consolidated financial statements and related disclosures.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income and expenses during the reporting periods. Significant items subject to such estimates and assumptions include the estimate of the total amount of future royalty revenue and milestone payments to be generated over the life of the Purchase and Sale Agreement, certain assumptions used in the valuation of warrant liabilities, revenue recognition, the accounting for useful lives to calculate depreciation and amortization, clinical trial expense accruals, share-based compensation expense and income tax valuation allowance. Actual results could differ from these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12529"/>
        </w:rPr>
        <w:t xml:space="preserve">The Company recognizes revenue from its contracts with customers under Financial Accounting Standards Board Accounting Standards Codification (“ASC”) 606, </w:t>
      </w:r>
      <w:r>
        <w:rPr>
          <w:rFonts w:ascii="Times New Roman" w:cs="Times New Roman" w:eastAsia="Times New Roman" w:hAnsi="Times New Roman"/>
          <w:sz w:val="18"/>
          <w:szCs w:val="18"/>
          <w:i w:val="1"/>
          <w:iCs w:val="1"/>
          <w:color w:val="212529"/>
        </w:rPr>
        <w:t>Revenue from Contracts with Customers</w:t>
      </w:r>
      <w:r>
        <w:rPr>
          <w:rFonts w:ascii="Times New Roman" w:cs="Times New Roman" w:eastAsia="Times New Roman" w:hAnsi="Times New Roman"/>
          <w:sz w:val="18"/>
          <w:szCs w:val="18"/>
          <w:color w:val="212529"/>
        </w:rPr>
        <w:t>.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189"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8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the years ended December 31, 2024, 2023, and 2022, the Company recognized $1.7 million, $8.2 million, and $1.3 million of revenue associated with its license agreements, respectively. License revenue for the year ended December 31, 2024 was primarily from providing $0.9 million of training materials and clinical trial products to the Company's licensees and from $0.7 million of other services provided to the Company's licensees. License revenue for the year ended December 31, 2023 was primarily for a non-refundable $5.0 million upfront license fee payment from BioCryst and $1.4 million of milestone payments from Aura Biosciences, Inc. The $5.0 million non-refundable upfront payment was recognized upon transfer of control of the license to BioCryst. The $1.4 million in milestone payments from Aura were recognized upon satisfaction of the related performance obligations. Remaining revenue for the year ended December 31, 2023 was generated by providing $1.2 million of training materials and clinical trial products to the Company's licensees and $0.6 million from other services provided to the Company's licensees. License revenue for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8" w:name="page89"/>
    <w:bookmarkEnd w:id="88"/>
    <w:p>
      <w:pPr>
        <w:ind w:right="160"/>
        <w:spacing w:after="0" w:line="282" w:lineRule="auto"/>
        <w:rPr>
          <w:sz w:val="20"/>
          <w:szCs w:val="20"/>
          <w:color w:val="auto"/>
        </w:rPr>
      </w:pPr>
      <w:r>
        <w:rPr>
          <w:rFonts w:ascii="Times New Roman" w:cs="Times New Roman" w:eastAsia="Times New Roman" w:hAnsi="Times New Roman"/>
          <w:sz w:val="18"/>
          <w:szCs w:val="18"/>
          <w:color w:val="auto"/>
        </w:rPr>
        <w:t>the year ended December 31, 2022 was primarily from providing $1.2 million of training materials and clinical trial products to the Company's licensees and $0.1 million of other services to the Company's licensees.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Property and equipment is recorded at historical cost. Depreciation is calculated using the straight-line method over the estimated useful lives of the related assets, or for leasehold improvement the lesser of the useful life or remaining lease term. Repairs and maintenance are expensed when incurred. Upon retirement or sale, the cost of the assets disposed of and the related accumulated depreciation are removed from the accounts, and any resulting gain or loss is included in the determination of net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Deferred tax assets or liabilities are recorded for temporary differences between financial statement and tax basis of assets and liabilities, using enacted rates in effect for the year in which the differences are expected to reverse. A valuation allowance is recorded if it is more likely than not that a deferred tax asset will not be realized. The Company has provided a full valuation allowance on its deferred tax assets, which primarily consist of cumulative net operating losses for the period from May 26, 2011 (inception) to December 31, 2024. Due to its history of operating losses since inception and losses expected to be incurred in the foreseeable future, a full valuation allowance was considered necessary.</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Liabilities for uncertain tax positions are recognized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Once it is determined that the position meets the recognition threshold, the second step requires estimating and measuring the largest amount of tax benefit that is more likely than not to be realized upon ultimate settlement. The difference between the amount of recognizable tax benefit and the total amount of tax benefit from positions filed or to be filed with the tax authorities is recorded as a liability for uncertain tax benefits.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are charged to expense as incurred and include:</w:t>
      </w:r>
    </w:p>
    <w:p>
      <w:pPr>
        <w:spacing w:after="0" w:line="117" w:lineRule="exact"/>
        <w:rPr>
          <w:sz w:val="20"/>
          <w:szCs w:val="20"/>
          <w:color w:val="auto"/>
        </w:rPr>
      </w:pPr>
    </w:p>
    <w:p>
      <w:pPr>
        <w:ind w:left="1020" w:right="6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share-based compensation expense for research and development personnel;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contract manufacturing organizations and consultants that conduct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the Company’s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the Company’s research and development facility;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22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Costs for certain development activities, such as clinical trial activities, are recognized based on an evaluation of the estimated total costs for the clinical trial, progress to completion of specific tasks, using data such as patient enrollment, pass through expenses, clinical site activations, data from the clinical sites or information provided to the Company by its vendors on their actual costs incurred. Payments for these activities are based on the terms of the individual contracts and any subsequent amendments, which may differ from the patterns of costs incurred, and are reflected in the consolidated financial statements as prepaid or accrued expenses.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Compensation cost related to share-based awards granted to employees, directors and consultants is measured based on the estimated fair value of the award at the grant date. The fair value of restricted stock units granted is measured based on the market value of the Company’s common stock on the date of grant. Share-based compensation costs are expensed on a straight-line basis over the relevant vesting period.</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All share-based compensation costs are recorded in general and administrative or research and development costs in the consolidated statements of operations based upon the underlying employees’ roles within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consist of short-term, highly liquid investments with an original term of three months or less at the date of purchase.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was required to maintain a stand-by letter of credit as a security deposit for its facility lease in Alpharetta, Georgia. The Company’s bank required the Company to maintain a restricted cash balance to serve as collateral for the letter of credit issued to the landlord by the bank.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Sales of Future Royalties and Non-Cash Interest Expense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Purchase and Sale Agreement, the Company recognized a liability related to the sales of future royalties under ASC 470-10 Debt and ASC 835-30 Interest - Imputation of Interest. The initial funds received by the Company pursuant to the terms of the Purchase and Sale Agreement were recorded as a liability and are accreted under the effective interest method up to the estimated amount of future royalties and milestone payments to be made under the Purchase and Sale Agreement. The issuance costs were recorded as a direct deduction to the carrying amount of the liability and are being amortized under the effective interest method over the estimated period the liability will be repaid. The Company estimates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the Company will prospectively adjust the effective interest and the related amortization of the liability and related issuance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warrants (i) are freestanding financial instruments pursuant to ASC 480, (ii) meet the definition of a liability pursuant to ASC 480, and (iii)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0" w:name="page91"/>
    <w:bookmarkEnd w:id="90"/>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For warrants that meet all criteria for equity classification, the warrants are required to be recorded as a component of additional paid-in capital, on the consolidated statements of stockholders’ deficit at the time of issuance. For warrants that do not meet all the criteria for equity classification, the warrants are required to be recorded at their initial fair value on the date of issuance and on each consolidated balance sheet date thereafter.</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warrant liabilities are measured at fair value using a simulation model which takes into account, as of the valuation date, factors including the current exercise price, the expected life of the warrant, the current price of the Company's common stock, the expected volatility, the risk-free interest rate for the term of the warrant and the likelihood of achieving certain future milestone events and the related impact to the price of the Company's common stock. The warrant liabilities are revalued at each reporting period and changes in fair value are recognized in other income (expense) in the consolidated statements of operations. The selection of the appropriate valuation model and the inputs and assumptions that are required to determine the valuation requires significant judgment and requires management to make estimates and assumptions that affect the reported amount of the related liability and reported amounts of the change in fair value. Actual results could differ from those estimates, and changes in these estimates are recorded when known.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ASU is intended to enhance the transparency and decision usefulness of income tax disclosures primarily related to the rate reconciliation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income taxes paid information. The main provisions to the rate reconciliation disclosure require public entities to disclose, on an annual basis, specific categories in the rate reconciliation and provide additional information for reconciling items that meet a quantitative threshold. The main provisions to the income taxes paid disclosure require that all entities disclose on an annual basis: the amount of income taxes paid disaggregated by federal, state and foreign taxes and the amount of income taxes paid disaggregated by individual jurisdictions in which income taxes paid meets a quantitative threshold. This ASU also requires all entities to disclose income (loss) from continuing operations before income tax expense (benefit) disaggregated between domestic and foreign and income tax expense (benefit) from continuing operations disaggregated by federal, state and foreign.</w:t>
      </w:r>
    </w:p>
    <w:p>
      <w:pPr>
        <w:spacing w:after="0" w:line="7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This ASU is to be applied on a prospective basis with an effective date for all public entities for annual periods beginning after December 15, 2024. Early adoption is permitted. The Company will adopt ASU No. 2023-09 on January 1, 2025 and does not expect the adoption to have a material the impact on its consolidated financial statements.</w:t>
      </w:r>
    </w:p>
    <w:p>
      <w:pPr>
        <w:spacing w:after="0" w:line="6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The ASU requires disclosure of disaggregated income statement expense information about specific categories including purchases of inventory, employee compensation expense, depreciation and amortization in the notes to the financial statements. This ASU is effective January 1, 2027 for annual reporting periods and January 1, 2028 for interim reporting periods. The Company is currently evaluating the impact of this ASU on its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(dollar 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020" w:type="dxa"/>
            <w:vAlign w:val="bottom"/>
            <w:gridSpan w:val="2"/>
            <w:shd w:val="clear" w:color="auto" w:fill="CFF0FC"/>
          </w:tcPr>
          <w:p>
            <w:pPr>
              <w:jc w:val="center"/>
              <w:ind w:left="179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02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020" w:type="dxa"/>
            <w:vAlign w:val="bottom"/>
            <w:gridSpan w:val="2"/>
            <w:shd w:val="clear" w:color="auto" w:fill="CFF0FC"/>
          </w:tcPr>
          <w:p>
            <w:pPr>
              <w:jc w:val="center"/>
              <w:ind w:left="17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Lesser of</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useful life or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9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 term</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9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(1,146 )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(920 )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6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0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90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89</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-1362075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-1362075</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-1079500</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-1079500</wp:posOffset>
            </wp:positionV>
            <wp:extent cx="59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Accrued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8"/>
        </w:trPr>
        <w:tc>
          <w:tcPr>
            <w:tcW w:w="17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17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5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Royalty Purchase and Sale Agreement</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August 8, 2022 (the “Closing Date”), the Company, through its wholly-owned subsidiary Clearside Royalty LLC, a Delaware limited liability company (“Royalty Sub”), entered into a Purchase and Sale Agreement (the “Purchase and Sale Agreement”) with entities managed by HealthCare Royalty Management, LLC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Biosciences, Inc. (the “Aura License Agreement”), that certain Option and License Agreement, dated as of August 29, 2019, by and between REGENXBIO Inc. and the Company (the “REGENXBIO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(collectively, the “Royalties”), in exchange for up to $65 million. In connection with this transaction, the Company assigned the Arctic Vision License Agreement, Bausch License Agreement, Aura License Agreement, REGENXBIO License Agreement, the Company's license agreement with Emory University and The Georgia Tech Research Corporation and related intellectual property rights to Royalty Sub.</w:t>
      </w:r>
    </w:p>
    <w:p>
      <w:pPr>
        <w:spacing w:after="0" w:line="18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Purchase and Sale Agreement, Royalty Sub received an initial payment of $32.1 million, representing the $32.5 million to which the Company was entitled, net of certain of HCR's transaction-related expenses which the Company agreed to reimburse. There were additional issuance costs of $1.5 million related to the Purchase and Sale Agreement resulting in net proceeds of $30.6 million. An additional $12.5 million (the "First Milestone Payment") was deposited by HCR in an escrow account which was released to HCR pursuant to the Letter Agreement described below.</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Purchase and Sale Agreement will automatically expire, and the payment of Royalties from the Royalty Sub to HCR will cease, when HCR has received payments of the Royalties equal to 3.4 times the aggregate amount of payments made by HCR under the Agreement (the “Cap Amount”). In the event of a change in control, the acquiror will have the option to make a payment to HCR of the Cap Amount,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Cap Amount. After the Purchase and Sale Agreement expires, all rights to receive the Royalties return to Royalty Sub.</w:t>
      </w:r>
    </w:p>
    <w:p>
      <w:pPr>
        <w:spacing w:after="0" w:line="19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December 22, 2023, the Company, through its wholly owned subsidiary Royalty Sub, entered into the Letter Agreement with the Agent amending that certain Purchase and Sale Agreement, dated as of August 8, 2022, by and among Royalty Sub, HCR and Agent. Pursuant to the terms of the Letter Agreement, Royalty Sub and Agent mutually agreed that Royalty Sub waived any and all rights to the First Milestone Payment in connection with the closing of the transactions contemplated by the Purchase and Sale Agreement and agreed to the release of the First Milestone Payment to Agent.</w:t>
      </w:r>
    </w:p>
    <w:p>
      <w:pPr>
        <w:spacing w:after="0" w:line="180"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7"/>
          <w:szCs w:val="17"/>
          <w:color w:val="auto"/>
        </w:rPr>
        <w:t>Issuance costs pursuant to the Purchase and Sale Agreement consisting primarily of advisory and legal fees, totaled $1.9 million including the amount of HCR's transaction-related expenses that the Company reimbursed. The effective interest rate includes cash flow projections for future royalty and milestone payments that are forward looking and could be affected by future market conditions. The Company estimates the amount and timing of expected payments based on historical experience and its expectations of future activities from its license partners, as well as current market conditions.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9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of the Purchase and Sale Agreement (in thousands):</w:t>
            </w: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08"/>
        </w:trPr>
        <w:tc>
          <w:tcPr>
            <w:tcW w:w="9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16"/>
        </w:trPr>
        <w:tc>
          <w:tcPr>
            <w:tcW w:w="9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180" w:type="dxa"/>
            <w:vAlign w:val="bottom"/>
            <w:shd w:val="clear" w:color="auto" w:fill="CFF0FC"/>
          </w:tcPr>
          <w:p>
            <w:pPr>
              <w:spacing w:after="0"/>
              <w:rPr>
                <w:sz w:val="18"/>
                <w:szCs w:val="18"/>
                <w:color w:val="auto"/>
              </w:rPr>
            </w:pPr>
          </w:p>
        </w:tc>
      </w:tr>
      <w:tr>
        <w:trPr>
          <w:trHeight w:val="216"/>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7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(1,350 )</w:t>
            </w:r>
          </w:p>
        </w:tc>
      </w:tr>
      <w:tr>
        <w:trPr>
          <w:trHeight w:val="216"/>
        </w:trPr>
        <w:tc>
          <w:tcPr>
            <w:tcW w:w="9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7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41,988</w:t>
            </w:r>
          </w:p>
        </w:tc>
        <w:tc>
          <w:tcPr>
            <w:tcW w:w="180" w:type="dxa"/>
            <w:vAlign w:val="bottom"/>
          </w:tcPr>
          <w:p>
            <w:pPr>
              <w:spacing w:after="0"/>
              <w:rPr>
                <w:sz w:val="18"/>
                <w:szCs w:val="18"/>
                <w:color w:val="auto"/>
              </w:rPr>
            </w:pPr>
          </w:p>
        </w:tc>
      </w:tr>
      <w:tr>
        <w:trPr>
          <w:trHeight w:val="216"/>
        </w:trPr>
        <w:tc>
          <w:tcPr>
            <w:tcW w:w="9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7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51,767</w:t>
            </w:r>
          </w:p>
        </w:tc>
        <w:tc>
          <w:tcPr>
            <w:tcW w:w="18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9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7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7017385</wp:posOffset>
            </wp:positionH>
            <wp:positionV relativeFrom="paragraph">
              <wp:posOffset>-739775</wp:posOffset>
            </wp:positionV>
            <wp:extent cx="1200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-456565</wp:posOffset>
            </wp:positionV>
            <wp:extent cx="1200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Preferred and Common Stock</w:t>
      </w:r>
    </w:p>
    <w:p>
      <w:pPr>
        <w:spacing w:after="0" w:line="229"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Company to issue 10,000,000 shares of $0.001 par value of preferred stock. As of December 31, 2024 and 2023, there were 10,000,000 shares of preferred stock authorized, none of which were issued and outstanding.</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Company to issue 200,000,000 shares of $0.001 par value common stock. As of December 31, 2024 and 2023, there were 76,578,383 and 62,850,841 shares of common stock outstanding,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 Warrants</w:t>
      </w:r>
    </w:p>
    <w:p>
      <w:pPr>
        <w:spacing w:after="0" w:line="229"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In September 2016, in connection with a loan agreement, the Company issued warrants to the lenders to purchase up to 29,796 shares of common stock at a price per share of $10.74. The warrants are fully exercisable and expire in September 2026, or earlier upon the occurrence of specified mergers or acquisitions of the Company. The warrants were recorded in equity at the time of issuance and had a remaining life of 1.75 years as of December 31, 2024.</w:t>
      </w:r>
    </w:p>
    <w:p>
      <w:pPr>
        <w:spacing w:after="0" w:line="15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February 6, 2024, the Company entered into a securities purchase agreement with institutional investors and an existing stockholder, pursuant to which the Company issued and sold, in a registered direct offering (i) an aggregate of 11,111,111 shares (the “Shares”) of its common stock; and (ii) warrants to purchase up to 11,111,111 shares of common stock (the “Warrants”).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combined purchase price of each Share and accompanying Warrant was $1.35. The exercise price for the Warrants is $1.62 per share. The Warrants are exercisable and will expire on August 9, 2029. The Company recorded the initial fair value of the Warrants of $10.3 million as warrant liabilities and $4.7 million attributable to common stock as additional paid in capital in the consolidated balance sheets. The issuance costs were allocated among the Warrants and common stock consistent with the allocation between amounts recorded as warrant liabilities and common stock. The issuance costs allocated to the Warrants as well as the change in the fair value of the Warrants during the period are recorded in other income, net in the consolidated statements of operations. The issuance costs allocated to common stock were recorded as a reduction to additional paid in capital.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warrant liabilities during the year ended December 31, 2024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warrants at issuance February 9, 2024</w:t>
            </w:r>
          </w:p>
        </w:tc>
        <w:tc>
          <w:tcPr>
            <w:tcW w:w="124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20" w:type="dxa"/>
            <w:vAlign w:val="bottom"/>
            <w:shd w:val="clear" w:color="auto" w:fill="CFF0FC"/>
          </w:tcPr>
          <w:p>
            <w:pPr>
              <w:spacing w:after="0"/>
              <w:rPr>
                <w:sz w:val="18"/>
                <w:szCs w:val="18"/>
                <w:color w:val="auto"/>
              </w:rPr>
            </w:pPr>
          </w:p>
        </w:tc>
      </w:tr>
      <w:tr>
        <w:trPr>
          <w:trHeight w:val="216"/>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(3,635 )</w:t>
            </w:r>
          </w:p>
        </w:tc>
      </w:tr>
      <w:tr>
        <w:trPr>
          <w:trHeight w:val="249"/>
        </w:trPr>
        <w:tc>
          <w:tcPr>
            <w:tcW w:w="8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warrants at December 31, 2024</w:t>
            </w:r>
          </w:p>
        </w:tc>
        <w:tc>
          <w:tcPr>
            <w:tcW w:w="6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413"/>
        </w:trPr>
        <w:tc>
          <w:tcPr>
            <w:tcW w:w="8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certain key inputs for the valuation of the Warrants at December 31, 2024:</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8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 per share</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8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6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-1202690</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-1185545</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51"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As described in Note 2, the measurement of the warrant liabilities is impacted by the likelihood of achieving certain events and the related impact to the Company’s stock price. In determining the likelihood of achieving certain future milestone events,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ind w:right="660"/>
        <w:spacing w:after="0" w:line="282" w:lineRule="auto"/>
        <w:rPr>
          <w:sz w:val="20"/>
          <w:szCs w:val="20"/>
          <w:color w:val="auto"/>
        </w:rPr>
      </w:pPr>
      <w:r>
        <w:rPr>
          <w:rFonts w:ascii="Times New Roman" w:cs="Times New Roman" w:eastAsia="Times New Roman" w:hAnsi="Times New Roman"/>
          <w:sz w:val="18"/>
          <w:szCs w:val="18"/>
          <w:color w:val="auto"/>
        </w:rPr>
        <w:t>Company considers its current financial position and ability to fund future clinical activities as described in Note 1. The Company utilizes publicly available information from external parties to assess the related impact to the Company’s stock price from the success of these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January 2016, the Company’s board of directors adopted and approved the Clearside Biomedical, Inc. 2016 Equity Incentive Plan (the “2016 Plan”) which became effective on June 1, 2016. The 2016 Plan provides for the grant of share-based awards to employees, directors and consultants of the Company. The 2016 Plan provides for the grant of incentive stock options to employees, and for the grant of nonqualified stock options, restricted stock awards, restricted stock unit awards, stock appreciation rights, performance stock awards and other forms of stock compensation to the Company’s employees, directors, and non-employee third parties. The number of shares of common stock reserved for issuance under the 2016 Plan will automatically increase on January 1 each year, through January 1, 2026, by 4% of the total number of shares of the Company’s common stock outstanding on December 31 of the preceding calendar year, or a lesser number of shares as may be determined by the Company’s board of directors. At December 31, 2024, under the 2016 Plan, options to purchase 12,539,984 shares of the Company’s common stock were outstanding at a weighted average price of $2.44 per share and 172,497 shares remained available for future grant. As of January 1, 2025, the number of shares of common stock that may be issued under the 2016 Plan was automatically increased by 3,063,135 shares, representing 4% of the total number of shares of common stock outstanding on December 31, 2024, increasing the number of shares of common stock available for issuance under the 2016 Plan as of that date to 3,235,632 shares.</w:t>
      </w:r>
    </w:p>
    <w:p>
      <w:pPr>
        <w:spacing w:after="0" w:line="19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adoption of the 2016 Plan, no further grants may be made under the Company’s 2011 Stock Incentive Plan (the “2011 Plan”). The 2011 Plan provided for the grant of share-based awards to employees, directors and consultants of the Company. At December 31, 2024, options to purchase 87,385 shares of the Company’s common stock were outstanding under the 2011 Plan at a weighted average exercise price of $5.57 per share.</w:t>
      </w:r>
    </w:p>
    <w:p>
      <w:pPr>
        <w:spacing w:after="0" w:line="176" w:lineRule="exact"/>
        <w:rPr>
          <w:sz w:val="20"/>
          <w:szCs w:val="20"/>
          <w:color w:val="auto"/>
        </w:rPr>
      </w:pPr>
    </w:p>
    <w:p>
      <w:pPr>
        <w:jc w:val="both"/>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stock option awards to employees, directors and consultants. The total share-based compensation expense recognized is reflected in the consolidated statements of operations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66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66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r>
      <w:tr>
        <w:trPr>
          <w:trHeight w:val="196"/>
        </w:trPr>
        <w:tc>
          <w:tcPr>
            <w:tcW w:w="6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620" w:type="dxa"/>
            <w:vAlign w:val="bottom"/>
            <w:shd w:val="clear" w:color="auto" w:fill="CFF2FA"/>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FF2FA"/>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380" w:type="dxa"/>
            <w:vAlign w:val="bottom"/>
            <w:gridSpan w:val="2"/>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560" w:type="dxa"/>
            <w:vAlign w:val="bottom"/>
            <w:gridSpan w:val="2"/>
            <w:shd w:val="clear" w:color="auto" w:fill="CFF2FA"/>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shd w:val="clear" w:color="auto" w:fill="CFF2FA"/>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Pr>
          <w:p>
            <w:pPr>
              <w:spacing w:after="0"/>
              <w:rPr>
                <w:sz w:val="18"/>
                <w:szCs w:val="18"/>
                <w:color w:val="auto"/>
              </w:rPr>
            </w:pPr>
          </w:p>
        </w:tc>
      </w:tr>
      <w:tr>
        <w:trPr>
          <w:trHeight w:val="250"/>
        </w:trPr>
        <w:tc>
          <w:tcPr>
            <w:tcW w:w="6620" w:type="dxa"/>
            <w:vAlign w:val="bottom"/>
            <w:tcBorders>
              <w:bottom w:val="single" w:sz="8" w:color="CFF2FA"/>
            </w:tcBorders>
            <w:shd w:val="clear" w:color="auto" w:fill="CFF2FA"/>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FF2FA"/>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260" w:type="dxa"/>
            <w:vAlign w:val="bottom"/>
            <w:tcBorders>
              <w:bottom w:val="single" w:sz="8" w:color="CFF2FA"/>
            </w:tcBorders>
            <w:shd w:val="clear" w:color="auto" w:fill="CFF2FA"/>
          </w:tcPr>
          <w:p>
            <w:pPr>
              <w:spacing w:after="0"/>
              <w:rPr>
                <w:sz w:val="21"/>
                <w:szCs w:val="21"/>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260" w:type="dxa"/>
            <w:vAlign w:val="bottom"/>
            <w:tcBorders>
              <w:bottom w:val="single" w:sz="8" w:color="CFF2FA"/>
            </w:tcBorders>
            <w:shd w:val="clear" w:color="auto" w:fill="CFF2FA"/>
          </w:tcPr>
          <w:p>
            <w:pPr>
              <w:spacing w:after="0"/>
              <w:rPr>
                <w:sz w:val="21"/>
                <w:szCs w:val="21"/>
                <w:color w:val="auto"/>
              </w:rPr>
            </w:pPr>
          </w:p>
        </w:tc>
        <w:tc>
          <w:tcPr>
            <w:tcW w:w="300" w:type="dxa"/>
            <w:vAlign w:val="bottom"/>
            <w:tcBorders>
              <w:bottom w:val="single" w:sz="8" w:color="auto"/>
            </w:tcBorders>
            <w:shd w:val="clear" w:color="auto" w:fill="CFF2FA"/>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20" w:type="dxa"/>
            <w:vAlign w:val="bottom"/>
            <w:tcBorders>
              <w:bottom w:val="single" w:sz="8" w:color="CFF2FA"/>
            </w:tcBorders>
            <w:shd w:val="clear" w:color="auto" w:fill="CFF2FA"/>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both"/>
        <w:ind w:right="1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Share-based compensation is accounted for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17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 average assumptions utilized in the Black-Scholes option pricing model to calculate the fair value of the underlying common stock for the years ended December 31, 2024, 2023 and 2022.</w:t>
      </w:r>
    </w:p>
    <w:p>
      <w:pPr>
        <w:spacing w:after="0" w:line="131"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r>
      <w:tr>
        <w:trPr>
          <w:trHeight w:val="196"/>
        </w:trPr>
        <w:tc>
          <w:tcPr>
            <w:tcW w:w="6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FF0FC"/>
          </w:tcPr>
          <w:p>
            <w:pPr>
              <w:spacing w:after="0"/>
              <w:rPr>
                <w:sz w:val="18"/>
                <w:szCs w:val="18"/>
                <w:color w:val="auto"/>
              </w:rPr>
            </w:pPr>
          </w:p>
        </w:tc>
      </w:tr>
      <w:tr>
        <w:trPr>
          <w:trHeight w:val="216"/>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97.74 %</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95.55 %</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98.24 %</w:t>
            </w:r>
          </w:p>
        </w:tc>
      </w:tr>
      <w:tr>
        <w:trPr>
          <w:trHeight w:val="216"/>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4.15 %</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4.07 %</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2.09 %</w:t>
            </w:r>
          </w:p>
        </w:tc>
      </w:tr>
      <w:tr>
        <w:trPr>
          <w:trHeight w:val="234"/>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0.00 %</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0.00 %</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(in years): The Company calculates the expected term using historical data.</w:t>
      </w:r>
    </w:p>
    <w:p>
      <w:pPr>
        <w:spacing w:after="0" w:line="225"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yields of U.S. Treasury securities with maturities similar to the expected time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possible liquidity event.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has not paid and does not anticipate paying any dividends in the foreseeable future.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Expected stock price volatility</w:t>
      </w:r>
      <w:r>
        <w:rPr>
          <w:rFonts w:ascii="Times New Roman" w:cs="Times New Roman" w:eastAsia="Times New Roman" w:hAnsi="Times New Roman"/>
          <w:sz w:val="18"/>
          <w:szCs w:val="18"/>
          <w:color w:val="auto"/>
        </w:rPr>
        <w:t>: The Company calculates expected volatility based on the historical volatility of its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The Company records forfeitures as they occur.</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options during the year ended December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68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7680" w:type="dxa"/>
            <w:vAlign w:val="bottom"/>
          </w:tcPr>
          <w:p>
            <w:pPr>
              <w:spacing w:after="0"/>
              <w:rPr>
                <w:sz w:val="20"/>
                <w:szCs w:val="20"/>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0"/>
        </w:trPr>
        <w:tc>
          <w:tcPr>
            <w:tcW w:w="76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9,865,770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3,034,375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(10,000 )</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 or expired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(245,540 )</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12,644,605</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5,494,746</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7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2024</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7,643,102</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-624840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-607695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-325120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-307975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about the Company’s stock options that were outstanding and exercisable at December 31, 2024 (aggregate intrinsic values in thousands):</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Weighted</w:t>
            </w:r>
          </w:p>
        </w:tc>
      </w:tr>
      <w:tr>
        <w:trPr>
          <w:trHeight w:val="162"/>
        </w:trPr>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23"/>
              <w:spacing w:after="0" w:line="162"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Average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Average</w:t>
            </w:r>
          </w:p>
        </w:tc>
      </w:tr>
      <w:tr>
        <w:trPr>
          <w:trHeight w:val="162"/>
        </w:trPr>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3"/>
              <w:spacing w:after="0" w:line="162" w:lineRule="exact"/>
              <w:rPr>
                <w:sz w:val="20"/>
                <w:szCs w:val="20"/>
                <w:color w:val="auto"/>
              </w:rPr>
            </w:pPr>
            <w:r>
              <w:rPr>
                <w:rFonts w:ascii="Times New Roman" w:cs="Times New Roman" w:eastAsia="Times New Roman" w:hAnsi="Times New Roman"/>
                <w:sz w:val="15"/>
                <w:szCs w:val="15"/>
                <w:b w:val="1"/>
                <w:bCs w:val="1"/>
                <w:color w:val="auto"/>
              </w:rPr>
              <w:t>Average</w:t>
            </w:r>
          </w:p>
        </w:tc>
        <w:tc>
          <w:tcPr>
            <w:tcW w:w="220" w:type="dxa"/>
            <w:vAlign w:val="bottom"/>
          </w:tcPr>
          <w:p>
            <w:pPr>
              <w:spacing w:after="0"/>
              <w:rPr>
                <w:sz w:val="14"/>
                <w:szCs w:val="14"/>
                <w:color w:val="auto"/>
              </w:rPr>
            </w:pPr>
          </w:p>
        </w:tc>
        <w:tc>
          <w:tcPr>
            <w:tcW w:w="7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Aggregate</w:t>
            </w:r>
          </w:p>
        </w:tc>
        <w:tc>
          <w:tcPr>
            <w:tcW w:w="22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Remaining</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42"/>
              <w:spacing w:after="0" w:line="162" w:lineRule="exact"/>
              <w:rPr>
                <w:sz w:val="20"/>
                <w:szCs w:val="20"/>
                <w:color w:val="auto"/>
              </w:rPr>
            </w:pPr>
            <w:r>
              <w:rPr>
                <w:rFonts w:ascii="Times New Roman" w:cs="Times New Roman" w:eastAsia="Times New Roman" w:hAnsi="Times New Roman"/>
                <w:sz w:val="15"/>
                <w:szCs w:val="15"/>
                <w:b w:val="1"/>
                <w:bCs w:val="1"/>
                <w:color w:val="auto"/>
              </w:rPr>
              <w:t>Average</w:t>
            </w:r>
          </w:p>
        </w:tc>
        <w:tc>
          <w:tcPr>
            <w:tcW w:w="220" w:type="dxa"/>
            <w:vAlign w:val="bottom"/>
          </w:tcPr>
          <w:p>
            <w:pPr>
              <w:spacing w:after="0"/>
              <w:rPr>
                <w:sz w:val="14"/>
                <w:szCs w:val="14"/>
                <w:color w:val="auto"/>
              </w:rPr>
            </w:pPr>
          </w:p>
        </w:tc>
        <w:tc>
          <w:tcPr>
            <w:tcW w:w="8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Aggregate</w:t>
            </w:r>
          </w:p>
        </w:tc>
        <w:tc>
          <w:tcPr>
            <w:tcW w:w="220" w:type="dxa"/>
            <w:vAlign w:val="bottom"/>
          </w:tcPr>
          <w:p>
            <w:pPr>
              <w:spacing w:after="0"/>
              <w:rPr>
                <w:sz w:val="14"/>
                <w:szCs w:val="14"/>
                <w:color w:val="auto"/>
              </w:rPr>
            </w:pPr>
          </w:p>
        </w:tc>
        <w:tc>
          <w:tcPr>
            <w:tcW w:w="12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Remaining</w:t>
            </w:r>
          </w:p>
        </w:tc>
      </w:tr>
      <w:tr>
        <w:trPr>
          <w:trHeight w:val="162"/>
        </w:trPr>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Exercise</w:t>
            </w:r>
          </w:p>
        </w:tc>
        <w:tc>
          <w:tcPr>
            <w:tcW w:w="220" w:type="dxa"/>
            <w:vAlign w:val="bottom"/>
          </w:tcPr>
          <w:p>
            <w:pPr>
              <w:spacing w:after="0"/>
              <w:rPr>
                <w:sz w:val="14"/>
                <w:szCs w:val="14"/>
                <w:color w:val="auto"/>
              </w:rPr>
            </w:pPr>
          </w:p>
        </w:tc>
        <w:tc>
          <w:tcPr>
            <w:tcW w:w="1320" w:type="dxa"/>
            <w:vAlign w:val="bottom"/>
          </w:tcPr>
          <w:p>
            <w:pPr>
              <w:jc w:val="right"/>
              <w:ind w:right="341"/>
              <w:spacing w:after="0" w:line="162" w:lineRule="exact"/>
              <w:rPr>
                <w:sz w:val="20"/>
                <w:szCs w:val="20"/>
                <w:color w:val="auto"/>
              </w:rPr>
            </w:pPr>
            <w:r>
              <w:rPr>
                <w:rFonts w:ascii="Times New Roman" w:cs="Times New Roman" w:eastAsia="Times New Roman" w:hAnsi="Times New Roman"/>
                <w:sz w:val="15"/>
                <w:szCs w:val="15"/>
                <w:b w:val="1"/>
                <w:bCs w:val="1"/>
                <w:color w:val="auto"/>
              </w:rPr>
              <w:t>Options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23"/>
              <w:spacing w:after="0" w:line="162" w:lineRule="exact"/>
              <w:rPr>
                <w:sz w:val="20"/>
                <w:szCs w:val="20"/>
                <w:color w:val="auto"/>
              </w:rPr>
            </w:pPr>
            <w:r>
              <w:rPr>
                <w:rFonts w:ascii="Times New Roman" w:cs="Times New Roman" w:eastAsia="Times New Roman" w:hAnsi="Times New Roman"/>
                <w:sz w:val="15"/>
                <w:szCs w:val="15"/>
                <w:b w:val="1"/>
                <w:bCs w:val="1"/>
                <w:color w:val="auto"/>
              </w:rPr>
              <w:t>Exercise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2"/>
              <w:spacing w:after="0" w:line="162" w:lineRule="exact"/>
              <w:rPr>
                <w:sz w:val="20"/>
                <w:szCs w:val="20"/>
                <w:color w:val="auto"/>
              </w:rPr>
            </w:pPr>
            <w:r>
              <w:rPr>
                <w:rFonts w:ascii="Times New Roman" w:cs="Times New Roman" w:eastAsia="Times New Roman" w:hAnsi="Times New Roman"/>
                <w:sz w:val="15"/>
                <w:szCs w:val="15"/>
                <w:b w:val="1"/>
                <w:bCs w:val="1"/>
                <w:color w:val="auto"/>
              </w:rPr>
              <w:t>Intrinsic</w:t>
            </w:r>
          </w:p>
        </w:tc>
        <w:tc>
          <w:tcPr>
            <w:tcW w:w="22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Contractual</w:t>
            </w:r>
          </w:p>
        </w:tc>
        <w:tc>
          <w:tcPr>
            <w:tcW w:w="220" w:type="dxa"/>
            <w:vAlign w:val="bottom"/>
          </w:tcPr>
          <w:p>
            <w:pPr>
              <w:spacing w:after="0"/>
              <w:rPr>
                <w:sz w:val="14"/>
                <w:szCs w:val="14"/>
                <w:color w:val="auto"/>
              </w:rPr>
            </w:pPr>
          </w:p>
        </w:tc>
        <w:tc>
          <w:tcPr>
            <w:tcW w:w="900" w:type="dxa"/>
            <w:vAlign w:val="bottom"/>
          </w:tcPr>
          <w:p>
            <w:pPr>
              <w:jc w:val="right"/>
              <w:ind w:right="101"/>
              <w:spacing w:after="0" w:line="162" w:lineRule="exact"/>
              <w:rPr>
                <w:sz w:val="20"/>
                <w:szCs w:val="20"/>
                <w:color w:val="auto"/>
              </w:rPr>
            </w:pPr>
            <w:r>
              <w:rPr>
                <w:rFonts w:ascii="Times New Roman" w:cs="Times New Roman" w:eastAsia="Times New Roman" w:hAnsi="Times New Roman"/>
                <w:sz w:val="15"/>
                <w:szCs w:val="15"/>
                <w:b w:val="1"/>
                <w:bCs w:val="1"/>
                <w:color w:val="auto"/>
              </w:rPr>
              <w:t>Options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2"/>
              <w:spacing w:after="0" w:line="162" w:lineRule="exact"/>
              <w:rPr>
                <w:sz w:val="20"/>
                <w:szCs w:val="20"/>
                <w:color w:val="auto"/>
              </w:rPr>
            </w:pPr>
            <w:r>
              <w:rPr>
                <w:rFonts w:ascii="Times New Roman" w:cs="Times New Roman" w:eastAsia="Times New Roman" w:hAnsi="Times New Roman"/>
                <w:sz w:val="15"/>
                <w:szCs w:val="15"/>
                <w:b w:val="1"/>
                <w:bCs w:val="1"/>
                <w:color w:val="auto"/>
              </w:rPr>
              <w:t>Exercise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42"/>
              <w:spacing w:after="0" w:line="162" w:lineRule="exact"/>
              <w:rPr>
                <w:sz w:val="20"/>
                <w:szCs w:val="20"/>
                <w:color w:val="auto"/>
              </w:rPr>
            </w:pPr>
            <w:r>
              <w:rPr>
                <w:rFonts w:ascii="Times New Roman" w:cs="Times New Roman" w:eastAsia="Times New Roman" w:hAnsi="Times New Roman"/>
                <w:sz w:val="15"/>
                <w:szCs w:val="15"/>
                <w:b w:val="1"/>
                <w:bCs w:val="1"/>
                <w:color w:val="auto"/>
              </w:rPr>
              <w:t>Intrinsic</w:t>
            </w:r>
          </w:p>
        </w:tc>
        <w:tc>
          <w:tcPr>
            <w:tcW w:w="220" w:type="dxa"/>
            <w:vAlign w:val="bottom"/>
          </w:tcPr>
          <w:p>
            <w:pPr>
              <w:spacing w:after="0"/>
              <w:rPr>
                <w:sz w:val="14"/>
                <w:szCs w:val="14"/>
                <w:color w:val="auto"/>
              </w:rPr>
            </w:pPr>
          </w:p>
        </w:tc>
        <w:tc>
          <w:tcPr>
            <w:tcW w:w="12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Contractual</w:t>
            </w:r>
          </w:p>
        </w:tc>
      </w:tr>
      <w:tr>
        <w:trPr>
          <w:trHeight w:val="183"/>
        </w:trPr>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Price</w:t>
            </w:r>
          </w:p>
        </w:tc>
        <w:tc>
          <w:tcPr>
            <w:tcW w:w="220" w:type="dxa"/>
            <w:vAlign w:val="bottom"/>
          </w:tcPr>
          <w:p>
            <w:pPr>
              <w:spacing w:after="0"/>
              <w:rPr>
                <w:sz w:val="15"/>
                <w:szCs w:val="15"/>
                <w:color w:val="auto"/>
              </w:rPr>
            </w:pPr>
          </w:p>
        </w:tc>
        <w:tc>
          <w:tcPr>
            <w:tcW w:w="1320" w:type="dxa"/>
            <w:vAlign w:val="bottom"/>
          </w:tcPr>
          <w:p>
            <w:pPr>
              <w:jc w:val="right"/>
              <w:ind w:right="181"/>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Price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22"/>
              <w:spacing w:after="0"/>
              <w:rPr>
                <w:sz w:val="20"/>
                <w:szCs w:val="20"/>
                <w:color w:val="auto"/>
              </w:rPr>
            </w:pPr>
            <w:r>
              <w:rPr>
                <w:rFonts w:ascii="Times New Roman" w:cs="Times New Roman" w:eastAsia="Times New Roman" w:hAnsi="Times New Roman"/>
                <w:sz w:val="15"/>
                <w:szCs w:val="15"/>
                <w:b w:val="1"/>
                <w:bCs w:val="1"/>
                <w:color w:val="auto"/>
              </w:rPr>
              <w:t>Value</w:t>
            </w:r>
          </w:p>
        </w:tc>
        <w:tc>
          <w:tcPr>
            <w:tcW w:w="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Life (Years)</w:t>
            </w:r>
          </w:p>
        </w:tc>
        <w:tc>
          <w:tcPr>
            <w:tcW w:w="22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5"/>
                <w:szCs w:val="15"/>
                <w:b w:val="1"/>
                <w:bCs w:val="1"/>
                <w:color w:val="auto"/>
              </w:rPr>
              <w:t>Exercisable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42"/>
              <w:spacing w:after="0"/>
              <w:rPr>
                <w:sz w:val="20"/>
                <w:szCs w:val="20"/>
                <w:color w:val="auto"/>
              </w:rPr>
            </w:pPr>
            <w:r>
              <w:rPr>
                <w:rFonts w:ascii="Times New Roman" w:cs="Times New Roman" w:eastAsia="Times New Roman" w:hAnsi="Times New Roman"/>
                <w:sz w:val="15"/>
                <w:szCs w:val="15"/>
                <w:b w:val="1"/>
                <w:bCs w:val="1"/>
                <w:color w:val="auto"/>
              </w:rPr>
              <w:t>Price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42"/>
              <w:spacing w:after="0"/>
              <w:rPr>
                <w:sz w:val="20"/>
                <w:szCs w:val="20"/>
                <w:color w:val="auto"/>
              </w:rPr>
            </w:pPr>
            <w:r>
              <w:rPr>
                <w:rFonts w:ascii="Times New Roman" w:cs="Times New Roman" w:eastAsia="Times New Roman" w:hAnsi="Times New Roman"/>
                <w:sz w:val="15"/>
                <w:szCs w:val="15"/>
                <w:b w:val="1"/>
                <w:bCs w:val="1"/>
                <w:color w:val="auto"/>
              </w:rPr>
              <w:t>Value</w:t>
            </w:r>
          </w:p>
        </w:tc>
        <w:tc>
          <w:tcPr>
            <w:tcW w:w="220" w:type="dxa"/>
            <w:vAlign w:val="bottom"/>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Life (Years)</w:t>
            </w:r>
          </w:p>
        </w:tc>
      </w:tr>
      <w:tr>
        <w:trPr>
          <w:trHeight w:val="196"/>
        </w:trPr>
        <w:tc>
          <w:tcPr>
            <w:tcW w:w="1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$0.00 - $2.99</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9,821,220</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4,844,946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20" w:type="dxa"/>
            <w:vAlign w:val="bottom"/>
            <w:shd w:val="clear" w:color="auto" w:fill="CFF0FC"/>
          </w:tcPr>
          <w:p>
            <w:pPr>
              <w:spacing w:after="0"/>
              <w:rPr>
                <w:sz w:val="17"/>
                <w:szCs w:val="17"/>
                <w:color w:val="auto"/>
              </w:rPr>
            </w:pPr>
          </w:p>
        </w:tc>
      </w:tr>
      <w:tr>
        <w:trPr>
          <w:trHeight w:val="203"/>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$3.00 - $6.99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2,202,299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2,177,070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Pr>
          <w:p>
            <w:pPr>
              <w:spacing w:after="0"/>
              <w:rPr>
                <w:sz w:val="17"/>
                <w:szCs w:val="17"/>
                <w:color w:val="auto"/>
              </w:rPr>
            </w:pPr>
          </w:p>
        </w:tc>
      </w:tr>
      <w:tr>
        <w:trPr>
          <w:trHeight w:val="203"/>
        </w:trPr>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$7.00 - $8.99</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419,308</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419,308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shd w:val="clear" w:color="auto" w:fill="CFF0FC"/>
          </w:tcPr>
          <w:p>
            <w:pPr>
              <w:spacing w:after="0"/>
              <w:rPr>
                <w:sz w:val="17"/>
                <w:szCs w:val="17"/>
                <w:color w:val="auto"/>
              </w:rPr>
            </w:pPr>
          </w:p>
        </w:tc>
      </w:tr>
      <w:tr>
        <w:trPr>
          <w:trHeight w:val="203"/>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$9.00 - $20.84</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201,778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201,778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7"/>
                <w:szCs w:val="17"/>
                <w:color w:val="auto"/>
              </w:rPr>
            </w:pPr>
          </w:p>
        </w:tc>
      </w:tr>
      <w:tr>
        <w:trPr>
          <w:trHeight w:val="236"/>
        </w:trPr>
        <w:tc>
          <w:tcPr>
            <w:tcW w:w="17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12,644,605</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22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7,643,102</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$3.9 million of unrecognized compensation expense related to unvested stock options, which is expected to be recognized over a weighted average period of 2.4 years. The weighted average fair values of all stock options granted for the years ended December 31, 2024, 2023 and 2022 was $1.05 per share, $1.55 per share and $3.24 per share, respectively. The intrinsic value is calculated as the difference between the fair market value and the exercise price per share of the stock options. The fair market value per share of common stock as of December 31, 2024 was $0.95, which was the closing sale price of the Company’s common stock on the Nasdaq Global Market on that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234"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has granted restricted stock units (“RSUs”) to employees under the 2016 Plan. The shares underlying the RSU awards have vesting terms of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share-based compensation expense related to RSUs is reflected in the consolidated statements of operations as follows (in thousands):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2FA"/>
            </w:tcBorders>
            <w:shd w:val="clear" w:color="auto" w:fill="CFF2FA"/>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FF2FA"/>
          </w:tcPr>
          <w:p>
            <w:pPr>
              <w:spacing w:after="0"/>
              <w:rPr>
                <w:sz w:val="18"/>
                <w:szCs w:val="18"/>
                <w:color w:val="auto"/>
              </w:rPr>
            </w:pPr>
          </w:p>
        </w:tc>
        <w:tc>
          <w:tcPr>
            <w:tcW w:w="44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tcBorders>
              <w:bottom w:val="single" w:sz="8" w:color="CFF2FA"/>
            </w:tcBorders>
            <w:shd w:val="clear" w:color="auto" w:fill="CFF2FA"/>
          </w:tcPr>
          <w:p>
            <w:pPr>
              <w:spacing w:after="0"/>
              <w:rPr>
                <w:sz w:val="18"/>
                <w:szCs w:val="18"/>
                <w:color w:val="auto"/>
              </w:rPr>
            </w:pPr>
          </w:p>
        </w:tc>
        <w:tc>
          <w:tcPr>
            <w:tcW w:w="120" w:type="dxa"/>
            <w:vAlign w:val="bottom"/>
            <w:tcBorders>
              <w:bottom w:val="single" w:sz="8" w:color="auto"/>
            </w:tcBorders>
            <w:shd w:val="clear" w:color="auto" w:fill="CFF2FA"/>
          </w:tcPr>
          <w:p>
            <w:pPr>
              <w:spacing w:after="0"/>
              <w:rPr>
                <w:sz w:val="18"/>
                <w:szCs w:val="18"/>
                <w:color w:val="auto"/>
              </w:rPr>
            </w:pPr>
          </w:p>
        </w:tc>
        <w:tc>
          <w:tcPr>
            <w:tcW w:w="120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60" w:type="dxa"/>
            <w:vAlign w:val="bottom"/>
            <w:tcBorders>
              <w:bottom w:val="single" w:sz="8" w:color="CFF2FA"/>
            </w:tcBorders>
            <w:shd w:val="clear" w:color="auto" w:fill="CFF2FA"/>
          </w:tcPr>
          <w:p>
            <w:pPr>
              <w:spacing w:after="0"/>
              <w:rPr>
                <w:sz w:val="18"/>
                <w:szCs w:val="18"/>
                <w:color w:val="auto"/>
              </w:rPr>
            </w:pPr>
          </w:p>
        </w:tc>
        <w:tc>
          <w:tcPr>
            <w:tcW w:w="300" w:type="dxa"/>
            <w:vAlign w:val="bottom"/>
            <w:tcBorders>
              <w:bottom w:val="single" w:sz="8" w:color="auto"/>
            </w:tcBorders>
            <w:shd w:val="clear" w:color="auto" w:fill="CFF2FA"/>
          </w:tcPr>
          <w:p>
            <w:pPr>
              <w:spacing w:after="0"/>
              <w:rPr>
                <w:sz w:val="18"/>
                <w:szCs w:val="18"/>
                <w:color w:val="auto"/>
              </w:rPr>
            </w:pPr>
          </w:p>
        </w:tc>
        <w:tc>
          <w:tcPr>
            <w:tcW w:w="104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bottom w:val="single" w:sz="8" w:color="CFF2FA"/>
            </w:tcBorders>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RSUs during the year ended December 31,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768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8"/>
        </w:trPr>
        <w:tc>
          <w:tcPr>
            <w:tcW w:w="7680" w:type="dxa"/>
            <w:vAlign w:val="bottom"/>
          </w:tcPr>
          <w:p>
            <w:pPr>
              <w:spacing w:after="0"/>
              <w:rPr>
                <w:sz w:val="20"/>
                <w:szCs w:val="20"/>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RSUs outstanding at December 31,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834,899</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(397,594 )</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RSUs outstanding at December 31, 2024</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437,305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60"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$0.3 million of unrecognized compensation expense related to the RSUs, which amount is expected to be recognized over a weighted average period of 0.9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January 2016, the Company’s board of directors adopted and approved the Clearside Biomedical, Inc. 2016 Employee Stock Purchase Plan (the “2016 ESPP”) which became effective on June 1, 2016. The 2016 ESPP permits employees to purchase shares of the Company’s common stock through payroll deductions up to 15% of their earnings. The number of shares reserved for issuance under the 2016 ESPP will automatically increase on January 1 of each year, through January 1, 2026, by the lesser of (i) 1% of the total number of shares of the Company’s common stock outstanding on December 31 of the preceding calendar year, (ii) 454,545 shares of common stock or (iii) a lesser number of shares as may be determined by the Company’s board of directors. The Company’s board of directors elected not to increase the shares reserved for issuance on January 1, 2025. The number of shares of common stock available for issuance under the 2016 ESPP as of December 31, 2024 was 318,127 shares.</w:t>
      </w:r>
    </w:p>
    <w:p>
      <w:pPr>
        <w:spacing w:after="0" w:line="18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2016 ESPP is considered a compensatory plan and the fair value of the discount and the look-back period are estimated using the Black-Scholes option pricing model and expense is recognized over the six-month withholding period prior to the purchase date. During the years ended December 31, 2024, 2023 and 2022, the Company issued 36,114, 68,109 and 66,919 shares, respectively, of common stock purchased under the 2016 ESPP.</w:t>
      </w:r>
    </w:p>
    <w:p>
      <w:pPr>
        <w:spacing w:after="0" w:line="176"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share-based compensation expense recognized for the 2016 ESPP is reflected in the consolidated statements of operations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3760" w:type="dxa"/>
            <w:vAlign w:val="bottom"/>
            <w:shd w:val="clear" w:color="auto" w:fill="CFF2FA"/>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60" w:type="dxa"/>
            <w:vAlign w:val="bottom"/>
            <w:gridSpan w:val="2"/>
            <w:shd w:val="clear" w:color="auto" w:fill="CFF2FA"/>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shd w:val="clear" w:color="auto" w:fill="CFF2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gridSpan w:val="2"/>
            <w:shd w:val="clear" w:color="auto" w:fill="CFF2FA"/>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2FA"/>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50"/>
        </w:trPr>
        <w:tc>
          <w:tcPr>
            <w:tcW w:w="3760" w:type="dxa"/>
            <w:vAlign w:val="bottom"/>
            <w:shd w:val="clear" w:color="auto" w:fill="CFF2FA"/>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gridSpan w:val="2"/>
            <w:shd w:val="clear" w:color="auto" w:fill="CFF2FA"/>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shd w:val="clear" w:color="auto" w:fill="CFF2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gridSpan w:val="2"/>
            <w:shd w:val="clear" w:color="auto" w:fill="CFF2FA"/>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2FA"/>
          </w:tcPr>
          <w:p>
            <w:pPr>
              <w:spacing w:after="0"/>
              <w:rPr>
                <w:sz w:val="21"/>
                <w:szCs w:val="21"/>
                <w:color w:val="auto"/>
              </w:rPr>
            </w:pPr>
          </w:p>
        </w:tc>
      </w:tr>
      <w:tr>
        <w:trPr>
          <w:trHeight w:val="629"/>
        </w:trPr>
        <w:tc>
          <w:tcPr>
            <w:tcW w:w="3760" w:type="dxa"/>
            <w:vAlign w:val="bottom"/>
            <w:tcBorders>
              <w:top w:val="single" w:sz="8" w:color="CFF2FA"/>
            </w:tcBorders>
          </w:tcPr>
          <w:p>
            <w:pPr>
              <w:spacing w:after="0"/>
              <w:rPr>
                <w:sz w:val="24"/>
                <w:szCs w:val="24"/>
                <w:color w:val="auto"/>
              </w:rPr>
            </w:pPr>
          </w:p>
        </w:tc>
        <w:tc>
          <w:tcPr>
            <w:tcW w:w="2880" w:type="dxa"/>
            <w:vAlign w:val="bottom"/>
            <w:tcBorders>
              <w:top w:val="single" w:sz="8" w:color="CFF2FA"/>
            </w:tcBorders>
          </w:tcPr>
          <w:p>
            <w:pPr>
              <w:jc w:val="right"/>
              <w:ind w:right="830"/>
              <w:spacing w:after="0"/>
              <w:rPr>
                <w:sz w:val="20"/>
                <w:szCs w:val="20"/>
                <w:color w:val="auto"/>
              </w:rPr>
            </w:pPr>
            <w:r>
              <w:rPr>
                <w:rFonts w:ascii="Times New Roman" w:cs="Times New Roman" w:eastAsia="Times New Roman" w:hAnsi="Times New Roman"/>
                <w:sz w:val="18"/>
                <w:szCs w:val="18"/>
                <w:color w:val="auto"/>
              </w:rPr>
              <w:t>94</w:t>
            </w:r>
          </w:p>
        </w:tc>
        <w:tc>
          <w:tcPr>
            <w:tcW w:w="9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Borders>
              <w:top w:val="single" w:sz="8" w:color="CFF2FA"/>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FF2FA"/>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2FA"/>
            </w:tcBorders>
          </w:tcPr>
          <w:p>
            <w:pPr>
              <w:spacing w:after="0"/>
              <w:rPr>
                <w:sz w:val="24"/>
                <w:szCs w:val="24"/>
                <w:color w:val="auto"/>
              </w:rPr>
            </w:pPr>
          </w:p>
        </w:tc>
      </w:tr>
      <w:tr>
        <w:trPr>
          <w:trHeight w:val="763"/>
        </w:trPr>
        <w:tc>
          <w:tcPr>
            <w:tcW w:w="37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-933450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-916305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-933450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-916305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income tax assets consist of the following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tax asset (liability):</w:t>
            </w: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Non-deductible accrued expenses</w:t>
            </w: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10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differences</w:t>
            </w:r>
          </w:p>
        </w:tc>
        <w:tc>
          <w:tcPr>
            <w:tcW w:w="104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(199 )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Federal tax credits</w:t>
            </w:r>
          </w:p>
        </w:tc>
        <w:tc>
          <w:tcPr>
            <w:tcW w:w="10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 tax credits</w:t>
            </w: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Royalty purchase and sale agreement</w:t>
            </w:r>
          </w:p>
        </w:tc>
        <w:tc>
          <w:tcPr>
            <w:tcW w:w="10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8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(92,388 )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(84,045 )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(73,699 )</w:t>
            </w:r>
          </w:p>
        </w:tc>
        <w:tc>
          <w:tcPr>
            <w:tcW w:w="0" w:type="dxa"/>
            <w:vAlign w:val="bottom"/>
          </w:tcPr>
          <w:p>
            <w:pPr>
              <w:spacing w:after="0"/>
              <w:rPr>
                <w:sz w:val="1"/>
                <w:szCs w:val="1"/>
                <w:color w:val="auto"/>
              </w:rPr>
            </w:pPr>
          </w:p>
        </w:tc>
      </w:tr>
      <w:tr>
        <w:trPr>
          <w:trHeight w:val="249"/>
        </w:trPr>
        <w:tc>
          <w:tcPr>
            <w:tcW w:w="544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deferred tax asset</w:t>
            </w:r>
          </w:p>
        </w:tc>
        <w:tc>
          <w:tcPr>
            <w:tcW w:w="1040" w:type="dxa"/>
            <w:vAlign w:val="bottom"/>
            <w:tcBorders>
              <w:top w:val="single" w:sz="8" w:color="auto"/>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4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 reconciliation of the statutory tax rates and the effective tax rates is as follows: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U.S. federal tax rate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tax rate</w:t>
            </w: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(0.14 )</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(0.85 )</w:t>
            </w: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Permanent difference</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credit</w:t>
            </w: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4"/>
              </w:rPr>
              <w:t>(24.29 )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(31.85 )</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(21.57 )</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 to prior year tax provision</w:t>
            </w:r>
          </w:p>
        </w:tc>
        <w:tc>
          <w:tcPr>
            <w:tcW w:w="1040" w:type="dxa"/>
            <w:vAlign w:val="bottom"/>
            <w:shd w:val="clear" w:color="auto" w:fill="CFF0FC"/>
          </w:tcPr>
          <w:p>
            <w:pPr>
              <w:spacing w:after="0"/>
              <w:rPr>
                <w:sz w:val="18"/>
                <w:szCs w:val="18"/>
                <w:color w:val="auto"/>
              </w:rPr>
            </w:pPr>
          </w:p>
        </w:tc>
        <w:tc>
          <w:tcPr>
            <w:tcW w:w="960" w:type="dxa"/>
            <w:vAlign w:val="bottom"/>
            <w:gridSpan w:val="4"/>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40" w:type="dxa"/>
            <w:vAlign w:val="bottom"/>
            <w:gridSpan w:val="4"/>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8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(0.09 )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-1979930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-1962150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-1979930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-1962150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-1979930</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-1962150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12001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1200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12001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1200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Certain items of income and expense are not reported in tax returns and consolidated financial statements in the same year. The tax effect of such temporary differences is reported as deferred income taxes. The measurement of deferred tax assets is reduced, if necessary, by the amount of any tax benefit that, based on available evidence, is not expected to be realized. The Company establishes a valuation allowance for deferred tax assets for which realization is not likely. As of each reporting date, management considers new evidence, both positive and negative, that could affect its view of the future realization of deferred tax assets.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At December 31, 2024, the Company had a valuation allowance of $92.4 million recorded against the benefit of certain deferred tax assets. The valuation allowance was primarily related to federal and state net operating loss ("NOL") carryforwards that, in the judgment of management, are not more likely than not to be realized. In assessing the recoverability of the Company’s deferred tax assets, management considered, among other things, its deferred tax liabilities, its historical earnings and losses, projections of future income, and tax-planning strategies available to the Company in the relevant jurisdiction. The Company will release this valuation allowance when management determines that it is more likely than not that its deferred tax asset will be realized.</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At December 31, 2024, the Company had income tax NOL carryforwards for federal and state purposes of $240.6 million and $96.1 million, respectively. The Company has recorded a deferred tax asset for both federal and state NOL carryforwards of $50.5 million and $5.5 million, respectively. If not utilized, the federal NOL carryforwards will begin to expire beginning in 2034, and the state NOL carryforwards will begin to expire at various dates beginning in 2027. Additionally, under the 2017 Tax Cuts and Jobs Act, federal net operating losses incurred in 2018 and beyond may be carried forward indefinitely. However, the deductibility of such federal net operating losses is limited beginning in 2021. Certain states have also adopted the indefinite carryforward period beginning with the 2018 tax year, but state conformity varies state by state.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7" w:name="page98"/>
    <w:bookmarkEnd w:id="97"/>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Liabilities for uncertain tax positions are recognized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Once it is determined that the position meets the recognition threshold, the second step requires the Company to estimate and measure the largest amount of tax benefit that is more likely than not to be realized upon ultimate settlement. The difference between the amount of recognizable tax benefit and the total amount of tax benefit from positions filed or to be filed with the tax authorities is recorded as a liability for uncertain tax benefits.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is a roll forward of the Company’s uncertain tax positions (in thousands):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of uncertain tax positions at the beginning of the year</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2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(471 )</w:t>
            </w: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Balance of uncertain tax positions at the end of the year</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28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there was $7.0 million and $7.5 million, respectively, of unrecognized tax benefit that if recognized would be in the form of a net operating loss carryforward, which is expected to require a full valuation allowance based on present circumstances. The Company recognizes accrued interest related to unrecognized tax expenses and penalties as income tax expense. No significant amounts of interest or penalties have been recorded as of December 31, 2024.</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Ownership changes, as defined by Section 382 of the Internal Revenue Code of 1986, as amended (the “Code”), may limit the amount of net operating losses that a company may utilize to offset future taxable income and taxes payable. In general, if the Company experiences a greater than 50% aggregate change in ownership over a 3-year period (a Section 382 ownership change), utilization of the Company’s pre-change NOL carryforwards may be subject to limitation under the Code. The annual limitation generally is determined by multiplying the value of the Company’s stock at the time of such ownership change (subject to certain adjustments) by the applicable long-term tax-exempt rate for the month in which the ownership change occurred. Such limitation may result in expiration of a portion of the NOL carryforwards before utilization. The Company has completed an owner shift analysis to determine the dates in which the Company may have experienced a Section 382 ownership change, and determined that the Company experienced ownership changes for Section 382 purposes in January 2012, December 2013, and July 2016.</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NOL DTA has a full valuation allowance as it is deemed that it is more likely than not to be utilized. The Company will continue to monitor equity movement and its impact on the utilization of the NOLs and credits. The Company’s ability to use the remaining NOL carryforwards may be further limited if the Company experiences an additional Section 382 ownership change as a result of future changes in its stock ownership.</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certain state jurisdictions. As of December 31, 2024, the Company’s tax returns for 2021, 2022 and 2023 are subject to full examination by the tax authorities. As of December 31, 2024, the Company is generally no longer subject to state or local examinations by tax authorities for years before 2021, except to the extent of NOLs generated in prior years claimed on a tax return.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 Summary</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leases its facilities and some of its equipment under noncancelable operating lease arrangements that expire at various dates through 2026. In November 2022, the Company signed an amended office lease agreement and decreased the square footage to approximately 14,000 square feet. The amended office lease agreement is for a four-year term with a renewal option for an additional thirty-eight months. Rental payments are $30,437 per month subject to an increase of 3% per year. Operating lease cost under this lease and the amendment is recognized on a straight-line basis over the term of the lease. In addition, the office lease agreement requires payment of the pro-rata share of the annual operating expenses associated with the premises.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9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Company’s operating leases included on the consolidated balance sheet are as follows (in thousands):</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9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9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50"/>
        </w:trPr>
        <w:tc>
          <w:tcPr>
            <w:tcW w:w="9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9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r>
      <w:tr>
        <w:trPr>
          <w:trHeight w:val="216"/>
        </w:trPr>
        <w:tc>
          <w:tcPr>
            <w:tcW w:w="9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is not reasonably certain if the Alpharetta, Georgia lease will be renewed. The present value of the lease payments is calculated using an incremental borrowing rate as the Company’s leases do not provide an implicit interest rate. The Company’s incremental borrowing rate was 8.0%. The remaining lease term was 2.0 years. Cash payments included in operating activities on the consolidated statement of cash flows for operating lease liabilities were $0.4 million for each of the years ended December 31, 2024 and 2023 and $0.3 million for the year ended December 31, 2022.</w:t>
      </w:r>
    </w:p>
    <w:p>
      <w:pPr>
        <w:spacing w:after="0" w:line="18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lease payments were as follows at December 31, 2024 (in thousands):</w:t>
            </w: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24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40" w:type="dxa"/>
            <w:vAlign w:val="bottom"/>
          </w:tcPr>
          <w:p>
            <w:pPr>
              <w:spacing w:after="0"/>
              <w:rPr>
                <w:sz w:val="18"/>
                <w:szCs w:val="18"/>
                <w:color w:val="auto"/>
              </w:rPr>
            </w:pPr>
          </w:p>
        </w:tc>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7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(53 )</w:t>
            </w:r>
          </w:p>
        </w:tc>
      </w:tr>
      <w:tr>
        <w:trPr>
          <w:trHeight w:val="210"/>
        </w:trPr>
        <w:tc>
          <w:tcPr>
            <w:tcW w:w="240" w:type="dxa"/>
            <w:vAlign w:val="bottom"/>
          </w:tcPr>
          <w:p>
            <w:pPr>
              <w:spacing w:after="0"/>
              <w:rPr>
                <w:sz w:val="18"/>
                <w:szCs w:val="18"/>
                <w:color w:val="auto"/>
              </w:rPr>
            </w:pPr>
          </w:p>
        </w:tc>
        <w:tc>
          <w:tcPr>
            <w:tcW w:w="800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top w:val="single" w:sz="8" w:color="CFF0FC"/>
            </w:tcBorders>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6614160</wp:posOffset>
            </wp:positionH>
            <wp:positionV relativeFrom="paragraph">
              <wp:posOffset>-453390</wp:posOffset>
            </wp:positionV>
            <wp:extent cx="596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-170815</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Equipment leases with an initial term of 12 months or less are not recorded with operating lease liabilities. The Company recognizes expense for these leases on a straight-line basis over the lease term. The equipment leases were deemed to be immaterial.</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Operating lease cost was $0.3 million for the each of the years ended December 31, 2024, 2023 and 2022. Variable lease cost was $25,000, $19,000 and $87,000 for the years ended December 31, 2024, 2023 and 2022, respectively. Short-term lease cost was $92,000, $93,000 and $86,000 for the years ended December 31, 2024, 2023 and 2022,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Georgia Tech License Agreement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described in Footnote 1, the Company entered into a fourth amendment to the Georgia Tech License Agreement pursuant to which the parties agreed to revised Maintenance Fee payments in exchange for a reduction to the contractual Sublicense Percentage owed by the Company on certain fees and other payments it may receive from future sublicensing activities. The Company paid the Maintenance Fee for 2023 in February 2024 and the Maintenance Fee for 2024 in October 2024. The remaining annual Maintenance Fee payments are due on October 1st of each year from 2025 through 2028, as show in the table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8"/>
          <w:szCs w:val="18"/>
          <w:color w:val="auto"/>
        </w:rPr>
        <w:t>The annual Maintenance Fee will be paid as follows (in thousands):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8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9"/>
                <w:szCs w:val="19"/>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8"/>
                <w:szCs w:val="18"/>
                <w:color w:val="auto"/>
              </w:rPr>
            </w:pPr>
          </w:p>
        </w:tc>
      </w:tr>
      <w:tr>
        <w:trPr>
          <w:trHeight w:val="216"/>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49"/>
        </w:trPr>
        <w:tc>
          <w:tcPr>
            <w:tcW w:w="82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Service Providers</w:t>
      </w:r>
    </w:p>
    <w:p>
      <w:pPr>
        <w:spacing w:after="0" w:line="22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May 2018, the Company entered into a manufacturing supply agreement (the “Supply Agreement”), with Gerresheimer Regensburg GmbH, a company incorporated under the laws of Germany (“Gerresheimer”). Gerresheimer will manufacture and supply the Company’s proprietary SCS Microinjector. The Company will provide Gerresheimer with a rolling forecast schedule of its projected purchase orders for at least the next four calendar quarters. The Supply Agreement contains an initial five-year term that will automatically renew for successive periods of three years, unless terminated by either party at least 12 months prior to the end of the applicable term.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License and Other Agreements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Bausch + Lomb</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October 22, 2019, the Company entered into a License Agreement (as amended, the "Bausch License Agreement") with Bausch + Lomb, a division of Bausch Health Companies, Inc.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 combination with the Device (“Other Products,” and together with XIPERE, the “Products”), subject to specified exceptions, in the United States and Canada (the “Territory”) for the treatment of ophthalmology indications, including non-infectious uveitis.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Pursuant to the Bausch License Agreement, Bausch paid the Company an upfront payment of $5.0 million (the “Upfront Payment”) in October 2019. In October 2021, the FDA approved XIPERE. The Company received $5.0 million from Bausch as a result of the approval. In December 2021, $10.0 million was recorded upon completion of pre-launch activities for XIPERE and payment was received in January 2022.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 million of cumulative net sales of all products in the Territory. Bausch launched XIPERE in the United States in the first quarter of 2022. The Company's rights to these royalties and milestone payments have been sold pursuant to the terms and conditions of the Purchase and Sale Agreement described in Note 5.</w:t>
      </w:r>
    </w:p>
    <w:p>
      <w:pPr>
        <w:spacing w:after="0" w:line="19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was responsible for all development expenses for XIPERE in the Territory until the Company's New Drug Application ("NDA") was approved by the FDA, subject to specified exceptions, as well as manufacturing costs in connection with the NDA. The Company was also responsible for all clinical and development expenses conducted to satisfy the FDA’s requests in the complete response letter issued on October 18, 2019 related to the NDA and any subsequent complete response letter related to the NDA. Following FDA approval of XIPERE, Bausch is responsible for all such expenses.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REGENXBIO, Inc</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August 29, 2019, the Company entered into an option and license agreement with REGENXBIO, Inc. (“REGENXBIO”) pursuant to which the Company granted REGENXBIO an exclusive option to enter into a commercial license agreement (the “Option”), which grants REGENXBIO an exclusive, worldwide and sublicensable license to the Company’s SCS Microinjector for the delivery of adeno-associated virus-based gene therapies for the treatment of wet age-related macular degeneration, diabetic retinopathy and other conditions for which anti-vascular endothelial growth factor treatment is currently the standard of care.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p>
      <w:pPr>
        <w:ind w:right="80"/>
        <w:spacing w:after="0" w:line="256" w:lineRule="auto"/>
        <w:rPr>
          <w:sz w:val="20"/>
          <w:szCs w:val="20"/>
          <w:color w:val="auto"/>
        </w:rPr>
      </w:pPr>
      <w:r>
        <w:rPr>
          <w:rFonts w:ascii="Times New Roman" w:cs="Times New Roman" w:eastAsia="Times New Roman" w:hAnsi="Times New Roman"/>
          <w:sz w:val="18"/>
          <w:szCs w:val="18"/>
          <w:color w:val="auto"/>
        </w:rPr>
        <w:t>REGENXBIO exercised the Option in October 2019 and paid the Company an option fee equal to $2.0 million, less a credit of $0.5 million previously received under a technology access agreement. In addition, REGENXBIO has agreed to pay the Company up to an aggregate of $31.0 million in milestone payments upon the achievement of specified development milestones and up to an aggregate of $102.0 million in sales-based milestone payments, as well as mid-single digit royalties on net sales of products using the SCS Microinjector during the royalty term. In September 2020, the Company received $3.0 million in milestone payments under the Option. The Company's rights to these royalties and milestone payments have been sold pursuant to the terms and conditions of the Purchase and Sale Agreement described in Note 5.</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Arctic Vision (Hong Kong) Limited</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On March 10, 2020, the Company entered into a License Agreement (the “Arctic Vision License Agreement”) with Arctic Vision (Hong Kong) Limited (“Arctic Vision”). Pursuant to the Arctic Vision License Agreement, the Company has granted an exclusive license to Arctic Vision to develop, distribute, promote, market and commercialize XIPERE, subject to specified exceptions in China, Hong Kong, Macau, Taiwan and South Korea (the “Arctic Territory”). Under the terms of the Arctic Vision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Pursuant to the Arctic Vision License Agreement, Arctic Vision paid the Company an upfront payment of $4.0 million in March 2020. In December 2021, the Company received a milestone payment of $4.0 million following the receipt of FDA approval of XIPERE in the United States. In addition, Arctic Vision has agreed to pay the Company up to $22.5 million in development and sales milestones. Further, during the applicable royalty term, the Company will also be entitled to receive tiered royalties of ten to twelve percent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The Company's rights to these royalties and milestone payments have been sold pursuant to the terms and conditions of the Purchase and Sale Agreement described in Note 5.</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Arctic Vision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 received an aggregate of $3.0 million in consideration for the expansion of the Arctic Territory.</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BioCryst Pharmaceuticals, Inc.</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November 1, 2023, the Company entered into the BioCryst License Agreement pursuant to which the Company granted BioCryst an exclusive, worldwide and sublicensable license to the Company’s SCS Microinjector for the delivery of BioCryst’s proprietary plasma kallikrein inhibitor known as avoralstat for the treatment and prevention of DME.</w:t>
      </w:r>
    </w:p>
    <w:p>
      <w:pPr>
        <w:spacing w:after="0" w:line="176" w:lineRule="exact"/>
        <w:rPr>
          <w:sz w:val="20"/>
          <w:szCs w:val="20"/>
          <w:color w:val="auto"/>
        </w:rPr>
      </w:pPr>
    </w:p>
    <w:p>
      <w:pPr>
        <w:ind w:right="120" w:firstLine="509"/>
        <w:spacing w:after="0" w:line="263" w:lineRule="auto"/>
        <w:rPr>
          <w:sz w:val="20"/>
          <w:szCs w:val="20"/>
          <w:color w:val="auto"/>
        </w:rPr>
      </w:pPr>
      <w:r>
        <w:rPr>
          <w:rFonts w:ascii="Times New Roman" w:cs="Times New Roman" w:eastAsia="Times New Roman" w:hAnsi="Times New Roman"/>
          <w:sz w:val="18"/>
          <w:szCs w:val="18"/>
          <w:color w:val="auto"/>
        </w:rPr>
        <w:t>The Company received an upfront license fee payment of $5.0 million in connection with signing of the BioCryst License Agreement. In addition, the Company is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the Company tiered mid-single digit royalties on annual global net product sales, with the highest royalty rate applied to sales over $1.5 billion, subject to reductions in specified circumstances. The Company's rights to these royalties and milestone payments have been sold pursuant to the terms and conditions of the Purchase and Sale Agreement described in Note 5.</w:t>
      </w:r>
    </w:p>
    <w:p>
      <w:pPr>
        <w:spacing w:after="0" w:line="178"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BioCryst will be responsible for all development, regulatory and commercialization activities for avoralstat. The Company is responsible for supplying SCS Microinjectors to meet BioCryst’s reasonable needs.</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BioCryst License Agreement, unless earlier terminated, will expire (a) on a country-by-country basis upon the expiration of the royalty term in such country or (b) in its entirety upon the expiration of all payment obligations of BioCryst under the BioCryst License Agreement in all countries pursuant to clause (a). Each party has the right terminate the License Agreement (i) upon a material breach of the BioCryst License Agreement by the other party, subject to a specified cure period and specified exceptions, or (ii) if the other party encounters bankruptcy or insolvency. The Company may terminate the BioCryst License Agreement if BioCryst or any of its sublicensees (a “Sublicensee”) commences a legal action challenging the validity, enforceability or scope of any of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1" w:name="page102"/>
    <w:bookmarkEnd w:id="101"/>
    <w:p>
      <w:pPr>
        <w:ind w:right="20"/>
        <w:spacing w:after="0" w:line="254" w:lineRule="auto"/>
        <w:rPr>
          <w:sz w:val="20"/>
          <w:szCs w:val="20"/>
          <w:color w:val="auto"/>
        </w:rPr>
      </w:pPr>
      <w:r>
        <w:rPr>
          <w:rFonts w:ascii="Times New Roman" w:cs="Times New Roman" w:eastAsia="Times New Roman" w:hAnsi="Times New Roman"/>
          <w:sz w:val="18"/>
          <w:szCs w:val="18"/>
          <w:color w:val="auto"/>
        </w:rPr>
        <w:t>licensed patents, provided that with respect to any such action initiated by a Sublicensee (a “Sublicensee Action), the Company may terminate the BioCryst License Agreement if the Sublicensee Action is not terminated within a specified period of time following BioCryst’s receipt of written notice from the Company or if BioCryst does not terminate the applicable sublicense, in each case within a specified period of time. BioCryst may terminate the BioCryst License Agreement (i) immediately upon written notice to the Company if, after exercising commercially reasonable efforts, BioCryst determines in good faith that it is not advisable to continue development or commercialization of avoralstat as a result of a material safety issue and (ii) in its entirety or in part on a country-by-country basis, for any or no reason, upon prior written notice to the Company, provided that in the event of such a termination, BioCryst shall not, for a period of two years from the date of such a termination, initiate in the territory subject to the termination a Phase 3 clinical trial in which avoralstat is administered to the suprachoroidal space using a device other than the SCS Microinjector.</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Emory and Georgia Tech</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January 31, 2024 (the “Amendment Execution Date”), the Company and the Licensor, entered into the Amendment to the Company’s License Agreement with Licensor dated July 4, 2012 (as amended, the “License Agreement”), pursuant to which the Company received a worldwide exclusive license to specified patents relating to methods and devices for drug delivery using a microinjector.</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Pursuant to the Amendment, the parties agreed to reduce the Sublicense Percentage (as defined in the License Agreement) from a low double digit percentage to a high single digit percentage that the Company will pay the Licensor applicable to any fees or payments paid to the Company by any Sublicensee (as defined in the License Agreement) of the Licensed Patents and/or Licensed Technology (each as defined in the License Agreement), on or after July 1, 2023, excluding (i) amounts paid to the Company by a Sublicensee to reimburse the Company for certain research and development costs pursuant to a written agreement between the Company and such Sublicensee, (ii) the value of intellectual property transferred or granted to the Company if necessary or helpful to the development or commercialization of Licensed Products (as defined in the License Agreement) and (iii) amounts paid for shares of the Company’s stock. The payment to Licensor of any such Sublicense Percentage is due within 30 days of receipt by the Company of a qualifying payment from a Sublicensee, provided however, with respect to any qualifying payments received by the Company from a Sublicensee after July 1, 2023 but prior to January 1, 2025, the payment to Licensor of any such Sublicensee Percentage is due to Licensor by March 31, 2025.</w:t>
      </w:r>
    </w:p>
    <w:p>
      <w:pPr>
        <w:spacing w:after="0" w:line="18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the parties agreed to a revised annual license maintenance fee due each year, or the Maintenance Fee, starting in 2023 through 2028, as follows: $0.3 million for 2023 through 2025, $0.4 million for 2026 and 2027 and $0.5 million for 2028. The Company paid the Maintenance Fee for 2023 in February 2024 and the Maintenance Fee for 2024 in October 2024. The remaining annual Maintenance Fee payments are due on October 1st of each year.</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 The Company recorded $50,000 and $13,000 of revenue from these agreements during the years ended December 31, 2023 and 2022,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Company’s material financial instruments at December 31, 2024 and 2023, consisted primarily of cash and cash equivalents. The fair value of cash and cash equivalents, other current assets and accounts payable approximate their respective carrying values due to the short-term nature of these instruments and are classified as Level 1 in the fair value hierarchy. The fair value of the warrant liabilities (see Note 7) requires significant unobservable inputs and is classified as Level 3 in the fair value hierarchy.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Levels 1, 2 and 3 during the years ended December 31, 2024 and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2023, a member of the Company's Board of Directors took a position as Chief Executive Officer of a company that is a vendor of the Company. As of December 31, 2024, the Company has recorded $0.5 million in accounts payable and $0.3 million in accrued expense with this vendor in the consolidated balance sheets. For the year ended December 31, 2024, the Company has recorded $1.1 million of expense in the consolidated statements of operations. As of December 31, 2023, the Company has recorded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2" w:name="page103"/>
    <w:bookmarkEnd w:id="102"/>
    <w:p>
      <w:pPr>
        <w:ind w:right="60"/>
        <w:spacing w:after="0" w:line="282" w:lineRule="auto"/>
        <w:rPr>
          <w:sz w:val="20"/>
          <w:szCs w:val="20"/>
          <w:color w:val="auto"/>
        </w:rPr>
      </w:pPr>
      <w:r>
        <w:rPr>
          <w:rFonts w:ascii="Times New Roman" w:cs="Times New Roman" w:eastAsia="Times New Roman" w:hAnsi="Times New Roman"/>
          <w:sz w:val="18"/>
          <w:szCs w:val="18"/>
          <w:color w:val="auto"/>
        </w:rPr>
        <w:t>$0.3 million in accounts payable and $0.2 million in accrued expense with this vendor in the consolidated balance sheets. For the year ended December 31, 2023, the Company has recorded $1.1 million of expense in the consolidated statements of operations.</w:t>
      </w:r>
    </w:p>
    <w:p>
      <w:pPr>
        <w:spacing w:after="0" w:line="162"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Chair of the Board of Directors of BioCryst also serves on the Company’s Board of Directors. For the years ended December 31, 2024 and 2023, there was $0.3 million and $5.0 million, respectively, related to the License Agreement recorded in license and other revenue in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income by the weighted average number of shares of common stock outstanding for the period, without consideration of the dilutive effect of potential common stock equivalents. Diluted net loss income per share gives effect to all dilutive potential shares of common stock outstanding during this period. For all periods presented, the Company’s potential common stock equivalents, which included stock options, restricted stock units and common stock warrants, have been excluded from the computation of diluted net loss per share as their inclusion would have the effect of reducing the net loss per share. Therefore, the denominator used to calculate both basic and diluted net loss per share is the same in all periods presented.</w:t>
      </w:r>
    </w:p>
    <w:p>
      <w:pPr>
        <w:spacing w:after="0" w:line="18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Company’s potential common stock equivalents that have been excluded from the computation of diluted net loss per share for all periods presented because of their antidilutive effect consisted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12,644,605</w:t>
            </w:r>
          </w:p>
        </w:tc>
        <w:tc>
          <w:tcPr>
            <w:tcW w:w="1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9,865,770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6,915,330</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437,305</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834,899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1,462,932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purchase warrants</w:t>
            </w:r>
          </w:p>
        </w:tc>
        <w:tc>
          <w:tcPr>
            <w:tcW w:w="23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11,140,907</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24,222,817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10,730,465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8,408,058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30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-1657985</wp:posOffset>
            </wp:positionV>
            <wp:extent cx="85725"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-1657985</wp:posOffset>
            </wp:positionV>
            <wp:extent cx="85725"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6696075</wp:posOffset>
            </wp:positionH>
            <wp:positionV relativeFrom="paragraph">
              <wp:posOffset>-1657985</wp:posOffset>
            </wp:positionV>
            <wp:extent cx="93980"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-1079500</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-1079500</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-1079500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December 31, 2024. Based on that evaluation, our Chief Executive Officer and Chief Financial Officer concluded that our disclosure controls and procedures were effective as of the end of the period covered by this report at the reasonable assurance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December 31, 2024 that has materially affected, or is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 and Attestation Report of the Registered Public Accounting Firm</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Control—Integrated Framework. Based on the assessment, management concluded that, as of December 31, 2024, our internal control over financial reporting was effective.</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as required by Section 404(c) of the Sarbanes Oxley Act of 2002. Because we qualify as a non-accelerated filer and a smaller reporting company under SEC rules, management's report was not subject to attestation by our independent registered public accounting firm.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333333"/>
        </w:rPr>
        <w:t>During the quarter ended December 31, 2024, none of our directors or officers (as defined in Rule 16a-1(f) under the Exchange Act) adopted, modified or terminated a “Rule 10b5-1 trading arrangement” or a “non-Rule 10b5-1 trading arrangement” (as each term is defined in Item 408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333333"/>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We will file a definitive Proxy Statement for our 2025 Annual Meeting of Stockholders (the “2025 Proxy Statement”) with the SEC, pursuant to Regulation 14A, not later than 120 days after the end of our fiscal year. Accordingly, certain information required by Part III has been omitted under General Instruction G(3) to Form 10-K. Only those sections of the 2025 Proxy Statement that specifically address the items set forth herein are incorporated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2025 Proxy Statement under the captions "Information Regarding the Board of Directors and Corporate Governance," "Election of Directors," and "Information About Our Executive Officers."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applicable to all of our employees, executive officers and directors. The Code of Conduct is available on our website at www.clearsidebio.com. The Audit Committee is responsible for overseeing the Code of Conduct and must approve any waivers of the Code of Conduct for executive officers and directors. If we make any substantive amendments to the Code of Conduct or grant any waiver from a provision of the Code of Conduct to any executive officer or director, we will promptly disclose the amendment or waiver on our website.</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and those of public companies in which we have a business relationship by our directors, executive officers, employees and consultants, that is designed to promote compliance with insider trading laws, rules and regulations, as well as provides for procedures designed to further the foregoing purposes. This policy prohibits, among other things, trading in our common stock that would violate these laws and regulations, and it also imposes other restrictions such as event-driven trading blackout periods and pre-clearance requirements for trading intended to protect against inadvertent violations of these laws and regulations. Pursuant to our insider trading policy, it is the Company’s policy to comply with applicable laws and regulations relating to insider trading when engaging in transactions in the Company’s securities. A copy of our insider trading policy, including any amendments thereto, is filed incorporated by reference as Exhibit 19 to this Annual Report on Form 10-K.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hereby incorporated by reference to the sections of the 2025 Proxy Statement under the captions "Executive Compensation" and "Non-Employee Director Compensation."</w:t>
      </w:r>
    </w:p>
    <w:p>
      <w:pPr>
        <w:spacing w:after="0" w:line="26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is hereby incorporated by reference to the sections of the 2025 Proxy Statement under the captions "Security Ownership of Certain Beneficial Owners and Management" and "Securities Authorized for Issuance under Equity Compensation Plans."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hereby incorporated by reference to the sections of the 2025 Proxy Statement under the captions "Transactions with Related Persons" and "Independence of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hereby incorporated by reference to the sections of the 2025 Proxy Statement under the caption "Ratification of Selection of Independent Auditors."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760" w:hanging="243"/>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filed the following documents as part of this Annual Report:</w:t>
      </w:r>
    </w:p>
    <w:p>
      <w:pPr>
        <w:spacing w:after="0" w:line="113"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financial statements are included in Item 8. “Financial Statements and Supplementary Data.”</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schedules are omitted as information required is inapplicable or the information is presented in the financial statements and the related notes.</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12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80" w:type="dxa"/>
            <w:vAlign w:val="bottom"/>
          </w:tcPr>
          <w:p>
            <w:pPr>
              <w:spacing w:after="0"/>
              <w:rPr>
                <w:sz w:val="18"/>
                <w:szCs w:val="18"/>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370"/>
        </w:trPr>
        <w:tc>
          <w:tcPr>
            <w:tcW w:w="1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3.1</w:t>
            </w:r>
          </w:p>
        </w:tc>
        <w:tc>
          <w:tcPr>
            <w:tcW w:w="1080" w:type="dxa"/>
            <w:vAlign w:val="bottom"/>
          </w:tcPr>
          <w:p>
            <w:pPr>
              <w:spacing w:after="0"/>
              <w:rPr>
                <w:sz w:val="24"/>
                <w:szCs w:val="24"/>
                <w:color w:val="auto"/>
              </w:rPr>
            </w:pPr>
          </w:p>
        </w:tc>
        <w:tc>
          <w:tcPr>
            <w:tcW w:w="8900" w:type="dxa"/>
            <w:vAlign w:val="bottom"/>
            <w:gridSpan w:val="20"/>
          </w:tcPr>
          <w:p>
            <w:pPr>
              <w:spacing w:after="0"/>
              <w:rPr>
                <w:rFonts w:ascii="Times New Roman" w:cs="Times New Roman" w:eastAsia="Times New Roman" w:hAnsi="Times New Roman"/>
                <w:sz w:val="16"/>
                <w:szCs w:val="16"/>
                <w:color w:val="0000FF"/>
              </w:rPr>
            </w:pPr>
            <w:hyperlink r:id="rId273">
              <w:r>
                <w:rPr>
                  <w:rFonts w:ascii="Times New Roman" w:cs="Times New Roman" w:eastAsia="Times New Roman" w:hAnsi="Times New Roman"/>
                  <w:sz w:val="16"/>
                  <w:szCs w:val="16"/>
                  <w:color w:val="0000FF"/>
                </w:rPr>
                <w:t>Amended and Restated Certificate of Incorporation (incorporated herein by reference to Exhibit 3.1 to the Registrant’s Current Report</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73">
              <w:r>
                <w:rPr>
                  <w:rFonts w:ascii="Times New Roman" w:cs="Times New Roman" w:eastAsia="Times New Roman" w:hAnsi="Times New Roman"/>
                  <w:sz w:val="16"/>
                  <w:szCs w:val="16"/>
                  <w:color w:val="0000FF"/>
                </w:rPr>
                <w:t>on Form 8-K (File No. 001-37783) filed with the SEC on June 7, 2016).</w:t>
              </w:r>
            </w:hyperlink>
          </w:p>
        </w:tc>
      </w:tr>
      <w:tr>
        <w:trPr>
          <w:trHeight w:val="20"/>
        </w:trPr>
        <w:tc>
          <w:tcPr>
            <w:tcW w:w="12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1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3.2</w:t>
            </w:r>
          </w:p>
        </w:tc>
        <w:tc>
          <w:tcPr>
            <w:tcW w:w="1080" w:type="dxa"/>
            <w:vAlign w:val="bottom"/>
          </w:tcPr>
          <w:p>
            <w:pPr>
              <w:spacing w:after="0"/>
              <w:rPr>
                <w:sz w:val="24"/>
                <w:szCs w:val="24"/>
                <w:color w:val="auto"/>
              </w:rPr>
            </w:pPr>
          </w:p>
        </w:tc>
        <w:tc>
          <w:tcPr>
            <w:tcW w:w="8900" w:type="dxa"/>
            <w:vAlign w:val="bottom"/>
            <w:gridSpan w:val="20"/>
          </w:tcPr>
          <w:p>
            <w:pPr>
              <w:spacing w:after="0"/>
              <w:rPr>
                <w:rFonts w:ascii="Times New Roman" w:cs="Times New Roman" w:eastAsia="Times New Roman" w:hAnsi="Times New Roman"/>
                <w:sz w:val="16"/>
                <w:szCs w:val="16"/>
                <w:color w:val="0000FF"/>
              </w:rPr>
            </w:pPr>
            <w:hyperlink r:id="rId274">
              <w:r>
                <w:rPr>
                  <w:rFonts w:ascii="Times New Roman" w:cs="Times New Roman" w:eastAsia="Times New Roman" w:hAnsi="Times New Roman"/>
                  <w:sz w:val="16"/>
                  <w:szCs w:val="16"/>
                  <w:color w:val="0000FF"/>
                </w:rPr>
                <w:t>Certificate of Amendment to Amended and Restated Certificate of Incorporation (incorporated herein by reference to Exhibit 3.1 to the</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74">
              <w:r>
                <w:rPr>
                  <w:rFonts w:ascii="Times New Roman" w:cs="Times New Roman" w:eastAsia="Times New Roman" w:hAnsi="Times New Roman"/>
                  <w:sz w:val="16"/>
                  <w:szCs w:val="16"/>
                  <w:color w:val="0000FF"/>
                </w:rPr>
                <w:t>Registrant's Current Report on Form 8-K (File No. 001-37783) filed with the SEC on June 23, 2022).</w:t>
              </w:r>
            </w:hyperlink>
          </w:p>
        </w:tc>
      </w:tr>
      <w:tr>
        <w:trPr>
          <w:trHeight w:val="20"/>
        </w:trPr>
        <w:tc>
          <w:tcPr>
            <w:tcW w:w="12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1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3.3</w:t>
            </w:r>
          </w:p>
        </w:tc>
        <w:tc>
          <w:tcPr>
            <w:tcW w:w="1080" w:type="dxa"/>
            <w:vAlign w:val="bottom"/>
          </w:tcPr>
          <w:p>
            <w:pPr>
              <w:spacing w:after="0"/>
              <w:rPr>
                <w:sz w:val="24"/>
                <w:szCs w:val="24"/>
                <w:color w:val="auto"/>
              </w:rPr>
            </w:pPr>
          </w:p>
        </w:tc>
        <w:tc>
          <w:tcPr>
            <w:tcW w:w="8900" w:type="dxa"/>
            <w:vAlign w:val="bottom"/>
            <w:gridSpan w:val="20"/>
          </w:tcPr>
          <w:p>
            <w:pPr>
              <w:spacing w:after="0"/>
              <w:rPr>
                <w:rFonts w:ascii="Times New Roman" w:cs="Times New Roman" w:eastAsia="Times New Roman" w:hAnsi="Times New Roman"/>
                <w:sz w:val="16"/>
                <w:szCs w:val="16"/>
                <w:color w:val="0000FF"/>
              </w:rPr>
            </w:pPr>
            <w:hyperlink r:id="rId275">
              <w:r>
                <w:rPr>
                  <w:rFonts w:ascii="Times New Roman" w:cs="Times New Roman" w:eastAsia="Times New Roman" w:hAnsi="Times New Roman"/>
                  <w:sz w:val="16"/>
                  <w:szCs w:val="16"/>
                  <w:color w:val="0000FF"/>
                </w:rPr>
                <w:t>Amended and Restated Bylaws (incorporated herein by reference to Exhibit 3.2 to the Registrant’s Current Report on Form 8-K (File</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75">
              <w:r>
                <w:rPr>
                  <w:rFonts w:ascii="Times New Roman" w:cs="Times New Roman" w:eastAsia="Times New Roman" w:hAnsi="Times New Roman"/>
                  <w:sz w:val="16"/>
                  <w:szCs w:val="16"/>
                  <w:color w:val="0000FF"/>
                </w:rPr>
                <w:t>No. 001-37783) filed with the SEC on June 7, 2016).</w:t>
              </w:r>
            </w:hyperlink>
          </w:p>
        </w:tc>
      </w:tr>
      <w:tr>
        <w:trPr>
          <w:trHeight w:val="20"/>
        </w:trPr>
        <w:tc>
          <w:tcPr>
            <w:tcW w:w="12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1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4.1</w:t>
            </w:r>
          </w:p>
        </w:tc>
        <w:tc>
          <w:tcPr>
            <w:tcW w:w="1080" w:type="dxa"/>
            <w:vAlign w:val="bottom"/>
          </w:tcPr>
          <w:p>
            <w:pPr>
              <w:spacing w:after="0"/>
              <w:rPr>
                <w:sz w:val="24"/>
                <w:szCs w:val="24"/>
                <w:color w:val="auto"/>
              </w:rPr>
            </w:pPr>
          </w:p>
        </w:tc>
        <w:tc>
          <w:tcPr>
            <w:tcW w:w="8900" w:type="dxa"/>
            <w:vAlign w:val="bottom"/>
            <w:gridSpan w:val="20"/>
          </w:tcPr>
          <w:p>
            <w:pPr>
              <w:spacing w:after="0"/>
              <w:rPr>
                <w:rFonts w:ascii="Times New Roman" w:cs="Times New Roman" w:eastAsia="Times New Roman" w:hAnsi="Times New Roman"/>
                <w:sz w:val="16"/>
                <w:szCs w:val="16"/>
                <w:color w:val="0000FF"/>
              </w:rPr>
            </w:pPr>
            <w:hyperlink r:id="rId276">
              <w:r>
                <w:rPr>
                  <w:rFonts w:ascii="Times New Roman" w:cs="Times New Roman" w:eastAsia="Times New Roman" w:hAnsi="Times New Roman"/>
                  <w:sz w:val="16"/>
                  <w:szCs w:val="16"/>
                  <w:color w:val="0000FF"/>
                </w:rPr>
                <w:t>Specimen stock certificate evidencing shares of Common Stock (incorporated herein by reference to Exhibit 4.1 to Amendment No. 1 to</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76">
              <w:r>
                <w:rPr>
                  <w:rFonts w:ascii="Times New Roman" w:cs="Times New Roman" w:eastAsia="Times New Roman" w:hAnsi="Times New Roman"/>
                  <w:sz w:val="16"/>
                  <w:szCs w:val="16"/>
                  <w:color w:val="0000FF"/>
                </w:rPr>
                <w:t>the Registrant’s Registration Statement on Form S-1 (File No. 333-208916) filed with the SEC on March 18, 2016).</w:t>
              </w:r>
            </w:hyperlink>
          </w:p>
        </w:tc>
      </w:tr>
      <w:tr>
        <w:trPr>
          <w:trHeight w:val="20"/>
        </w:trPr>
        <w:tc>
          <w:tcPr>
            <w:tcW w:w="12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1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tcPr>
          <w:p>
            <w:pPr>
              <w:spacing w:after="0"/>
              <w:rPr>
                <w:sz w:val="24"/>
                <w:szCs w:val="24"/>
                <w:color w:val="auto"/>
              </w:rPr>
            </w:pPr>
          </w:p>
        </w:tc>
        <w:tc>
          <w:tcPr>
            <w:tcW w:w="8900" w:type="dxa"/>
            <w:vAlign w:val="bottom"/>
            <w:gridSpan w:val="20"/>
          </w:tcPr>
          <w:p>
            <w:pPr>
              <w:spacing w:after="0"/>
              <w:rPr>
                <w:rFonts w:ascii="Times New Roman" w:cs="Times New Roman" w:eastAsia="Times New Roman" w:hAnsi="Times New Roman"/>
                <w:sz w:val="16"/>
                <w:szCs w:val="16"/>
                <w:color w:val="0000FF"/>
              </w:rPr>
            </w:pPr>
            <w:hyperlink r:id="rId277">
              <w:r>
                <w:rPr>
                  <w:rFonts w:ascii="Times New Roman" w:cs="Times New Roman" w:eastAsia="Times New Roman" w:hAnsi="Times New Roman"/>
                  <w:sz w:val="16"/>
                  <w:szCs w:val="16"/>
                  <w:color w:val="0000FF"/>
                </w:rPr>
                <w:t>Form of Warrant to Purchase Common Stock issued to lenders in September 2016 in connection with Amended and Restated Loan and</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77">
              <w:r>
                <w:rPr>
                  <w:rFonts w:ascii="Times New Roman" w:cs="Times New Roman" w:eastAsia="Times New Roman" w:hAnsi="Times New Roman"/>
                  <w:sz w:val="16"/>
                  <w:szCs w:val="16"/>
                  <w:color w:val="0000FF"/>
                </w:rPr>
                <w:t>Security Agreement (incorporated herein by reference to Exhibit 4.1 to the Registrant’s Current Report on Form 8-K (File No. 001-</w:t>
              </w:r>
            </w:hyperlink>
          </w:p>
        </w:tc>
      </w:tr>
      <w:tr>
        <w:trPr>
          <w:trHeight w:val="20"/>
        </w:trPr>
        <w:tc>
          <w:tcPr>
            <w:tcW w:w="12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77">
              <w:r>
                <w:rPr>
                  <w:rFonts w:ascii="Times New Roman" w:cs="Times New Roman" w:eastAsia="Times New Roman" w:hAnsi="Times New Roman"/>
                  <w:sz w:val="16"/>
                  <w:szCs w:val="16"/>
                  <w:color w:val="0000FF"/>
                </w:rPr>
                <w:t>37783)</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filed with the Commission on October 4, 2016).</w:t>
              </w:r>
            </w:hyperlink>
          </w:p>
        </w:tc>
      </w:tr>
      <w:tr>
        <w:trPr>
          <w:trHeight w:val="20"/>
        </w:trPr>
        <w:tc>
          <w:tcPr>
            <w:tcW w:w="12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1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4.3</w:t>
            </w:r>
          </w:p>
        </w:tc>
        <w:tc>
          <w:tcPr>
            <w:tcW w:w="1080" w:type="dxa"/>
            <w:vAlign w:val="bottom"/>
          </w:tcPr>
          <w:p>
            <w:pPr>
              <w:spacing w:after="0"/>
              <w:rPr>
                <w:sz w:val="24"/>
                <w:szCs w:val="24"/>
                <w:color w:val="auto"/>
              </w:rPr>
            </w:pPr>
          </w:p>
        </w:tc>
        <w:tc>
          <w:tcPr>
            <w:tcW w:w="8900" w:type="dxa"/>
            <w:vAlign w:val="bottom"/>
            <w:gridSpan w:val="20"/>
          </w:tcPr>
          <w:p>
            <w:pPr>
              <w:spacing w:after="0"/>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Form of Warrant to Purchase Common Stock issued to investors in February 2024 in connection with Securities Purchase Agreement</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(incorporated herein by reference to Exhibit 4.1 to the Registrant’s Current Report on Form 8-K (File No. 001-37783), filed with the</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Commission on February 8, 2024).</w:t>
              </w:r>
            </w:hyperlink>
          </w:p>
        </w:tc>
      </w:tr>
      <w:tr>
        <w:trPr>
          <w:trHeight w:val="20"/>
        </w:trPr>
        <w:tc>
          <w:tcPr>
            <w:tcW w:w="12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1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4.4</w:t>
            </w:r>
          </w:p>
        </w:tc>
        <w:tc>
          <w:tcPr>
            <w:tcW w:w="1080" w:type="dxa"/>
            <w:vAlign w:val="bottom"/>
          </w:tcPr>
          <w:p>
            <w:pPr>
              <w:spacing w:after="0"/>
              <w:rPr>
                <w:sz w:val="24"/>
                <w:szCs w:val="24"/>
                <w:color w:val="auto"/>
              </w:rPr>
            </w:pPr>
          </w:p>
        </w:tc>
        <w:tc>
          <w:tcPr>
            <w:tcW w:w="8900" w:type="dxa"/>
            <w:vAlign w:val="bottom"/>
            <w:gridSpan w:val="20"/>
          </w:tcPr>
          <w:p>
            <w:pPr>
              <w:spacing w:after="0"/>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Description of Common Stock of Clearside Biomedical, Inc. (incorporated herein by reference to Exhibit 4.4 to the Registrant’s Annual</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Report on Form 10-K (File No. 001-37783), filed with the Commission on March 13, 2020).</w:t>
              </w:r>
            </w:hyperlink>
          </w:p>
        </w:tc>
      </w:tr>
      <w:tr>
        <w:trPr>
          <w:trHeight w:val="20"/>
        </w:trPr>
        <w:tc>
          <w:tcPr>
            <w:tcW w:w="12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96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1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w:t>
            </w: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0"/>
          </w:tcPr>
          <w:p>
            <w:pPr>
              <w:spacing w:after="0"/>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License Agreement, by and among the Registrant, Emory University and The Georgia Tech Research Corporation, dated as of July 4,</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14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2012, as amended by the First Amendment to License Agreement, dated April 2, 2014 (incorporated herein by reference to Exhibit 10.1</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14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to the Registrant’s Registration Statement on Form S-1 (File No. 333-208916), filed with the Commission on January 8, 2016).</w:t>
              </w:r>
            </w:hyperlink>
          </w:p>
        </w:tc>
      </w:tr>
      <w:tr>
        <w:trPr>
          <w:trHeight w:val="20"/>
        </w:trPr>
        <w:tc>
          <w:tcPr>
            <w:tcW w:w="12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14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385"/>
        </w:trPr>
        <w:tc>
          <w:tcPr>
            <w:tcW w:w="1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w:t>
            </w: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0"/>
          </w:tcPr>
          <w:p>
            <w:pPr>
              <w:spacing w:after="0"/>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2011 Stock Incentive Plan, as amended to date (incorporated herein by reference to Exhibit 10.3 to the Registrant’s Registration</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14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Statement on Form S-1 (File No. 333-208916), filed with the Commission on January 8, 2016).</w:t>
              </w:r>
            </w:hyperlink>
          </w:p>
        </w:tc>
      </w:tr>
      <w:tr>
        <w:trPr>
          <w:trHeight w:val="20"/>
        </w:trPr>
        <w:tc>
          <w:tcPr>
            <w:tcW w:w="12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140" w:type="dxa"/>
            <w:vAlign w:val="bottom"/>
            <w:tcBorders>
              <w:right w:val="single" w:sz="8" w:color="0000EE"/>
            </w:tcBorders>
            <w:gridSpan w:val="3"/>
            <w:shd w:val="clear" w:color="auto" w:fill="0000FF"/>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385"/>
        </w:trPr>
        <w:tc>
          <w:tcPr>
            <w:tcW w:w="1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10.3</w:t>
            </w: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0"/>
          </w:tcPr>
          <w:p>
            <w:pPr>
              <w:spacing w:after="0"/>
              <w:rPr>
                <w:rFonts w:ascii="Times New Roman" w:cs="Times New Roman" w:eastAsia="Times New Roman" w:hAnsi="Times New Roman"/>
                <w:sz w:val="16"/>
                <w:szCs w:val="16"/>
                <w:color w:val="0000FF"/>
              </w:rPr>
            </w:pPr>
            <w:hyperlink r:id="rId282">
              <w:r>
                <w:rPr>
                  <w:rFonts w:ascii="Times New Roman" w:cs="Times New Roman" w:eastAsia="Times New Roman" w:hAnsi="Times New Roman"/>
                  <w:sz w:val="16"/>
                  <w:szCs w:val="16"/>
                  <w:color w:val="0000FF"/>
                </w:rPr>
                <w:t>Form of Incentive Stock Option Grant Notice and Incentive Stock Option Agreement under 2011 Stock Incentive Plan (incorporated</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82">
              <w:r>
                <w:rPr>
                  <w:rFonts w:ascii="Times New Roman" w:cs="Times New Roman" w:eastAsia="Times New Roman" w:hAnsi="Times New Roman"/>
                  <w:sz w:val="16"/>
                  <w:szCs w:val="16"/>
                  <w:color w:val="0000FF"/>
                </w:rPr>
                <w:t>herein by reference to Exhibit 10.4 to the Registrant’s Registration Statement on Form S-1 (File No. 333-208916), filed with the</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82">
              <w:r>
                <w:rPr>
                  <w:rFonts w:ascii="Times New Roman" w:cs="Times New Roman" w:eastAsia="Times New Roman" w:hAnsi="Times New Roman"/>
                  <w:sz w:val="16"/>
                  <w:szCs w:val="16"/>
                  <w:color w:val="0000FF"/>
                </w:rPr>
                <w:t>Commission on January 8, 2016).</w:t>
              </w:r>
            </w:hyperlink>
          </w:p>
        </w:tc>
      </w:tr>
      <w:tr>
        <w:trPr>
          <w:trHeight w:val="20"/>
        </w:trPr>
        <w:tc>
          <w:tcPr>
            <w:tcW w:w="12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385"/>
        </w:trPr>
        <w:tc>
          <w:tcPr>
            <w:tcW w:w="1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10.4</w:t>
            </w: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0"/>
          </w:tcPr>
          <w:p>
            <w:pPr>
              <w:spacing w:after="0"/>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Form of Nonqualified Stock Option Grant Notice and Nonqualified Stock Option Agreement under 2011 Stock Incentive Plan</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Borders>
              <w:right w:val="single" w:sz="8" w:color="0000FF"/>
            </w:tcBorders>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(incorporated herein by reference to Exhibit 10.5 to the Registrant’s Registration Statement on Form S-1 (File No. 333-208916), filed</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Borders>
              <w:right w:val="single" w:sz="8" w:color="0000FF"/>
            </w:tcBorders>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560" w:type="dxa"/>
            <w:vAlign w:val="bottom"/>
            <w:gridSpan w:val="10"/>
            <w:shd w:val="clear" w:color="auto" w:fill="0000FF"/>
          </w:tcPr>
          <w:p>
            <w:pPr>
              <w:spacing w:after="0" w:line="20" w:lineRule="exact"/>
              <w:rPr>
                <w:sz w:val="1"/>
                <w:szCs w:val="1"/>
                <w:color w:val="auto"/>
              </w:rPr>
            </w:pPr>
          </w:p>
        </w:tc>
        <w:tc>
          <w:tcPr>
            <w:tcW w:w="280" w:type="dxa"/>
            <w:vAlign w:val="bottom"/>
            <w:tcBorders>
              <w:left w:val="single" w:sz="8" w:color="0000FF"/>
            </w:tcBorders>
            <w:gridSpan w:val="4"/>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with the Commission on January 8, 2016).</w:t>
              </w:r>
            </w:hyperlink>
          </w:p>
        </w:tc>
      </w:tr>
      <w:tr>
        <w:trPr>
          <w:trHeight w:val="20"/>
        </w:trPr>
        <w:tc>
          <w:tcPr>
            <w:tcW w:w="12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EE"/>
            </w:tcBorders>
            <w:gridSpan w:val="3"/>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840" w:type="dxa"/>
            <w:vAlign w:val="bottom"/>
            <w:gridSpan w:val="14"/>
          </w:tcPr>
          <w:p>
            <w:pPr>
              <w:spacing w:after="0" w:line="20" w:lineRule="exact"/>
              <w:rPr>
                <w:sz w:val="1"/>
                <w:szCs w:val="1"/>
                <w:color w:val="auto"/>
              </w:rPr>
            </w:pPr>
          </w:p>
        </w:tc>
      </w:tr>
      <w:tr>
        <w:trPr>
          <w:trHeight w:val="385"/>
        </w:trPr>
        <w:tc>
          <w:tcPr>
            <w:tcW w:w="1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10.5</w:t>
            </w: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0"/>
          </w:tcPr>
          <w:p>
            <w:pPr>
              <w:spacing w:after="0"/>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2016 Equity Incentive Plan (incorporated herein by reference to Exhibit 4.7 to the Registrant’s Registration Statement on Form S-8 (File</w:t>
              </w:r>
            </w:hyperlink>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60" w:type="dxa"/>
            <w:vAlign w:val="bottom"/>
            <w:gridSpan w:val="6"/>
            <w:shd w:val="clear" w:color="auto" w:fill="0000FF"/>
          </w:tcPr>
          <w:p>
            <w:pPr>
              <w:spacing w:after="0" w:line="20" w:lineRule="exact"/>
              <w:rPr>
                <w:sz w:val="1"/>
                <w:szCs w:val="1"/>
                <w:color w:val="auto"/>
              </w:rPr>
            </w:pPr>
          </w:p>
        </w:tc>
        <w:tc>
          <w:tcPr>
            <w:tcW w:w="4780" w:type="dxa"/>
            <w:vAlign w:val="bottom"/>
            <w:gridSpan w:val="1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900" w:type="dxa"/>
            <w:vAlign w:val="bottom"/>
            <w:gridSpan w:val="20"/>
          </w:tcPr>
          <w:p>
            <w:pPr>
              <w:spacing w:after="0" w:line="183" w:lineRule="exact"/>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No. 333-212014), file with the Commission on June 14, 2016).</w:t>
              </w:r>
            </w:hyperlink>
          </w:p>
        </w:tc>
      </w:tr>
      <w:tr>
        <w:trPr>
          <w:trHeight w:val="655"/>
        </w:trPr>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40" w:type="dxa"/>
            <w:vAlign w:val="bottom"/>
            <w:tcBorders>
              <w:top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1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10.6</w:t>
            </w:r>
          </w:p>
        </w:tc>
        <w:tc>
          <w:tcPr>
            <w:tcW w:w="13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7"/>
          </w:tcPr>
          <w:p>
            <w:pPr>
              <w:spacing w:after="0"/>
              <w:rPr>
                <w:rFonts w:ascii="Times New Roman" w:cs="Times New Roman" w:eastAsia="Times New Roman" w:hAnsi="Times New Roman"/>
                <w:sz w:val="16"/>
                <w:szCs w:val="16"/>
                <w:color w:val="0000FF"/>
              </w:rPr>
            </w:pPr>
            <w:hyperlink r:id="rId287">
              <w:r>
                <w:rPr>
                  <w:rFonts w:ascii="Times New Roman" w:cs="Times New Roman" w:eastAsia="Times New Roman" w:hAnsi="Times New Roman"/>
                  <w:sz w:val="16"/>
                  <w:szCs w:val="16"/>
                  <w:color w:val="0000FF"/>
                </w:rPr>
                <w:t>Form of Stock Option Grant Notice and Stock Option Agreement under 2016 Equity Incentive Plan (incorporated herein by reference 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87">
              <w:r>
                <w:rPr>
                  <w:rFonts w:ascii="Times New Roman" w:cs="Times New Roman" w:eastAsia="Times New Roman" w:hAnsi="Times New Roman"/>
                  <w:sz w:val="16"/>
                  <w:szCs w:val="16"/>
                  <w:color w:val="0000FF"/>
                </w:rPr>
                <w:t>Exhibit 10.7 to Amendment No. 1 to the Registrant’s Registration Statement on Form S-1 (File No. 333-208916), filed with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87">
              <w:r>
                <w:rPr>
                  <w:rFonts w:ascii="Times New Roman" w:cs="Times New Roman" w:eastAsia="Times New Roman" w:hAnsi="Times New Roman"/>
                  <w:sz w:val="16"/>
                  <w:szCs w:val="16"/>
                  <w:color w:val="0000FF"/>
                </w:rPr>
                <w:t>Commission on March 18,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10.7</w:t>
            </w:r>
          </w:p>
        </w:tc>
        <w:tc>
          <w:tcPr>
            <w:tcW w:w="13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7"/>
          </w:tcPr>
          <w:p>
            <w:pPr>
              <w:spacing w:after="0"/>
              <w:rPr>
                <w:rFonts w:ascii="Times New Roman" w:cs="Times New Roman" w:eastAsia="Times New Roman" w:hAnsi="Times New Roman"/>
                <w:sz w:val="16"/>
                <w:szCs w:val="16"/>
                <w:color w:val="0000FF"/>
              </w:rPr>
            </w:pPr>
            <w:hyperlink r:id="rId288">
              <w:r>
                <w:rPr>
                  <w:rFonts w:ascii="Times New Roman" w:cs="Times New Roman" w:eastAsia="Times New Roman" w:hAnsi="Times New Roman"/>
                  <w:sz w:val="16"/>
                  <w:szCs w:val="16"/>
                  <w:color w:val="0000FF"/>
                </w:rPr>
                <w:t>Form of Restricted Stock Unit Grant Notice and Restricted Stock Unit Award Agreement under 2016 Equity Incentive Plan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88">
              <w:r>
                <w:rPr>
                  <w:rFonts w:ascii="Times New Roman" w:cs="Times New Roman" w:eastAsia="Times New Roman" w:hAnsi="Times New Roman"/>
                  <w:sz w:val="16"/>
                  <w:szCs w:val="16"/>
                  <w:color w:val="0000FF"/>
                </w:rPr>
                <w:t>(incorporated herein by reference to Exhibit 10.8 to Amendment No. 1 to the Registrant’s Registration Statement on Form S-1 (File No.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88">
              <w:r>
                <w:rPr>
                  <w:rFonts w:ascii="Times New Roman" w:cs="Times New Roman" w:eastAsia="Times New Roman" w:hAnsi="Times New Roman"/>
                  <w:sz w:val="16"/>
                  <w:szCs w:val="16"/>
                  <w:color w:val="0000FF"/>
                </w:rPr>
                <w:t>333-208916), filed with the Commission on March 18,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10.8</w:t>
            </w:r>
          </w:p>
        </w:tc>
        <w:tc>
          <w:tcPr>
            <w:tcW w:w="13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7"/>
          </w:tcPr>
          <w:p>
            <w:pPr>
              <w:spacing w:after="0"/>
              <w:rPr>
                <w:rFonts w:ascii="Times New Roman" w:cs="Times New Roman" w:eastAsia="Times New Roman" w:hAnsi="Times New Roman"/>
                <w:sz w:val="16"/>
                <w:szCs w:val="16"/>
                <w:color w:val="0000FF"/>
              </w:rPr>
            </w:pPr>
            <w:hyperlink r:id="rId289">
              <w:r>
                <w:rPr>
                  <w:rFonts w:ascii="Times New Roman" w:cs="Times New Roman" w:eastAsia="Times New Roman" w:hAnsi="Times New Roman"/>
                  <w:sz w:val="16"/>
                  <w:szCs w:val="16"/>
                  <w:color w:val="0000FF"/>
                </w:rPr>
                <w:t>Form of Indemnification Agreement with non-employee directors (incorporated herein by reference to Exhibit 10.9 to the Registrant’s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89">
              <w:r>
                <w:rPr>
                  <w:rFonts w:ascii="Times New Roman" w:cs="Times New Roman" w:eastAsia="Times New Roman" w:hAnsi="Times New Roman"/>
                  <w:sz w:val="16"/>
                  <w:szCs w:val="16"/>
                  <w:color w:val="0000FF"/>
                </w:rPr>
                <w:t>Registration Statement on Form S-1 (File No. 333-208916), filed with the Commission on January 8,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10.9</w:t>
            </w:r>
          </w:p>
        </w:tc>
        <w:tc>
          <w:tcPr>
            <w:tcW w:w="13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7"/>
          </w:tcPr>
          <w:p>
            <w:pPr>
              <w:spacing w:after="0"/>
              <w:rPr>
                <w:rFonts w:ascii="Times New Roman" w:cs="Times New Roman" w:eastAsia="Times New Roman" w:hAnsi="Times New Roman"/>
                <w:sz w:val="16"/>
                <w:szCs w:val="16"/>
                <w:color w:val="0000FF"/>
              </w:rPr>
            </w:pPr>
            <w:hyperlink r:id="rId290">
              <w:r>
                <w:rPr>
                  <w:rFonts w:ascii="Times New Roman" w:cs="Times New Roman" w:eastAsia="Times New Roman" w:hAnsi="Times New Roman"/>
                  <w:sz w:val="16"/>
                  <w:szCs w:val="16"/>
                  <w:color w:val="0000FF"/>
                </w:rPr>
                <w:t>Form of 2016 Employee Stock Purchase Plan (incorporated herein by reference to Exhibit 10.12 to Amendment No. 1 to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0">
              <w:r>
                <w:rPr>
                  <w:rFonts w:ascii="Times New Roman" w:cs="Times New Roman" w:eastAsia="Times New Roman" w:hAnsi="Times New Roman"/>
                  <w:sz w:val="16"/>
                  <w:szCs w:val="16"/>
                  <w:color w:val="0000FF"/>
                </w:rPr>
                <w:t>Registrant’s Registration Statement on Form S-1 (File No. 333-208916), filed with the Commission on March 18,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10.10</w:t>
            </w:r>
          </w:p>
        </w:tc>
        <w:tc>
          <w:tcPr>
            <w:tcW w:w="1300" w:type="dxa"/>
            <w:vAlign w:val="bottom"/>
          </w:tcPr>
          <w:p>
            <w:pPr>
              <w:spacing w:after="0"/>
              <w:rPr>
                <w:sz w:val="24"/>
                <w:szCs w:val="24"/>
                <w:color w:val="auto"/>
              </w:rPr>
            </w:pPr>
          </w:p>
        </w:tc>
        <w:tc>
          <w:tcPr>
            <w:tcW w:w="8920" w:type="dxa"/>
            <w:vAlign w:val="bottom"/>
            <w:gridSpan w:val="27"/>
          </w:tcPr>
          <w:p>
            <w:pPr>
              <w:spacing w:after="0"/>
              <w:rPr>
                <w:rFonts w:ascii="Times New Roman" w:cs="Times New Roman" w:eastAsia="Times New Roman" w:hAnsi="Times New Roman"/>
                <w:sz w:val="16"/>
                <w:szCs w:val="16"/>
                <w:color w:val="0000FF"/>
              </w:rPr>
            </w:pPr>
            <w:hyperlink r:id="rId291">
              <w:r>
                <w:rPr>
                  <w:rFonts w:ascii="Times New Roman" w:cs="Times New Roman" w:eastAsia="Times New Roman" w:hAnsi="Times New Roman"/>
                  <w:sz w:val="16"/>
                  <w:szCs w:val="16"/>
                  <w:color w:val="0000FF"/>
                </w:rPr>
                <w:t>Office Lease Agreement, dated November 21, 2016, by and between the Registrant and BRE/COH GA LLC (incorporated herein by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1">
              <w:r>
                <w:rPr>
                  <w:rFonts w:ascii="Times New Roman" w:cs="Times New Roman" w:eastAsia="Times New Roman" w:hAnsi="Times New Roman"/>
                  <w:sz w:val="16"/>
                  <w:szCs w:val="16"/>
                  <w:color w:val="0000FF"/>
                </w:rPr>
                <w:t>reference to Exhibit 10.1 to the Registrant’s Current Report on Form 8-K (File No. 001-37783), filed with the Commission 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1">
              <w:r>
                <w:rPr>
                  <w:rFonts w:ascii="Times New Roman" w:cs="Times New Roman" w:eastAsia="Times New Roman" w:hAnsi="Times New Roman"/>
                  <w:sz w:val="16"/>
                  <w:szCs w:val="16"/>
                  <w:color w:val="0000FF"/>
                </w:rPr>
                <w:t>November 23,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10.11</w:t>
            </w:r>
          </w:p>
        </w:tc>
        <w:tc>
          <w:tcPr>
            <w:tcW w:w="1300" w:type="dxa"/>
            <w:vAlign w:val="bottom"/>
          </w:tcPr>
          <w:p>
            <w:pPr>
              <w:spacing w:after="0"/>
              <w:rPr>
                <w:sz w:val="24"/>
                <w:szCs w:val="24"/>
                <w:color w:val="auto"/>
              </w:rPr>
            </w:pPr>
          </w:p>
        </w:tc>
        <w:tc>
          <w:tcPr>
            <w:tcW w:w="8920" w:type="dxa"/>
            <w:vAlign w:val="bottom"/>
            <w:gridSpan w:val="27"/>
          </w:tcPr>
          <w:p>
            <w:pPr>
              <w:spacing w:after="0"/>
              <w:rPr>
                <w:rFonts w:ascii="Times New Roman" w:cs="Times New Roman" w:eastAsia="Times New Roman" w:hAnsi="Times New Roman"/>
                <w:sz w:val="16"/>
                <w:szCs w:val="16"/>
                <w:color w:val="0000FF"/>
              </w:rPr>
            </w:pPr>
            <w:hyperlink r:id="rId292">
              <w:r>
                <w:rPr>
                  <w:rFonts w:ascii="Times New Roman" w:cs="Times New Roman" w:eastAsia="Times New Roman" w:hAnsi="Times New Roman"/>
                  <w:sz w:val="16"/>
                  <w:szCs w:val="16"/>
                  <w:color w:val="0000FF"/>
                </w:rPr>
                <w:t>Second Amendment to License Agreement, by and among the Registrant, Emory University and The Georgia Tech Research</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2">
              <w:r>
                <w:rPr>
                  <w:rFonts w:ascii="Times New Roman" w:cs="Times New Roman" w:eastAsia="Times New Roman" w:hAnsi="Times New Roman"/>
                  <w:sz w:val="16"/>
                  <w:szCs w:val="16"/>
                  <w:color w:val="0000FF"/>
                </w:rPr>
                <w:t>Corporation, dated December 12, 2016 (incorporated herein by reference to Exhibit 10.21 to the Registrant’s Annual Report on Form</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4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2">
              <w:r>
                <w:rPr>
                  <w:rFonts w:ascii="Times New Roman" w:cs="Times New Roman" w:eastAsia="Times New Roman" w:hAnsi="Times New Roman"/>
                  <w:sz w:val="16"/>
                  <w:szCs w:val="16"/>
                  <w:color w:val="0000FF"/>
                </w:rPr>
                <w:t>10-K (File No. 001-37783), filed with the Commission on March 16, 2017).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10.12</w:t>
            </w: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7"/>
          </w:tcPr>
          <w:p>
            <w:pPr>
              <w:spacing w:after="0"/>
              <w:rPr>
                <w:rFonts w:ascii="Times New Roman" w:cs="Times New Roman" w:eastAsia="Times New Roman" w:hAnsi="Times New Roman"/>
                <w:sz w:val="16"/>
                <w:szCs w:val="16"/>
                <w:color w:val="0000FF"/>
              </w:rPr>
            </w:pPr>
            <w:hyperlink r:id="rId293">
              <w:r>
                <w:rPr>
                  <w:rFonts w:ascii="Times New Roman" w:cs="Times New Roman" w:eastAsia="Times New Roman" w:hAnsi="Times New Roman"/>
                  <w:sz w:val="16"/>
                  <w:szCs w:val="16"/>
                  <w:color w:val="0000FF"/>
                </w:rPr>
                <w:t>Amended and Restated Executive Employment Agreement, by and between Clearside Biomedical, Inc. and Charles A. Deignan, dated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4"/>
            <w:shd w:val="clear" w:color="auto" w:fill="0000FF"/>
          </w:tcPr>
          <w:p>
            <w:pPr>
              <w:spacing w:after="0" w:line="20" w:lineRule="exact"/>
              <w:rPr>
                <w:sz w:val="1"/>
                <w:szCs w:val="1"/>
                <w:color w:val="auto"/>
              </w:rPr>
            </w:pPr>
          </w:p>
        </w:tc>
        <w:tc>
          <w:tcPr>
            <w:tcW w:w="110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3">
              <w:r>
                <w:rPr>
                  <w:rFonts w:ascii="Times New Roman" w:cs="Times New Roman" w:eastAsia="Times New Roman" w:hAnsi="Times New Roman"/>
                  <w:sz w:val="16"/>
                  <w:szCs w:val="16"/>
                  <w:color w:val="0000FF"/>
                </w:rPr>
                <w:t>as of August 3, 2017 (incorporated herein by reference to Exhibit 10.2 to the Registrant’s Quarterly Report on Form 10-Q (File No. 001-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FF"/>
            </w:tcBorders>
            <w:gridSpan w:val="4"/>
            <w:shd w:val="clear" w:color="auto" w:fill="0000FF"/>
          </w:tcPr>
          <w:p>
            <w:pPr>
              <w:spacing w:after="0" w:line="20" w:lineRule="exact"/>
              <w:rPr>
                <w:sz w:val="1"/>
                <w:szCs w:val="1"/>
                <w:color w:val="auto"/>
              </w:rPr>
            </w:pPr>
          </w:p>
        </w:tc>
        <w:tc>
          <w:tcPr>
            <w:tcW w:w="110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3">
              <w:r>
                <w:rPr>
                  <w:rFonts w:ascii="Times New Roman" w:cs="Times New Roman" w:eastAsia="Times New Roman" w:hAnsi="Times New Roman"/>
                  <w:sz w:val="16"/>
                  <w:szCs w:val="16"/>
                  <w:color w:val="0000FF"/>
                </w:rPr>
                <w:t>37783)</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filed with the Commission on November 9, 2017).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10.13</w:t>
            </w: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7"/>
          </w:tcPr>
          <w:p>
            <w:pPr>
              <w:spacing w:after="0"/>
              <w:rPr>
                <w:rFonts w:ascii="Times New Roman" w:cs="Times New Roman" w:eastAsia="Times New Roman" w:hAnsi="Times New Roman"/>
                <w:sz w:val="16"/>
                <w:szCs w:val="16"/>
                <w:color w:val="0000FF"/>
              </w:rPr>
            </w:pPr>
            <w:hyperlink r:id="rId294">
              <w:r>
                <w:rPr>
                  <w:rFonts w:ascii="Times New Roman" w:cs="Times New Roman" w:eastAsia="Times New Roman" w:hAnsi="Times New Roman"/>
                  <w:sz w:val="16"/>
                  <w:szCs w:val="16"/>
                  <w:color w:val="0000FF"/>
                </w:rPr>
                <w:t>Fifth Amended and Restated Non-Employee Director Compensation Policy (incorporated herein by reference to Exhibit 10.3 to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gridSpan w:val="5"/>
            <w:shd w:val="clear" w:color="auto" w:fill="0000FF"/>
          </w:tcPr>
          <w:p>
            <w:pPr>
              <w:spacing w:after="0" w:line="20" w:lineRule="exact"/>
              <w:rPr>
                <w:sz w:val="1"/>
                <w:szCs w:val="1"/>
                <w:color w:val="auto"/>
              </w:rPr>
            </w:pPr>
          </w:p>
        </w:tc>
        <w:tc>
          <w:tcPr>
            <w:tcW w:w="110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4">
              <w:r>
                <w:rPr>
                  <w:rFonts w:ascii="Times New Roman" w:cs="Times New Roman" w:eastAsia="Times New Roman" w:hAnsi="Times New Roman"/>
                  <w:sz w:val="16"/>
                  <w:szCs w:val="16"/>
                  <w:color w:val="0000FF"/>
                </w:rPr>
                <w:t>Registrant’s Quarterly Report on Form 10-Q (File No. 001-37783), filed with the Commission on May 10,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780" w:type="dxa"/>
            <w:vAlign w:val="bottom"/>
            <w:tcBorders>
              <w:right w:val="single" w:sz="8" w:color="0000EE"/>
            </w:tcBorders>
            <w:gridSpan w:val="5"/>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10.14</w:t>
            </w: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7"/>
          </w:tcPr>
          <w:p>
            <w:pPr>
              <w:spacing w:after="0"/>
              <w:rPr>
                <w:rFonts w:ascii="Times New Roman" w:cs="Times New Roman" w:eastAsia="Times New Roman" w:hAnsi="Times New Roman"/>
                <w:sz w:val="16"/>
                <w:szCs w:val="16"/>
                <w:color w:val="0000FF"/>
              </w:rPr>
            </w:pPr>
            <w:hyperlink r:id="rId295">
              <w:r>
                <w:rPr>
                  <w:rFonts w:ascii="Times New Roman" w:cs="Times New Roman" w:eastAsia="Times New Roman" w:hAnsi="Times New Roman"/>
                  <w:sz w:val="16"/>
                  <w:szCs w:val="16"/>
                  <w:color w:val="0000FF"/>
                </w:rPr>
                <w:t>Supply Agreement, by and among the Registrant and Gerresheimer Regensburg GmbH, dated as of May 8, 2018 (incorporated herein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8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5">
              <w:r>
                <w:rPr>
                  <w:rFonts w:ascii="Times New Roman" w:cs="Times New Roman" w:eastAsia="Times New Roman" w:hAnsi="Times New Roman"/>
                  <w:sz w:val="16"/>
                  <w:szCs w:val="16"/>
                  <w:color w:val="0000FF"/>
                </w:rPr>
                <w:t>by reference to Exhibit 10.1 to the Registrant’s Quarterly Report on Form 10-Q (File No. 001-37783), filed with the Commission 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8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5">
              <w:r>
                <w:rPr>
                  <w:rFonts w:ascii="Times New Roman" w:cs="Times New Roman" w:eastAsia="Times New Roman" w:hAnsi="Times New Roman"/>
                  <w:sz w:val="16"/>
                  <w:szCs w:val="16"/>
                  <w:color w:val="0000FF"/>
                </w:rPr>
                <w:t>August 8, 2018).</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10.15</w:t>
            </w:r>
          </w:p>
        </w:tc>
        <w:tc>
          <w:tcPr>
            <w:tcW w:w="13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2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8920" w:type="dxa"/>
            <w:vAlign w:val="bottom"/>
            <w:gridSpan w:val="27"/>
            <w:vMerge w:val="restart"/>
          </w:tcPr>
          <w:p>
            <w:pPr>
              <w:spacing w:after="0"/>
              <w:rPr>
                <w:rFonts w:ascii="Times New Roman" w:cs="Times New Roman" w:eastAsia="Times New Roman" w:hAnsi="Times New Roman"/>
                <w:sz w:val="16"/>
                <w:szCs w:val="16"/>
                <w:color w:val="0000FF"/>
              </w:rPr>
            </w:pPr>
            <w:hyperlink r:id="rId296">
              <w:r>
                <w:rPr>
                  <w:rFonts w:ascii="Times New Roman" w:cs="Times New Roman" w:eastAsia="Times New Roman" w:hAnsi="Times New Roman"/>
                  <w:sz w:val="16"/>
                  <w:szCs w:val="16"/>
                  <w:color w:val="0000FF"/>
                </w:rPr>
                <w:t>Change in Control Equity Acceleration Plan, amending the Registrant’s 2016 Equity Incentive Plan (incorporated herein by reference to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920" w:type="dxa"/>
            <w:vAlign w:val="bottom"/>
            <w:gridSpan w:val="2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8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6">
              <w:r>
                <w:rPr>
                  <w:rFonts w:ascii="Times New Roman" w:cs="Times New Roman" w:eastAsia="Times New Roman" w:hAnsi="Times New Roman"/>
                  <w:sz w:val="16"/>
                  <w:szCs w:val="16"/>
                  <w:color w:val="0000FF"/>
                </w:rPr>
                <w:t>Exhibit 10.2 to the Registrant’s Quarterly Report on Form 10-Q (File No. 001-37783), filed with the Commission on August 8, 2018).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8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10.16</w:t>
            </w:r>
          </w:p>
        </w:tc>
        <w:tc>
          <w:tcPr>
            <w:tcW w:w="1300" w:type="dxa"/>
            <w:vAlign w:val="bottom"/>
          </w:tcPr>
          <w:p>
            <w:pPr>
              <w:spacing w:after="0"/>
              <w:rPr>
                <w:sz w:val="24"/>
                <w:szCs w:val="24"/>
                <w:color w:val="auto"/>
              </w:rPr>
            </w:pPr>
          </w:p>
        </w:tc>
        <w:tc>
          <w:tcPr>
            <w:tcW w:w="8920" w:type="dxa"/>
            <w:vAlign w:val="bottom"/>
            <w:gridSpan w:val="27"/>
          </w:tcPr>
          <w:p>
            <w:pPr>
              <w:spacing w:after="0"/>
              <w:rPr>
                <w:rFonts w:ascii="Times New Roman" w:cs="Times New Roman" w:eastAsia="Times New Roman" w:hAnsi="Times New Roman"/>
                <w:sz w:val="16"/>
                <w:szCs w:val="16"/>
                <w:color w:val="0000FF"/>
              </w:rPr>
            </w:pPr>
            <w:hyperlink r:id="rId297">
              <w:r>
                <w:rPr>
                  <w:rFonts w:ascii="Times New Roman" w:cs="Times New Roman" w:eastAsia="Times New Roman" w:hAnsi="Times New Roman"/>
                  <w:sz w:val="16"/>
                  <w:szCs w:val="16"/>
                  <w:color w:val="0000FF"/>
                </w:rPr>
                <w:t>Third Amendment to License Agreement, by and among the Registrant, Emory University and The Georgia Tech Research Corporation,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8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7">
              <w:r>
                <w:rPr>
                  <w:rFonts w:ascii="Times New Roman" w:cs="Times New Roman" w:eastAsia="Times New Roman" w:hAnsi="Times New Roman"/>
                  <w:sz w:val="16"/>
                  <w:szCs w:val="16"/>
                  <w:color w:val="0000FF"/>
                </w:rPr>
                <w:t>dated April 1, 2018 (incorporated herein by reference to Exhibit 10.1 to the Registrant’s Quarterly Report on Form 10-Q (File No. 001-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8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7">
              <w:r>
                <w:rPr>
                  <w:rFonts w:ascii="Times New Roman" w:cs="Times New Roman" w:eastAsia="Times New Roman" w:hAnsi="Times New Roman"/>
                  <w:sz w:val="16"/>
                  <w:szCs w:val="16"/>
                  <w:color w:val="0000FF"/>
                </w:rPr>
                <w:t>37783)</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filed with the Commission on August 8,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10.17</w:t>
            </w: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7"/>
          </w:tcPr>
          <w:p>
            <w:pPr>
              <w:spacing w:after="0"/>
              <w:rPr>
                <w:rFonts w:ascii="Times New Roman" w:cs="Times New Roman" w:eastAsia="Times New Roman" w:hAnsi="Times New Roman"/>
                <w:sz w:val="16"/>
                <w:szCs w:val="16"/>
                <w:color w:val="0000FF"/>
              </w:rPr>
            </w:pPr>
            <w:hyperlink r:id="rId298">
              <w:r>
                <w:rPr>
                  <w:rFonts w:ascii="Times New Roman" w:cs="Times New Roman" w:eastAsia="Times New Roman" w:hAnsi="Times New Roman"/>
                  <w:sz w:val="16"/>
                  <w:szCs w:val="16"/>
                  <w:color w:val="0000FF"/>
                </w:rPr>
                <w:t>License Agreement, by and between the Registrant and Bausch Health Ireland Limited, dated as of October 22, 2019 (incorporated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980" w:type="dxa"/>
            <w:vAlign w:val="bottom"/>
            <w:tcBorders>
              <w:right w:val="single" w:sz="8" w:color="0000FF"/>
            </w:tcBorders>
            <w:gridSpan w:val="1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8">
              <w:r>
                <w:rPr>
                  <w:rFonts w:ascii="Times New Roman" w:cs="Times New Roman" w:eastAsia="Times New Roman" w:hAnsi="Times New Roman"/>
                  <w:sz w:val="16"/>
                  <w:szCs w:val="16"/>
                  <w:color w:val="0000FF"/>
                </w:rPr>
                <w:t>herein by reference to Exhibit 10.26 to the Registrant’s Annual Report on Form 10-K (File No. 001-37783), filed with the Commission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980" w:type="dxa"/>
            <w:vAlign w:val="bottom"/>
            <w:tcBorders>
              <w:right w:val="single" w:sz="8" w:color="0000FF"/>
            </w:tcBorders>
            <w:gridSpan w:val="1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8">
              <w:r>
                <w:rPr>
                  <w:rFonts w:ascii="Times New Roman" w:cs="Times New Roman" w:eastAsia="Times New Roman" w:hAnsi="Times New Roman"/>
                  <w:sz w:val="16"/>
                  <w:szCs w:val="16"/>
                  <w:color w:val="0000FF"/>
                </w:rPr>
                <w:t>on March 13, 2020).</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10.18</w:t>
            </w:r>
          </w:p>
        </w:tc>
        <w:tc>
          <w:tcPr>
            <w:tcW w:w="13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3"/>
          </w:tcPr>
          <w:p>
            <w:pPr>
              <w:spacing w:after="0" w:line="20" w:lineRule="exact"/>
              <w:rPr>
                <w:sz w:val="1"/>
                <w:szCs w:val="1"/>
                <w:color w:val="auto"/>
              </w:rPr>
            </w:pPr>
          </w:p>
        </w:tc>
        <w:tc>
          <w:tcPr>
            <w:tcW w:w="59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2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8920" w:type="dxa"/>
            <w:vAlign w:val="bottom"/>
            <w:gridSpan w:val="27"/>
          </w:tcPr>
          <w:p>
            <w:pPr>
              <w:spacing w:after="0"/>
              <w:rPr>
                <w:rFonts w:ascii="Times New Roman" w:cs="Times New Roman" w:eastAsia="Times New Roman" w:hAnsi="Times New Roman"/>
                <w:sz w:val="16"/>
                <w:szCs w:val="16"/>
                <w:color w:val="0000FF"/>
              </w:rPr>
            </w:pPr>
            <w:hyperlink r:id="rId299">
              <w:r>
                <w:rPr>
                  <w:rFonts w:ascii="Times New Roman" w:cs="Times New Roman" w:eastAsia="Times New Roman" w:hAnsi="Times New Roman"/>
                  <w:sz w:val="16"/>
                  <w:szCs w:val="16"/>
                  <w:color w:val="0000FF"/>
                </w:rPr>
                <w:t>First Amendment to License Agreement, by and between the Registrant and Bausch Health Ireland Limited, dated as of April 27,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980" w:type="dxa"/>
            <w:vAlign w:val="bottom"/>
            <w:tcBorders>
              <w:right w:val="single" w:sz="8" w:color="0000FF"/>
            </w:tcBorders>
            <w:gridSpan w:val="1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9">
              <w:r>
                <w:rPr>
                  <w:rFonts w:ascii="Times New Roman" w:cs="Times New Roman" w:eastAsia="Times New Roman" w:hAnsi="Times New Roman"/>
                  <w:sz w:val="16"/>
                  <w:szCs w:val="16"/>
                  <w:color w:val="0000FF"/>
                </w:rPr>
                <w:t>(incorporated herein by reference to Exhibit 10.1 to the Registrant’s Quarterly Report on Form 10-Q (File No. 001-37783), filed with</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980" w:type="dxa"/>
            <w:vAlign w:val="bottom"/>
            <w:tcBorders>
              <w:right w:val="single" w:sz="8" w:color="0000FF"/>
            </w:tcBorders>
            <w:gridSpan w:val="1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299">
              <w:r>
                <w:rPr>
                  <w:rFonts w:ascii="Times New Roman" w:cs="Times New Roman" w:eastAsia="Times New Roman" w:hAnsi="Times New Roman"/>
                  <w:sz w:val="16"/>
                  <w:szCs w:val="16"/>
                  <w:color w:val="0000FF"/>
                </w:rPr>
                <w:t>the Commission on August 10,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59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10.19</w:t>
            </w: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7"/>
          </w:tcPr>
          <w:p>
            <w:pPr>
              <w:spacing w:after="0"/>
              <w:rPr>
                <w:rFonts w:ascii="Times New Roman" w:cs="Times New Roman" w:eastAsia="Times New Roman" w:hAnsi="Times New Roman"/>
                <w:sz w:val="16"/>
                <w:szCs w:val="16"/>
                <w:color w:val="0000FF"/>
              </w:rPr>
            </w:pPr>
            <w:hyperlink r:id="rId300">
              <w:r>
                <w:rPr>
                  <w:rFonts w:ascii="Times New Roman" w:cs="Times New Roman" w:eastAsia="Times New Roman" w:hAnsi="Times New Roman"/>
                  <w:sz w:val="16"/>
                  <w:szCs w:val="16"/>
                  <w:color w:val="0000FF"/>
                </w:rPr>
                <w:t>Letter Agreement, by and between the Registrant and George Lasezkay, dated April 16, 2019 (incorporated herein by reference 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180" w:type="dxa"/>
            <w:vAlign w:val="bottom"/>
            <w:tcBorders>
              <w:left w:val="single" w:sz="8" w:color="0000FF"/>
              <w:right w:val="single" w:sz="8" w:color="0000FF"/>
            </w:tcBorders>
            <w:gridSpan w:val="1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300">
              <w:r>
                <w:rPr>
                  <w:rFonts w:ascii="Times New Roman" w:cs="Times New Roman" w:eastAsia="Times New Roman" w:hAnsi="Times New Roman"/>
                  <w:sz w:val="16"/>
                  <w:szCs w:val="16"/>
                  <w:color w:val="0000FF"/>
                </w:rPr>
                <w:t>Exhibit 10.1 to the Registrant’s Current Report on Form 8-K (File No. 001-37783), filed with the Commission on April 17,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180" w:type="dxa"/>
            <w:vAlign w:val="bottom"/>
            <w:tcBorders>
              <w:left w:val="single" w:sz="8" w:color="0000FF"/>
              <w:right w:val="single" w:sz="8" w:color="0000EE"/>
            </w:tcBorders>
            <w:gridSpan w:val="1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10.20</w:t>
            </w: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920" w:type="dxa"/>
            <w:vAlign w:val="bottom"/>
            <w:gridSpan w:val="27"/>
          </w:tcPr>
          <w:p>
            <w:pPr>
              <w:spacing w:after="0"/>
              <w:rPr>
                <w:rFonts w:ascii="Times New Roman" w:cs="Times New Roman" w:eastAsia="Times New Roman" w:hAnsi="Times New Roman"/>
                <w:sz w:val="16"/>
                <w:szCs w:val="16"/>
                <w:color w:val="0000FF"/>
              </w:rPr>
            </w:pPr>
            <w:hyperlink r:id="rId301">
              <w:r>
                <w:rPr>
                  <w:rFonts w:ascii="Times New Roman" w:cs="Times New Roman" w:eastAsia="Times New Roman" w:hAnsi="Times New Roman"/>
                  <w:sz w:val="16"/>
                  <w:szCs w:val="16"/>
                  <w:color w:val="0000FF"/>
                </w:rPr>
                <w:t>Amendment to Offer Letter Agreement, by and between the Registrant and George Lasezkay, dated as of August 6, 2019 (incorporated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60" w:type="dxa"/>
            <w:vAlign w:val="bottom"/>
            <w:tcBorders>
              <w:left w:val="single" w:sz="8" w:color="0000FF"/>
            </w:tcBorders>
            <w:gridSpan w:val="16"/>
            <w:shd w:val="clear" w:color="auto" w:fill="0000FF"/>
          </w:tcPr>
          <w:p>
            <w:pPr>
              <w:spacing w:after="0" w:line="20" w:lineRule="exact"/>
              <w:rPr>
                <w:sz w:val="1"/>
                <w:szCs w:val="1"/>
                <w:color w:val="auto"/>
              </w:rPr>
            </w:pPr>
          </w:p>
        </w:tc>
        <w:tc>
          <w:tcPr>
            <w:tcW w:w="260" w:type="dxa"/>
            <w:vAlign w:val="bottom"/>
            <w:tcBorders>
              <w:left w:val="single" w:sz="8" w:color="0000FF"/>
            </w:tcBorders>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301">
              <w:r>
                <w:rPr>
                  <w:rFonts w:ascii="Times New Roman" w:cs="Times New Roman" w:eastAsia="Times New Roman" w:hAnsi="Times New Roman"/>
                  <w:sz w:val="16"/>
                  <w:szCs w:val="16"/>
                  <w:color w:val="0000FF"/>
                </w:rPr>
                <w:t>herein by reference to Exhibit 10.3 to the Registrant’s Quarterly Report on Form 10-Q (File No. 001-37783), filed with the Commission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60" w:type="dxa"/>
            <w:vAlign w:val="bottom"/>
            <w:tcBorders>
              <w:left w:val="single" w:sz="8" w:color="0000FF"/>
            </w:tcBorders>
            <w:gridSpan w:val="16"/>
            <w:shd w:val="clear" w:color="auto" w:fill="0000FF"/>
          </w:tcPr>
          <w:p>
            <w:pPr>
              <w:spacing w:after="0" w:line="20" w:lineRule="exact"/>
              <w:rPr>
                <w:sz w:val="1"/>
                <w:szCs w:val="1"/>
                <w:color w:val="auto"/>
              </w:rPr>
            </w:pPr>
          </w:p>
        </w:tc>
        <w:tc>
          <w:tcPr>
            <w:tcW w:w="260" w:type="dxa"/>
            <w:vAlign w:val="bottom"/>
            <w:tcBorders>
              <w:left w:val="single" w:sz="8" w:color="0000FF"/>
            </w:tcBorders>
            <w:gridSpan w:val="6"/>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301">
              <w:r>
                <w:rPr>
                  <w:rFonts w:ascii="Times New Roman" w:cs="Times New Roman" w:eastAsia="Times New Roman" w:hAnsi="Times New Roman"/>
                  <w:sz w:val="16"/>
                  <w:szCs w:val="16"/>
                  <w:color w:val="0000FF"/>
                </w:rPr>
                <w:t>on August 8,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60" w:type="dxa"/>
            <w:vAlign w:val="bottom"/>
            <w:gridSpan w:val="16"/>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10.21</w:t>
            </w: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r>
              <w:rPr>
                <w:rFonts w:ascii="Wingdings" w:cs="Wingdings" w:eastAsia="Wingdings" w:hAnsi="Wingdings"/>
                <w:sz w:val="16"/>
                <w:szCs w:val="16"/>
                <w:b w:val="1"/>
                <w:bCs w:val="1"/>
                <w:color w:val="auto"/>
              </w:rPr>
              <w:t>w</w:t>
            </w:r>
          </w:p>
        </w:tc>
        <w:tc>
          <w:tcPr>
            <w:tcW w:w="8920" w:type="dxa"/>
            <w:vAlign w:val="bottom"/>
            <w:gridSpan w:val="27"/>
          </w:tcPr>
          <w:p>
            <w:pPr>
              <w:spacing w:after="0"/>
              <w:rPr>
                <w:rFonts w:ascii="Times New Roman" w:cs="Times New Roman" w:eastAsia="Times New Roman" w:hAnsi="Times New Roman"/>
                <w:sz w:val="16"/>
                <w:szCs w:val="16"/>
                <w:color w:val="0000FF"/>
              </w:rPr>
            </w:pPr>
            <w:hyperlink r:id="rId302">
              <w:r>
                <w:rPr>
                  <w:rFonts w:ascii="Times New Roman" w:cs="Times New Roman" w:eastAsia="Times New Roman" w:hAnsi="Times New Roman"/>
                  <w:sz w:val="16"/>
                  <w:szCs w:val="16"/>
                  <w:color w:val="0000FF"/>
                </w:rPr>
                <w:t>Option and License Agreement by and between the Registrant and REGENXBIO Inc., dated as of August 29, 2019 (incorporated herein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420" w:type="dxa"/>
            <w:vAlign w:val="bottom"/>
            <w:gridSpan w:val="17"/>
            <w:shd w:val="clear" w:color="auto" w:fill="0000FF"/>
          </w:tcPr>
          <w:p>
            <w:pPr>
              <w:spacing w:after="0" w:line="20" w:lineRule="exact"/>
              <w:rPr>
                <w:sz w:val="1"/>
                <w:szCs w:val="1"/>
                <w:color w:val="auto"/>
              </w:rPr>
            </w:pPr>
          </w:p>
        </w:tc>
        <w:tc>
          <w:tcPr>
            <w:tcW w:w="260" w:type="dxa"/>
            <w:vAlign w:val="bottom"/>
            <w:tcBorders>
              <w:left w:val="single" w:sz="8" w:color="0000FF"/>
            </w:tcBorders>
            <w:gridSpan w:val="6"/>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302">
              <w:r>
                <w:rPr>
                  <w:rFonts w:ascii="Times New Roman" w:cs="Times New Roman" w:eastAsia="Times New Roman" w:hAnsi="Times New Roman"/>
                  <w:sz w:val="16"/>
                  <w:szCs w:val="16"/>
                  <w:color w:val="0000FF"/>
                </w:rPr>
                <w:t>by reference to Exhibit 10.30 to the Registrant’s Annual Report on Form 10-K (File No. 001-37783), filed with the Commission 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420" w:type="dxa"/>
            <w:vAlign w:val="bottom"/>
            <w:gridSpan w:val="17"/>
            <w:shd w:val="clear" w:color="auto" w:fill="0000FF"/>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920" w:type="dxa"/>
            <w:vAlign w:val="bottom"/>
            <w:gridSpan w:val="27"/>
          </w:tcPr>
          <w:p>
            <w:pPr>
              <w:spacing w:after="0" w:line="183" w:lineRule="exact"/>
              <w:rPr>
                <w:rFonts w:ascii="Times New Roman" w:cs="Times New Roman" w:eastAsia="Times New Roman" w:hAnsi="Times New Roman"/>
                <w:sz w:val="16"/>
                <w:szCs w:val="16"/>
                <w:color w:val="0000FF"/>
              </w:rPr>
            </w:pPr>
            <w:hyperlink r:id="rId302">
              <w:r>
                <w:rPr>
                  <w:rFonts w:ascii="Times New Roman" w:cs="Times New Roman" w:eastAsia="Times New Roman" w:hAnsi="Times New Roman"/>
                  <w:sz w:val="16"/>
                  <w:szCs w:val="16"/>
                  <w:color w:val="0000FF"/>
                </w:rPr>
                <w:t>March 13, 2020).</w:t>
              </w:r>
            </w:hyperlink>
          </w:p>
        </w:tc>
        <w:tc>
          <w:tcPr>
            <w:tcW w:w="0" w:type="dxa"/>
            <w:vAlign w:val="bottom"/>
          </w:tcPr>
          <w:p>
            <w:pPr>
              <w:spacing w:after="0"/>
              <w:rPr>
                <w:sz w:val="1"/>
                <w:szCs w:val="1"/>
                <w:color w:val="auto"/>
              </w:rPr>
            </w:pPr>
          </w:p>
        </w:tc>
      </w:tr>
      <w:tr>
        <w:trPr>
          <w:trHeight w:val="655"/>
        </w:trPr>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top w:val="single" w:sz="8" w:color="0000FF"/>
            </w:tcBorders>
            <w:gridSpan w:val="2"/>
          </w:tcPr>
          <w:p>
            <w:pPr>
              <w:spacing w:after="0"/>
              <w:rPr>
                <w:sz w:val="24"/>
                <w:szCs w:val="24"/>
                <w:color w:val="auto"/>
              </w:rPr>
            </w:pPr>
          </w:p>
        </w:tc>
        <w:tc>
          <w:tcPr>
            <w:tcW w:w="24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10.22</w:t>
            </w: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9"/>
          </w:tcPr>
          <w:p>
            <w:pPr>
              <w:spacing w:after="0"/>
              <w:rPr>
                <w:rFonts w:ascii="Times New Roman" w:cs="Times New Roman" w:eastAsia="Times New Roman" w:hAnsi="Times New Roman"/>
                <w:sz w:val="16"/>
                <w:szCs w:val="16"/>
                <w:color w:val="0000FF"/>
              </w:rPr>
            </w:pPr>
            <w:hyperlink r:id="rId305">
              <w:r>
                <w:rPr>
                  <w:rFonts w:ascii="Times New Roman" w:cs="Times New Roman" w:eastAsia="Times New Roman" w:hAnsi="Times New Roman"/>
                  <w:sz w:val="16"/>
                  <w:szCs w:val="16"/>
                  <w:color w:val="0000FF"/>
                </w:rPr>
                <w:t>License Agreement by and between the Registrant and Arctic Vision (Hong Kong) Limited, dated as of March 20, 2020 (incorporated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05">
              <w:r>
                <w:rPr>
                  <w:rFonts w:ascii="Times New Roman" w:cs="Times New Roman" w:eastAsia="Times New Roman" w:hAnsi="Times New Roman"/>
                  <w:sz w:val="16"/>
                  <w:szCs w:val="16"/>
                  <w:color w:val="0000FF"/>
                </w:rPr>
                <w:t>herein by reference to Exhibit 10.2 to the Registrant’s Quarterly Report on Form 10-Q (File No. 001-37783), filed with the Commission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05">
              <w:r>
                <w:rPr>
                  <w:rFonts w:ascii="Times New Roman" w:cs="Times New Roman" w:eastAsia="Times New Roman" w:hAnsi="Times New Roman"/>
                  <w:sz w:val="16"/>
                  <w:szCs w:val="16"/>
                  <w:color w:val="0000FF"/>
                </w:rPr>
                <w:t>on May 8,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10.23</w:t>
            </w: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9"/>
          </w:tcPr>
          <w:p>
            <w:pPr>
              <w:spacing w:after="0"/>
              <w:rPr>
                <w:rFonts w:ascii="Times New Roman" w:cs="Times New Roman" w:eastAsia="Times New Roman" w:hAnsi="Times New Roman"/>
                <w:sz w:val="16"/>
                <w:szCs w:val="16"/>
                <w:color w:val="0000FF"/>
              </w:rPr>
            </w:pPr>
            <w:hyperlink r:id="rId306">
              <w:r>
                <w:rPr>
                  <w:rFonts w:ascii="Times New Roman" w:cs="Times New Roman" w:eastAsia="Times New Roman" w:hAnsi="Times New Roman"/>
                  <w:sz w:val="16"/>
                  <w:szCs w:val="16"/>
                  <w:color w:val="0000FF"/>
                </w:rPr>
                <w:t>First Amendment to the License Agreement, by and between the Registrant and Arctic Vision (Hong Kong) Limited, dated as of August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06">
              <w:r>
                <w:rPr>
                  <w:rFonts w:ascii="Times New Roman" w:cs="Times New Roman" w:eastAsia="Times New Roman" w:hAnsi="Times New Roman"/>
                  <w:sz w:val="16"/>
                  <w:szCs w:val="16"/>
                  <w:color w:val="0000FF"/>
                </w:rPr>
                <w:t>15, 2021 (incorporated herein by reference to Exhibit 10.1 to the Registrant's Quarterly Report on Form-10 (File No. 001-37783), filed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06">
              <w:r>
                <w:rPr>
                  <w:rFonts w:ascii="Times New Roman" w:cs="Times New Roman" w:eastAsia="Times New Roman" w:hAnsi="Times New Roman"/>
                  <w:sz w:val="16"/>
                  <w:szCs w:val="16"/>
                  <w:color w:val="0000FF"/>
                </w:rPr>
                <w:t>with the Commission on November 10,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10.24</w:t>
            </w: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9"/>
          </w:tcPr>
          <w:p>
            <w:pPr>
              <w:spacing w:after="0"/>
              <w:rPr>
                <w:rFonts w:ascii="Times New Roman" w:cs="Times New Roman" w:eastAsia="Times New Roman" w:hAnsi="Times New Roman"/>
                <w:sz w:val="16"/>
                <w:szCs w:val="16"/>
                <w:color w:val="0000FF"/>
              </w:rPr>
            </w:pPr>
            <w:hyperlink r:id="rId307">
              <w:r>
                <w:rPr>
                  <w:rFonts w:ascii="Times New Roman" w:cs="Times New Roman" w:eastAsia="Times New Roman" w:hAnsi="Times New Roman"/>
                  <w:sz w:val="16"/>
                  <w:szCs w:val="16"/>
                  <w:color w:val="0000FF"/>
                </w:rPr>
                <w:t>Second Amendment to the License Agreement, by and between the Registrant and Arctic Vision (Hong Kong) Limited, dated as of</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07">
              <w:r>
                <w:rPr>
                  <w:rFonts w:ascii="Times New Roman" w:cs="Times New Roman" w:eastAsia="Times New Roman" w:hAnsi="Times New Roman"/>
                  <w:sz w:val="16"/>
                  <w:szCs w:val="16"/>
                  <w:color w:val="0000FF"/>
                </w:rPr>
                <w:t>September 9, 2021 (incorporated herein by reference to Exhibit 10.2 to the Registrant's Quarterly Report on Form 10-Q (File No. 001-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07">
              <w:r>
                <w:rPr>
                  <w:rFonts w:ascii="Times New Roman" w:cs="Times New Roman" w:eastAsia="Times New Roman" w:hAnsi="Times New Roman"/>
                  <w:sz w:val="16"/>
                  <w:szCs w:val="16"/>
                  <w:color w:val="0000FF"/>
                </w:rPr>
                <w:t>37783)</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filed with the Commission on November 10,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10.25</w:t>
            </w:r>
          </w:p>
        </w:tc>
        <w:tc>
          <w:tcPr>
            <w:tcW w:w="1320" w:type="dxa"/>
            <w:vAlign w:val="bottom"/>
          </w:tcPr>
          <w:p>
            <w:pPr>
              <w:spacing w:after="0"/>
              <w:rPr>
                <w:sz w:val="24"/>
                <w:szCs w:val="24"/>
                <w:color w:val="auto"/>
              </w:rPr>
            </w:pPr>
          </w:p>
        </w:tc>
        <w:tc>
          <w:tcPr>
            <w:tcW w:w="8900" w:type="dxa"/>
            <w:vAlign w:val="bottom"/>
            <w:gridSpan w:val="29"/>
          </w:tcPr>
          <w:p>
            <w:pPr>
              <w:spacing w:after="0"/>
              <w:rPr>
                <w:rFonts w:ascii="Times New Roman" w:cs="Times New Roman" w:eastAsia="Times New Roman" w:hAnsi="Times New Roman"/>
                <w:sz w:val="16"/>
                <w:szCs w:val="16"/>
                <w:color w:val="0000FF"/>
              </w:rPr>
            </w:pPr>
            <w:hyperlink r:id="rId308">
              <w:r>
                <w:rPr>
                  <w:rFonts w:ascii="Times New Roman" w:cs="Times New Roman" w:eastAsia="Times New Roman" w:hAnsi="Times New Roman"/>
                  <w:sz w:val="16"/>
                  <w:szCs w:val="16"/>
                  <w:color w:val="0000FF"/>
                </w:rPr>
                <w:t>Second Amendment to the License Agreement, by and between the Registrant and Bausch + Lomb Ireland Limited (as assignee of</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08">
              <w:r>
                <w:rPr>
                  <w:rFonts w:ascii="Times New Roman" w:cs="Times New Roman" w:eastAsia="Times New Roman" w:hAnsi="Times New Roman"/>
                  <w:sz w:val="16"/>
                  <w:szCs w:val="16"/>
                  <w:color w:val="0000FF"/>
                </w:rPr>
                <w:t>Bausch Health Ireland Limited), dated as of September 27, 2021 (incorporated herein by reference to Exhibit 10.3 to the Registrant's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08">
              <w:r>
                <w:rPr>
                  <w:rFonts w:ascii="Times New Roman" w:cs="Times New Roman" w:eastAsia="Times New Roman" w:hAnsi="Times New Roman"/>
                  <w:sz w:val="16"/>
                  <w:szCs w:val="16"/>
                  <w:color w:val="0000FF"/>
                </w:rPr>
                <w:t>Quarterly Report on Form 10-Q (File No. 001-37783), filed with the Commission on November 10,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10.26</w:t>
            </w: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r>
              <w:rPr>
                <w:rFonts w:ascii="Wingdings" w:cs="Wingdings" w:eastAsia="Wingdings" w:hAnsi="Wingdings"/>
                <w:sz w:val="16"/>
                <w:szCs w:val="16"/>
                <w:b w:val="1"/>
                <w:bCs w:val="1"/>
                <w:color w:val="auto"/>
              </w:rPr>
              <w:t>w</w:t>
            </w:r>
          </w:p>
        </w:tc>
        <w:tc>
          <w:tcPr>
            <w:tcW w:w="8900" w:type="dxa"/>
            <w:vAlign w:val="bottom"/>
            <w:gridSpan w:val="29"/>
          </w:tcPr>
          <w:p>
            <w:pPr>
              <w:spacing w:after="0"/>
              <w:rPr>
                <w:rFonts w:ascii="Times New Roman" w:cs="Times New Roman" w:eastAsia="Times New Roman" w:hAnsi="Times New Roman"/>
                <w:sz w:val="16"/>
                <w:szCs w:val="16"/>
                <w:color w:val="0000FF"/>
              </w:rPr>
            </w:pPr>
            <w:hyperlink r:id="rId309">
              <w:r>
                <w:rPr>
                  <w:rFonts w:ascii="Times New Roman" w:cs="Times New Roman" w:eastAsia="Times New Roman" w:hAnsi="Times New Roman"/>
                  <w:sz w:val="16"/>
                  <w:szCs w:val="16"/>
                  <w:color w:val="0000FF"/>
                </w:rPr>
                <w:t>Purchase and Sale Agreement, by and among Clearside Royalty LLC, Healthcare Royalty Partners IV, L.P. and HCR Collateral</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09">
              <w:r>
                <w:rPr>
                  <w:rFonts w:ascii="Times New Roman" w:cs="Times New Roman" w:eastAsia="Times New Roman" w:hAnsi="Times New Roman"/>
                  <w:sz w:val="16"/>
                  <w:szCs w:val="16"/>
                  <w:color w:val="0000FF"/>
                </w:rPr>
                <w:t>Management, LLC (in its capacity as agent for Purchaser), dated as of August 8, 2022 (incorporated herein by reference to Exhibit 10.1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09">
              <w:r>
                <w:rPr>
                  <w:rFonts w:ascii="Times New Roman" w:cs="Times New Roman" w:eastAsia="Times New Roman" w:hAnsi="Times New Roman"/>
                  <w:sz w:val="16"/>
                  <w:szCs w:val="16"/>
                  <w:color w:val="0000FF"/>
                </w:rPr>
                <w:t>to the Registrant's Quarterly Report on Form 10-Q (File No. 001-37783), filed with the Commission on November 9,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10.27</w:t>
            </w:r>
          </w:p>
        </w:tc>
        <w:tc>
          <w:tcPr>
            <w:tcW w:w="1320" w:type="dxa"/>
            <w:vAlign w:val="bottom"/>
          </w:tcPr>
          <w:p>
            <w:pPr>
              <w:spacing w:after="0"/>
              <w:rPr>
                <w:sz w:val="24"/>
                <w:szCs w:val="24"/>
                <w:color w:val="auto"/>
              </w:rPr>
            </w:pPr>
          </w:p>
        </w:tc>
        <w:tc>
          <w:tcPr>
            <w:tcW w:w="8900" w:type="dxa"/>
            <w:vAlign w:val="bottom"/>
            <w:gridSpan w:val="29"/>
          </w:tcPr>
          <w:p>
            <w:pPr>
              <w:spacing w:after="0"/>
              <w:rPr>
                <w:rFonts w:ascii="Times New Roman" w:cs="Times New Roman" w:eastAsia="Times New Roman" w:hAnsi="Times New Roman"/>
                <w:sz w:val="16"/>
                <w:szCs w:val="16"/>
                <w:color w:val="0000FF"/>
              </w:rPr>
            </w:pPr>
            <w:hyperlink r:id="rId310">
              <w:r>
                <w:rPr>
                  <w:rFonts w:ascii="Times New Roman" w:cs="Times New Roman" w:eastAsia="Times New Roman" w:hAnsi="Times New Roman"/>
                  <w:sz w:val="16"/>
                  <w:szCs w:val="16"/>
                  <w:color w:val="0000FF"/>
                </w:rPr>
                <w:t>First Amendment to Office Lease Agreement, by and between the Registrant and Radiant-North Point Properties, LLLP, dated as of</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0">
              <w:r>
                <w:rPr>
                  <w:rFonts w:ascii="Times New Roman" w:cs="Times New Roman" w:eastAsia="Times New Roman" w:hAnsi="Times New Roman"/>
                  <w:sz w:val="16"/>
                  <w:szCs w:val="16"/>
                  <w:color w:val="0000FF"/>
                </w:rPr>
                <w:t>November 1, 2022 (incorporated herein by reference to Exhibit 10.29 to the Registrant’s Annual Report on Form 10-K (File No. 001-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0">
              <w:r>
                <w:rPr>
                  <w:rFonts w:ascii="Times New Roman" w:cs="Times New Roman" w:eastAsia="Times New Roman" w:hAnsi="Times New Roman"/>
                  <w:sz w:val="16"/>
                  <w:szCs w:val="16"/>
                  <w:color w:val="0000FF"/>
                </w:rPr>
                <w:t>37783)</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filed with the Commission on March 14,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10.28</w:t>
            </w: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9"/>
          </w:tcPr>
          <w:p>
            <w:pPr>
              <w:spacing w:after="0"/>
              <w:rPr>
                <w:rFonts w:ascii="Times New Roman" w:cs="Times New Roman" w:eastAsia="Times New Roman" w:hAnsi="Times New Roman"/>
                <w:sz w:val="16"/>
                <w:szCs w:val="16"/>
                <w:color w:val="0000FF"/>
              </w:rPr>
            </w:pPr>
            <w:hyperlink r:id="rId311">
              <w:r>
                <w:rPr>
                  <w:rFonts w:ascii="Times New Roman" w:cs="Times New Roman" w:eastAsia="Times New Roman" w:hAnsi="Times New Roman"/>
                  <w:sz w:val="16"/>
                  <w:szCs w:val="16"/>
                  <w:color w:val="0000FF"/>
                </w:rPr>
                <w:t>First Amendment to Option and License Agreement, by and between the Registrant and REGENXBIO, Inc., dated as of January 14,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1">
              <w:r>
                <w:rPr>
                  <w:rFonts w:ascii="Times New Roman" w:cs="Times New Roman" w:eastAsia="Times New Roman" w:hAnsi="Times New Roman"/>
                  <w:sz w:val="16"/>
                  <w:szCs w:val="16"/>
                  <w:color w:val="0000FF"/>
                </w:rPr>
                <w:t>2023 (incorporated herein by reference to Exhibit 10.30 to the Registrant’s Annual Report on Form 10-K (File No. 001-37783), filed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1">
              <w:r>
                <w:rPr>
                  <w:rFonts w:ascii="Times New Roman" w:cs="Times New Roman" w:eastAsia="Times New Roman" w:hAnsi="Times New Roman"/>
                  <w:sz w:val="16"/>
                  <w:szCs w:val="16"/>
                  <w:color w:val="0000FF"/>
                </w:rPr>
                <w:t>with the Commission on March 14,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10.29</w:t>
            </w: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r>
              <w:rPr>
                <w:rFonts w:ascii="Wingdings" w:cs="Wingdings" w:eastAsia="Wingdings" w:hAnsi="Wingdings"/>
                <w:sz w:val="16"/>
                <w:szCs w:val="16"/>
                <w:b w:val="1"/>
                <w:bCs w:val="1"/>
                <w:color w:val="auto"/>
              </w:rPr>
              <w:t>w</w:t>
            </w:r>
          </w:p>
        </w:tc>
        <w:tc>
          <w:tcPr>
            <w:tcW w:w="8900" w:type="dxa"/>
            <w:vAlign w:val="bottom"/>
            <w:gridSpan w:val="29"/>
          </w:tcPr>
          <w:p>
            <w:pPr>
              <w:spacing w:after="0"/>
              <w:rPr>
                <w:rFonts w:ascii="Times New Roman" w:cs="Times New Roman" w:eastAsia="Times New Roman" w:hAnsi="Times New Roman"/>
                <w:sz w:val="16"/>
                <w:szCs w:val="16"/>
                <w:color w:val="0000FF"/>
              </w:rPr>
            </w:pPr>
            <w:hyperlink r:id="rId312">
              <w:r>
                <w:rPr>
                  <w:rFonts w:ascii="Times New Roman" w:cs="Times New Roman" w:eastAsia="Times New Roman" w:hAnsi="Times New Roman"/>
                  <w:sz w:val="16"/>
                  <w:szCs w:val="16"/>
                  <w:color w:val="0000FF"/>
                </w:rPr>
                <w:t>License Agreement, by and between the Registrant and BioCryst Pharmaceuticals, Inc., dated as of November 1, 2023 (incorporated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2">
              <w:r>
                <w:rPr>
                  <w:rFonts w:ascii="Times New Roman" w:cs="Times New Roman" w:eastAsia="Times New Roman" w:hAnsi="Times New Roman"/>
                  <w:sz w:val="16"/>
                  <w:szCs w:val="16"/>
                  <w:color w:val="0000FF"/>
                </w:rPr>
                <w:t>herein by reference to Exhibit 10.31 to the Registrant’s Annual Report on Form 10-K (File No. 001-37783), filed with the Commission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5"/>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2">
              <w:r>
                <w:rPr>
                  <w:rFonts w:ascii="Times New Roman" w:cs="Times New Roman" w:eastAsia="Times New Roman" w:hAnsi="Times New Roman"/>
                  <w:sz w:val="16"/>
                  <w:szCs w:val="16"/>
                  <w:color w:val="0000FF"/>
                </w:rPr>
                <w:t>on March 12,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10.30</w:t>
            </w:r>
          </w:p>
        </w:tc>
        <w:tc>
          <w:tcPr>
            <w:tcW w:w="1320" w:type="dxa"/>
            <w:vAlign w:val="bottom"/>
          </w:tcPr>
          <w:p>
            <w:pPr>
              <w:spacing w:after="0"/>
              <w:rPr>
                <w:sz w:val="24"/>
                <w:szCs w:val="24"/>
                <w:color w:val="auto"/>
              </w:rPr>
            </w:pPr>
          </w:p>
        </w:tc>
        <w:tc>
          <w:tcPr>
            <w:tcW w:w="8900" w:type="dxa"/>
            <w:vAlign w:val="bottom"/>
            <w:gridSpan w:val="29"/>
          </w:tcPr>
          <w:p>
            <w:pPr>
              <w:spacing w:after="0"/>
              <w:rPr>
                <w:rFonts w:ascii="Times New Roman" w:cs="Times New Roman" w:eastAsia="Times New Roman" w:hAnsi="Times New Roman"/>
                <w:sz w:val="16"/>
                <w:szCs w:val="16"/>
                <w:color w:val="0000FF"/>
              </w:rPr>
            </w:pPr>
            <w:hyperlink r:id="rId313">
              <w:r>
                <w:rPr>
                  <w:rFonts w:ascii="Times New Roman" w:cs="Times New Roman" w:eastAsia="Times New Roman" w:hAnsi="Times New Roman"/>
                  <w:sz w:val="16"/>
                  <w:szCs w:val="16"/>
                  <w:color w:val="0000FF"/>
                </w:rPr>
                <w:t>Letter Agreement, by and among Clearside Royalty LLC, Healthcare Royalty Partners IV, L.P. and HCR Clearside SPV, LLC (as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3">
              <w:r>
                <w:rPr>
                  <w:rFonts w:ascii="Times New Roman" w:cs="Times New Roman" w:eastAsia="Times New Roman" w:hAnsi="Times New Roman"/>
                  <w:sz w:val="16"/>
                  <w:szCs w:val="16"/>
                  <w:color w:val="0000FF"/>
                </w:rPr>
                <w:t>assignee of HCR Collateral Management, LLC), dated as of December 22, 2023 (incorporated herein by reference to Exhibit 10.1 to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7"/>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3">
              <w:r>
                <w:rPr>
                  <w:rFonts w:ascii="Times New Roman" w:cs="Times New Roman" w:eastAsia="Times New Roman" w:hAnsi="Times New Roman"/>
                  <w:sz w:val="16"/>
                  <w:szCs w:val="16"/>
                  <w:color w:val="0000FF"/>
                </w:rPr>
                <w:t>(incorporated herein by reference to Exhibit 10.1 to the Registrant’s Current Report on Form 8-K (File No. 001-37783), filed with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3">
              <w:r>
                <w:rPr>
                  <w:rFonts w:ascii="Times New Roman" w:cs="Times New Roman" w:eastAsia="Times New Roman" w:hAnsi="Times New Roman"/>
                  <w:sz w:val="16"/>
                  <w:szCs w:val="16"/>
                  <w:color w:val="0000FF"/>
                </w:rPr>
                <w:t>Commission on December 28,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10.31</w:t>
            </w: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9"/>
          </w:tcPr>
          <w:p>
            <w:pPr>
              <w:spacing w:after="0"/>
              <w:rPr>
                <w:rFonts w:ascii="Times New Roman" w:cs="Times New Roman" w:eastAsia="Times New Roman" w:hAnsi="Times New Roman"/>
                <w:sz w:val="16"/>
                <w:szCs w:val="16"/>
                <w:color w:val="0000FF"/>
              </w:rPr>
            </w:pPr>
            <w:hyperlink r:id="rId314">
              <w:r>
                <w:rPr>
                  <w:rFonts w:ascii="Times New Roman" w:cs="Times New Roman" w:eastAsia="Times New Roman" w:hAnsi="Times New Roman"/>
                  <w:sz w:val="16"/>
                  <w:szCs w:val="16"/>
                  <w:color w:val="0000FF"/>
                </w:rPr>
                <w:t>Fourth Amendment to License Agreement, by and among the Registrant, Emory University and The Georgia Tech Research</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4">
              <w:r>
                <w:rPr>
                  <w:rFonts w:ascii="Times New Roman" w:cs="Times New Roman" w:eastAsia="Times New Roman" w:hAnsi="Times New Roman"/>
                  <w:sz w:val="16"/>
                  <w:szCs w:val="16"/>
                  <w:color w:val="0000FF"/>
                </w:rPr>
                <w:t>Corporation, dated January 31, 2024 (incorporated herein by reference to Exhibit 10.33 to the Registrant’s Annual Report on Form 10-K</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80" w:type="dxa"/>
            <w:vAlign w:val="bottom"/>
            <w:gridSpan w:val="9"/>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4">
              <w:r>
                <w:rPr>
                  <w:rFonts w:ascii="Times New Roman" w:cs="Times New Roman" w:eastAsia="Times New Roman" w:hAnsi="Times New Roman"/>
                  <w:sz w:val="16"/>
                  <w:szCs w:val="16"/>
                  <w:color w:val="0000FF"/>
                </w:rPr>
                <w:t>(File No. 001-37783), filed with the Commission on March 12,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2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10.32</w:t>
            </w:r>
          </w:p>
        </w:tc>
        <w:tc>
          <w:tcPr>
            <w:tcW w:w="1320" w:type="dxa"/>
            <w:vAlign w:val="bottom"/>
          </w:tcPr>
          <w:p>
            <w:pPr>
              <w:spacing w:after="0"/>
              <w:rPr>
                <w:sz w:val="24"/>
                <w:szCs w:val="24"/>
                <w:color w:val="auto"/>
              </w:rPr>
            </w:pPr>
          </w:p>
        </w:tc>
        <w:tc>
          <w:tcPr>
            <w:tcW w:w="1780" w:type="dxa"/>
            <w:vAlign w:val="bottom"/>
            <w:gridSpan w:val="3"/>
            <w:vMerge w:val="restart"/>
          </w:tcPr>
          <w:p>
            <w:pPr>
              <w:spacing w:after="0"/>
              <w:rPr>
                <w:rFonts w:ascii="Times New Roman" w:cs="Times New Roman" w:eastAsia="Times New Roman" w:hAnsi="Times New Roman"/>
                <w:sz w:val="16"/>
                <w:szCs w:val="16"/>
                <w:color w:val="0000FF"/>
                <w:w w:val="99"/>
              </w:rPr>
            </w:pPr>
            <w:hyperlink r:id="rId315">
              <w:r>
                <w:rPr>
                  <w:rFonts w:ascii="Times New Roman" w:cs="Times New Roman" w:eastAsia="Times New Roman" w:hAnsi="Times New Roman"/>
                  <w:sz w:val="16"/>
                  <w:szCs w:val="16"/>
                  <w:color w:val="0000FF"/>
                  <w:w w:val="99"/>
                </w:rPr>
                <w:t>Controlled Equity Offering</w:t>
              </w:r>
            </w:hyperlink>
          </w:p>
        </w:tc>
        <w:tc>
          <w:tcPr>
            <w:tcW w:w="120" w:type="dxa"/>
            <w:vAlign w:val="bottom"/>
            <w:tcBorders>
              <w:bottom w:val="single" w:sz="8" w:color="0000FF"/>
            </w:tcBorders>
          </w:tcPr>
          <w:p>
            <w:pPr>
              <w:spacing w:after="0"/>
              <w:rPr>
                <w:rFonts w:ascii="Times New Roman" w:cs="Times New Roman" w:eastAsia="Times New Roman" w:hAnsi="Times New Roman"/>
                <w:sz w:val="9"/>
                <w:szCs w:val="9"/>
                <w:color w:val="0000FF"/>
                <w:w w:val="76"/>
              </w:rPr>
            </w:pPr>
            <w:hyperlink r:id="rId315">
              <w:r>
                <w:rPr>
                  <w:rFonts w:ascii="Times New Roman" w:cs="Times New Roman" w:eastAsia="Times New Roman" w:hAnsi="Times New Roman"/>
                  <w:sz w:val="9"/>
                  <w:szCs w:val="9"/>
                  <w:color w:val="0000FF"/>
                  <w:w w:val="76"/>
                </w:rPr>
                <w:t>SM</w:t>
              </w:r>
            </w:hyperlink>
          </w:p>
        </w:tc>
        <w:tc>
          <w:tcPr>
            <w:tcW w:w="7000" w:type="dxa"/>
            <w:vAlign w:val="bottom"/>
            <w:gridSpan w:val="25"/>
            <w:vMerge w:val="restart"/>
          </w:tcPr>
          <w:p>
            <w:pPr>
              <w:ind w:left="40"/>
              <w:spacing w:after="0"/>
              <w:rPr>
                <w:rFonts w:ascii="Times New Roman" w:cs="Times New Roman" w:eastAsia="Times New Roman" w:hAnsi="Times New Roman"/>
                <w:sz w:val="16"/>
                <w:szCs w:val="16"/>
                <w:color w:val="0000FF"/>
              </w:rPr>
            </w:pPr>
            <w:hyperlink r:id="rId315">
              <w:r>
                <w:rPr>
                  <w:rFonts w:ascii="Times New Roman" w:cs="Times New Roman" w:eastAsia="Times New Roman" w:hAnsi="Times New Roman"/>
                  <w:sz w:val="16"/>
                  <w:szCs w:val="16"/>
                  <w:color w:val="0000FF"/>
                </w:rPr>
                <w:t>Sales Agreement, by and between the Registrant and Cantor Fitzgerald &amp; Co., dated as of May 12, 2023</w:t>
              </w:r>
            </w:hyperlink>
          </w:p>
        </w:tc>
        <w:tc>
          <w:tcPr>
            <w:tcW w:w="0" w:type="dxa"/>
            <w:vAlign w:val="bottom"/>
          </w:tcPr>
          <w:p>
            <w:pPr>
              <w:spacing w:after="0"/>
              <w:rPr>
                <w:sz w:val="1"/>
                <w:szCs w:val="1"/>
                <w:color w:val="auto"/>
              </w:rPr>
            </w:pPr>
          </w:p>
        </w:tc>
      </w:tr>
      <w:tr>
        <w:trPr>
          <w:trHeight w:val="61"/>
        </w:trPr>
        <w:tc>
          <w:tcPr>
            <w:tcW w:w="102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000" w:type="dxa"/>
            <w:vAlign w:val="bottom"/>
            <w:gridSpan w:val="2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80" w:type="dxa"/>
            <w:vAlign w:val="bottom"/>
            <w:gridSpan w:val="9"/>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5">
              <w:r>
                <w:rPr>
                  <w:rFonts w:ascii="Times New Roman" w:cs="Times New Roman" w:eastAsia="Times New Roman" w:hAnsi="Times New Roman"/>
                  <w:sz w:val="16"/>
                  <w:szCs w:val="16"/>
                  <w:color w:val="0000FF"/>
                </w:rPr>
                <w:t>(incorporated herein by reference to Exhibit 10.1 to the Registrant’s Current Report on Form 8-K (File No. 001-37783), filed with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80" w:type="dxa"/>
            <w:vAlign w:val="bottom"/>
            <w:gridSpan w:val="9"/>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5">
              <w:r>
                <w:rPr>
                  <w:rFonts w:ascii="Times New Roman" w:cs="Times New Roman" w:eastAsia="Times New Roman" w:hAnsi="Times New Roman"/>
                  <w:sz w:val="16"/>
                  <w:szCs w:val="16"/>
                  <w:color w:val="0000FF"/>
                </w:rPr>
                <w:t>Commission on May 12,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10.33</w:t>
            </w:r>
          </w:p>
        </w:tc>
        <w:tc>
          <w:tcPr>
            <w:tcW w:w="1320" w:type="dxa"/>
            <w:vAlign w:val="bottom"/>
          </w:tcPr>
          <w:p>
            <w:pPr>
              <w:spacing w:after="0"/>
              <w:rPr>
                <w:sz w:val="24"/>
                <w:szCs w:val="24"/>
                <w:color w:val="auto"/>
              </w:rPr>
            </w:pPr>
          </w:p>
        </w:tc>
        <w:tc>
          <w:tcPr>
            <w:tcW w:w="8900" w:type="dxa"/>
            <w:vAlign w:val="bottom"/>
            <w:gridSpan w:val="29"/>
          </w:tcPr>
          <w:p>
            <w:pPr>
              <w:spacing w:after="0"/>
              <w:rPr>
                <w:rFonts w:ascii="Times New Roman" w:cs="Times New Roman" w:eastAsia="Times New Roman" w:hAnsi="Times New Roman"/>
                <w:sz w:val="16"/>
                <w:szCs w:val="16"/>
                <w:color w:val="0000FF"/>
              </w:rPr>
            </w:pPr>
            <w:hyperlink r:id="rId316">
              <w:r>
                <w:rPr>
                  <w:rFonts w:ascii="Times New Roman" w:cs="Times New Roman" w:eastAsia="Times New Roman" w:hAnsi="Times New Roman"/>
                  <w:sz w:val="16"/>
                  <w:szCs w:val="16"/>
                  <w:color w:val="0000FF"/>
                </w:rPr>
                <w:t>First Amendment to License Agreement, by and among the Registrant and BioCryst Pharmaceuticals, Inc., dated as of May 20,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20" w:type="dxa"/>
            <w:vAlign w:val="bottom"/>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6">
              <w:r>
                <w:rPr>
                  <w:rFonts w:ascii="Times New Roman" w:cs="Times New Roman" w:eastAsia="Times New Roman" w:hAnsi="Times New Roman"/>
                  <w:sz w:val="16"/>
                  <w:szCs w:val="16"/>
                  <w:color w:val="0000FF"/>
                </w:rPr>
                <w:t>(incorporated herein by reference to Exhibit 10.1 to the Registrant's Quarterly Report on Form 10-Q (File No. 001-37783), filed with</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80" w:type="dxa"/>
            <w:vAlign w:val="bottom"/>
            <w:gridSpan w:val="9"/>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6">
              <w:r>
                <w:rPr>
                  <w:rFonts w:ascii="Times New Roman" w:cs="Times New Roman" w:eastAsia="Times New Roman" w:hAnsi="Times New Roman"/>
                  <w:sz w:val="16"/>
                  <w:szCs w:val="16"/>
                  <w:color w:val="0000FF"/>
                </w:rPr>
                <w:t>the Commission on August 12,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Borders>
              <w:right w:val="single" w:sz="8" w:color="0000EE"/>
            </w:tcBorders>
            <w:gridSpan w:val="4"/>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10.34</w:t>
            </w: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9"/>
          </w:tcPr>
          <w:p>
            <w:pPr>
              <w:spacing w:after="0"/>
              <w:rPr>
                <w:rFonts w:ascii="Times New Roman" w:cs="Times New Roman" w:eastAsia="Times New Roman" w:hAnsi="Times New Roman"/>
                <w:sz w:val="16"/>
                <w:szCs w:val="16"/>
                <w:color w:val="0000FF"/>
              </w:rPr>
            </w:pPr>
            <w:hyperlink r:id="rId317">
              <w:r>
                <w:rPr>
                  <w:rFonts w:ascii="Times New Roman" w:cs="Times New Roman" w:eastAsia="Times New Roman" w:hAnsi="Times New Roman"/>
                  <w:sz w:val="16"/>
                  <w:szCs w:val="16"/>
                  <w:color w:val="0000FF"/>
                </w:rPr>
                <w:t>Employment Agreement, by and between Registrant and Victor Chong, dated as of June 19, 2024 (incorporated herein by reference 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7"/>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80" w:type="dxa"/>
            <w:vAlign w:val="bottom"/>
            <w:gridSpan w:val="9"/>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rFonts w:ascii="Times New Roman" w:cs="Times New Roman" w:eastAsia="Times New Roman" w:hAnsi="Times New Roman"/>
                <w:sz w:val="16"/>
                <w:szCs w:val="16"/>
                <w:color w:val="0000FF"/>
              </w:rPr>
            </w:pPr>
            <w:hyperlink r:id="rId317">
              <w:r>
                <w:rPr>
                  <w:rFonts w:ascii="Times New Roman" w:cs="Times New Roman" w:eastAsia="Times New Roman" w:hAnsi="Times New Roman"/>
                  <w:sz w:val="16"/>
                  <w:szCs w:val="16"/>
                  <w:color w:val="0000FF"/>
                </w:rPr>
                <w:t>Exhibit 10.2 to the Registrant's Quarterly Report on Form 10-Q (File No. 001-37783), filed with the Commission on August 12,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7"/>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540" w:type="dxa"/>
            <w:vAlign w:val="bottom"/>
            <w:gridSpan w:val="10"/>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19</w:t>
            </w: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Clearside Biomedical, Inc. Amended and Restated Insider Trading Policy.</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7"/>
            <w:shd w:val="clear" w:color="auto" w:fill="0000FF"/>
          </w:tcPr>
          <w:p>
            <w:pPr>
              <w:spacing w:after="0" w:line="20" w:lineRule="exact"/>
              <w:rPr>
                <w:sz w:val="1"/>
                <w:szCs w:val="1"/>
                <w:color w:val="auto"/>
              </w:rPr>
            </w:pPr>
          </w:p>
        </w:tc>
        <w:tc>
          <w:tcPr>
            <w:tcW w:w="1680" w:type="dxa"/>
            <w:vAlign w:val="bottom"/>
            <w:tcBorders>
              <w:right w:val="single" w:sz="8" w:color="0000EE"/>
            </w:tcBorders>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23.1</w:t>
            </w: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7"/>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24.1</w:t>
            </w: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Power of Attorney (included on signature page).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EE"/>
            </w:tcBorders>
            <w:gridSpan w:val="7"/>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31.1</w:t>
            </w: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 promulgated under the Securities Exchange Act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3420" w:type="dxa"/>
            <w:vAlign w:val="bottom"/>
            <w:tcBorders>
              <w:right w:val="single" w:sz="8" w:color="0000FF"/>
            </w:tcBorders>
            <w:gridSpan w:val="13"/>
            <w:shd w:val="clear" w:color="auto" w:fill="0000FF"/>
          </w:tcPr>
          <w:p>
            <w:pPr>
              <w:spacing w:after="0" w:line="20" w:lineRule="exact"/>
              <w:rPr>
                <w:sz w:val="1"/>
                <w:szCs w:val="1"/>
                <w:color w:val="auto"/>
              </w:rPr>
            </w:pPr>
          </w:p>
        </w:tc>
        <w:tc>
          <w:tcPr>
            <w:tcW w:w="3540" w:type="dxa"/>
            <w:vAlign w:val="bottom"/>
            <w:gridSpan w:val="10"/>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sz w:val="20"/>
                <w:szCs w:val="20"/>
                <w:color w:val="auto"/>
              </w:rPr>
            </w:pPr>
            <w:r>
              <w:rPr>
                <w:rFonts w:ascii="Times New Roman" w:cs="Times New Roman" w:eastAsia="Times New Roman" w:hAnsi="Times New Roman"/>
                <w:sz w:val="16"/>
                <w:szCs w:val="16"/>
                <w:color w:val="0000FF"/>
              </w:rPr>
              <w:t>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3420" w:type="dxa"/>
            <w:vAlign w:val="bottom"/>
            <w:tcBorders>
              <w:right w:val="single" w:sz="8" w:color="0000EE"/>
            </w:tcBorders>
            <w:gridSpan w:val="13"/>
            <w:shd w:val="clear" w:color="auto" w:fill="0000FF"/>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31.2</w:t>
            </w: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9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 promulgated under the Securities Exchange Act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6960" w:type="dxa"/>
            <w:vAlign w:val="bottom"/>
            <w:gridSpan w:val="2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900" w:type="dxa"/>
            <w:vAlign w:val="bottom"/>
            <w:gridSpan w:val="29"/>
          </w:tcPr>
          <w:p>
            <w:pPr>
              <w:spacing w:after="0" w:line="183" w:lineRule="exact"/>
              <w:rPr>
                <w:sz w:val="20"/>
                <w:szCs w:val="20"/>
                <w:color w:val="auto"/>
              </w:rPr>
            </w:pPr>
            <w:r>
              <w:rPr>
                <w:rFonts w:ascii="Times New Roman" w:cs="Times New Roman" w:eastAsia="Times New Roman" w:hAnsi="Times New Roman"/>
                <w:sz w:val="16"/>
                <w:szCs w:val="16"/>
                <w:color w:val="0000FF"/>
              </w:rPr>
              <w:t>of 1934, as adopted pursuant to Section 302 of the Sarbanes-Oxley Act of 2002.</w:t>
            </w:r>
          </w:p>
        </w:tc>
        <w:tc>
          <w:tcPr>
            <w:tcW w:w="0" w:type="dxa"/>
            <w:vAlign w:val="bottom"/>
          </w:tcPr>
          <w:p>
            <w:pPr>
              <w:spacing w:after="0"/>
              <w:rPr>
                <w:sz w:val="1"/>
                <w:szCs w:val="1"/>
                <w:color w:val="auto"/>
              </w:rPr>
            </w:pPr>
          </w:p>
        </w:tc>
      </w:tr>
      <w:tr>
        <w:trPr>
          <w:trHeight w:val="452"/>
        </w:trPr>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20" w:type="dxa"/>
            <w:vAlign w:val="bottom"/>
            <w:tcBorders>
              <w:top w:val="single" w:sz="8" w:color="0000FF"/>
            </w:tcBorders>
            <w:gridSpan w:val="11"/>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8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Rules 13a-14(b) and 15d-14(b) promulgated</w:t>
            </w:r>
          </w:p>
        </w:tc>
      </w:tr>
      <w:tr>
        <w:trPr>
          <w:trHeight w:val="20"/>
        </w:trPr>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4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FF"/>
              </w:rPr>
              <w:t>under the Securities Exchange Act of 1934 and 18 U.S.C. Section 1350, as adopted pursuant to Section 906 of The Sarbanes-Oxley Act</w:t>
            </w:r>
          </w:p>
        </w:tc>
      </w:tr>
      <w:tr>
        <w:trPr>
          <w:trHeight w:val="20"/>
        </w:trPr>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38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4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0000FF"/>
              </w:rPr>
              <w:t>of 2002.</w:t>
            </w:r>
          </w:p>
        </w:tc>
      </w:tr>
      <w:tr>
        <w:trPr>
          <w:trHeight w:val="20"/>
        </w:trPr>
        <w:tc>
          <w:tcPr>
            <w:tcW w:w="114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40" w:type="dxa"/>
            <w:vAlign w:val="bottom"/>
            <w:gridSpan w:val="5"/>
          </w:tcPr>
          <w:p>
            <w:pPr>
              <w:spacing w:after="0"/>
              <w:rPr>
                <w:rFonts w:ascii="Times New Roman" w:cs="Times New Roman" w:eastAsia="Times New Roman" w:hAnsi="Times New Roman"/>
                <w:sz w:val="16"/>
                <w:szCs w:val="16"/>
                <w:color w:val="0000FF"/>
              </w:rPr>
            </w:pPr>
            <w:hyperlink r:id="rId320">
              <w:r>
                <w:rPr>
                  <w:rFonts w:ascii="Times New Roman" w:cs="Times New Roman" w:eastAsia="Times New Roman" w:hAnsi="Times New Roman"/>
                  <w:sz w:val="16"/>
                  <w:szCs w:val="16"/>
                  <w:color w:val="0000FF"/>
                </w:rPr>
                <w:t>Clearside Biomedical, Inc. Clawback Policy (incorporated herein by reference to Exhibit 97 to the Registrant’s Annual Report on Form</w:t>
              </w:r>
            </w:hyperlink>
          </w:p>
        </w:tc>
      </w:tr>
      <w:tr>
        <w:trPr>
          <w:trHeight w:val="20"/>
        </w:trPr>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20" w:type="dxa"/>
            <w:vAlign w:val="bottom"/>
            <w:gridSpan w:val="2"/>
            <w:shd w:val="clear" w:color="auto" w:fill="0000FF"/>
          </w:tcPr>
          <w:p>
            <w:pPr>
              <w:spacing w:after="0" w:line="20" w:lineRule="exact"/>
              <w:rPr>
                <w:sz w:val="1"/>
                <w:szCs w:val="1"/>
                <w:color w:val="auto"/>
              </w:rPr>
            </w:pPr>
          </w:p>
        </w:tc>
        <w:tc>
          <w:tcPr>
            <w:tcW w:w="38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97</w:t>
            </w:r>
          </w:p>
        </w:tc>
        <w:tc>
          <w:tcPr>
            <w:tcW w:w="1140" w:type="dxa"/>
            <w:vAlign w:val="bottom"/>
          </w:tcPr>
          <w:p>
            <w:pPr>
              <w:spacing w:after="0"/>
              <w:rPr>
                <w:sz w:val="15"/>
                <w:szCs w:val="15"/>
                <w:color w:val="auto"/>
              </w:rPr>
            </w:pPr>
          </w:p>
        </w:tc>
        <w:tc>
          <w:tcPr>
            <w:tcW w:w="8840" w:type="dxa"/>
            <w:vAlign w:val="bottom"/>
            <w:gridSpan w:val="5"/>
          </w:tcPr>
          <w:p>
            <w:pPr>
              <w:spacing w:after="0" w:line="183" w:lineRule="exact"/>
              <w:rPr>
                <w:rFonts w:ascii="Times New Roman" w:cs="Times New Roman" w:eastAsia="Times New Roman" w:hAnsi="Times New Roman"/>
                <w:sz w:val="16"/>
                <w:szCs w:val="16"/>
                <w:color w:val="0000FF"/>
              </w:rPr>
            </w:pPr>
            <w:hyperlink r:id="rId320">
              <w:r>
                <w:rPr>
                  <w:rFonts w:ascii="Times New Roman" w:cs="Times New Roman" w:eastAsia="Times New Roman" w:hAnsi="Times New Roman"/>
                  <w:sz w:val="16"/>
                  <w:szCs w:val="16"/>
                  <w:color w:val="0000FF"/>
                </w:rPr>
                <w:t>10-K (File No. 001-37783), filed with the Commission on March 12, 2024).</w:t>
              </w:r>
            </w:hyperlink>
          </w:p>
        </w:tc>
      </w:tr>
      <w:tr>
        <w:trPr>
          <w:trHeight w:val="20"/>
        </w:trPr>
        <w:tc>
          <w:tcPr>
            <w:tcW w:w="114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4920" w:type="dxa"/>
            <w:vAlign w:val="bottom"/>
            <w:gridSpan w:val="2"/>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r>
      <w:tr>
        <w:trPr>
          <w:trHeight w:val="42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140" w:type="dxa"/>
            <w:vAlign w:val="bottom"/>
          </w:tcPr>
          <w:p>
            <w:pPr>
              <w:spacing w:after="0"/>
              <w:rPr>
                <w:sz w:val="24"/>
                <w:szCs w:val="24"/>
                <w:color w:val="auto"/>
              </w:rPr>
            </w:pPr>
          </w:p>
        </w:tc>
        <w:tc>
          <w:tcPr>
            <w:tcW w:w="88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405"/>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140" w:type="dxa"/>
            <w:vAlign w:val="bottom"/>
          </w:tcPr>
          <w:p>
            <w:pPr>
              <w:spacing w:after="0"/>
              <w:rPr>
                <w:sz w:val="24"/>
                <w:szCs w:val="24"/>
                <w:color w:val="auto"/>
              </w:rPr>
            </w:pPr>
          </w:p>
        </w:tc>
        <w:tc>
          <w:tcPr>
            <w:tcW w:w="88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r>
        <w:trPr>
          <w:trHeight w:val="405"/>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140" w:type="dxa"/>
            <w:vAlign w:val="bottom"/>
          </w:tcPr>
          <w:p>
            <w:pPr>
              <w:spacing w:after="0"/>
              <w:rPr>
                <w:sz w:val="24"/>
                <w:szCs w:val="24"/>
                <w:color w:val="auto"/>
              </w:rPr>
            </w:pPr>
          </w:p>
        </w:tc>
        <w:tc>
          <w:tcPr>
            <w:tcW w:w="88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r>
        <w:trPr>
          <w:trHeight w:val="208"/>
        </w:trPr>
        <w:tc>
          <w:tcPr>
            <w:tcW w:w="1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0" w:hanging="658"/>
        <w:spacing w:after="0"/>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 w:lineRule="exact"/>
        <w:rPr>
          <w:sz w:val="20"/>
          <w:szCs w:val="20"/>
          <w:color w:val="auto"/>
        </w:rPr>
      </w:pPr>
    </w:p>
    <w:p>
      <w:pPr>
        <w:ind w:left="660" w:hanging="658"/>
        <w:spacing w:after="0"/>
        <w:tabs>
          <w:tab w:leader="none" w:pos="6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19" w:lineRule="exact"/>
        <w:rPr>
          <w:sz w:val="20"/>
          <w:szCs w:val="20"/>
          <w:color w:val="auto"/>
        </w:rPr>
      </w:pPr>
    </w:p>
    <w:p>
      <w:pPr>
        <w:ind w:left="660" w:right="300" w:hanging="658"/>
        <w:spacing w:after="0" w:line="264" w:lineRule="auto"/>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has been granted with respect to portions of this exhibit (indicated by asterisks) and those portions have been separately filed with the Securities and Exchange Commission.</w:t>
      </w:r>
    </w:p>
    <w:p>
      <w:pPr>
        <w:jc w:val="both"/>
        <w:ind w:left="660" w:right="360" w:hanging="658"/>
        <w:spacing w:after="0" w:line="264" w:lineRule="auto"/>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ind w:left="660" w:right="200" w:hanging="658"/>
        <w:spacing w:after="0" w:line="264" w:lineRule="auto"/>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601(b)(10)(iv) of Regulation S-K promulgated by the Securities and Exchange Commission, certain portions of this exhibit (indicated by asterisks) have been omitted because they are not material and are the type that the Registrant treats as private or confidential. The Registrant hereby agrees to furnish supplementally to the Securities and Exchange Commission, upon its request, an unredacted copy of this exhibit.</w:t>
      </w:r>
    </w:p>
    <w:p>
      <w:pPr>
        <w:ind w:left="660" w:right="160" w:hanging="658"/>
        <w:spacing w:after="0" w:line="288" w:lineRule="auto"/>
        <w:tabs>
          <w:tab w:leader="none" w:pos="660" w:val="left"/>
        </w:tabs>
        <w:numPr>
          <w:ilvl w:val="0"/>
          <w:numId w:val="45"/>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Certain of the exhibits and schedules to this exhibit have been omitted in accordance with Regulation S-K Item 601. The Registrant agrees to furnish a copy of all omitted exhibits and schedules to the SEC upon request.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84" w:right="3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6"/>
          <w:szCs w:val="16"/>
          <w:color w:val="auto"/>
        </w:rPr>
        <w:t>CLEARSIDE BIOMEDICAL, INC.</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420" w:type="dxa"/>
            <w:vAlign w:val="bottom"/>
          </w:tcPr>
          <w:p>
            <w:pPr>
              <w:ind w:left="6880"/>
              <w:spacing w:after="0"/>
              <w:rPr>
                <w:sz w:val="20"/>
                <w:szCs w:val="20"/>
                <w:color w:val="auto"/>
              </w:rPr>
            </w:pPr>
            <w:r>
              <w:rPr>
                <w:rFonts w:ascii="Times New Roman" w:cs="Times New Roman" w:eastAsia="Times New Roman" w:hAnsi="Times New Roman"/>
                <w:sz w:val="16"/>
                <w:szCs w:val="16"/>
                <w:color w:val="auto"/>
              </w:rPr>
              <w:t>By:</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George Lasezkay, Pharm.D., J.D.</w:t>
            </w:r>
          </w:p>
        </w:tc>
      </w:tr>
      <w:tr>
        <w:trPr>
          <w:trHeight w:val="197"/>
        </w:trPr>
        <w:tc>
          <w:tcPr>
            <w:tcW w:w="742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George Lasezkay, Pharm.D., J.D.</w:t>
            </w:r>
          </w:p>
        </w:tc>
      </w:tr>
      <w:tr>
        <w:trPr>
          <w:trHeight w:val="212"/>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March 27, 2025</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r>
    </w:tbl>
    <w:p>
      <w:pPr>
        <w:spacing w:after="0" w:line="2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George Lasezkay and Charles A. Deignan, jointly and severally, as his or her true and lawful attorneys-in-fact and agents, with full power of substitution and resubstitution, for him and in his name, place and stead, in any and all capacities, to sign this Annual Report on Form 10-K of Clearside Biomedical,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114300</wp:posOffset>
            </wp:positionV>
            <wp:extent cx="61290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5">
                      <a:extLst>
                        <a:ext uri="{28A0092B-C50C-407E-A947-70E740481C1C}"/>
                      </a:extLst>
                    </a:blip>
                    <a:srcRect/>
                    <a:stretch>
                      <a:fillRect/>
                    </a:stretch>
                  </pic:blipFill>
                  <pic:spPr bwMode="auto">
                    <a:xfrm>
                      <a:off x="0" y="0"/>
                      <a:ext cx="6129020" cy="17145"/>
                    </a:xfrm>
                    <a:prstGeom prst="rect">
                      <a:avLst/>
                    </a:prstGeom>
                    <a:noFill/>
                  </pic:spPr>
                </pic:pic>
              </a:graphicData>
            </a:graphic>
          </wp:anchor>
        </w:drawing>
      </w:r>
    </w:p>
    <w:p>
      <w:pPr>
        <w:spacing w:after="0" w:line="171" w:lineRule="exact"/>
        <w:rPr>
          <w:sz w:val="20"/>
          <w:szCs w:val="20"/>
          <w:color w:val="auto"/>
        </w:rPr>
      </w:pPr>
    </w:p>
    <w:p>
      <w:pPr>
        <w:ind w:left="2500"/>
        <w:spacing w:after="0"/>
        <w:tabs>
          <w:tab w:leader="none" w:pos="6420" w:val="left"/>
          <w:tab w:leader="none" w:pos="9100" w:val="left"/>
        </w:tabs>
        <w:rPr>
          <w:sz w:val="20"/>
          <w:szCs w:val="20"/>
          <w:color w:val="auto"/>
        </w:rPr>
      </w:pPr>
      <w:r>
        <w:rPr>
          <w:rFonts w:ascii="Times New Roman" w:cs="Times New Roman" w:eastAsia="Times New Roman" w:hAnsi="Times New Roman"/>
          <w:sz w:val="16"/>
          <w:szCs w:val="16"/>
          <w:b w:val="1"/>
          <w:bCs w:val="1"/>
          <w:color w:val="auto"/>
        </w:rPr>
        <w:t>Signature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30480</wp:posOffset>
            </wp:positionV>
            <wp:extent cx="61290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6">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p>
      <w:pPr>
        <w:spacing w:after="0" w:line="252"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i w:val="1"/>
          <w:iCs w:val="1"/>
          <w:color w:val="auto"/>
        </w:rPr>
        <w:t>/s/ George Lasezkay, Pharm.D., J.D.</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color w:val="auto"/>
        </w:rPr>
        <w:t>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-121920</wp:posOffset>
            </wp:positionV>
            <wp:extent cx="25374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82"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i w:val="1"/>
          <w:iCs w:val="1"/>
          <w:color w:val="auto"/>
        </w:rPr>
        <w:t>/s/ Charles A. Deignan</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-121920</wp:posOffset>
            </wp:positionV>
            <wp:extent cx="25374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95"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i w:val="1"/>
          <w:iCs w:val="1"/>
          <w:color w:val="auto"/>
        </w:rPr>
        <w:t>/s/ Anthony S. Gibney</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color w:val="auto"/>
        </w:rPr>
        <w:t>Anthony S. Gibney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-121920</wp:posOffset>
            </wp:positionV>
            <wp:extent cx="25374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6"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i w:val="1"/>
          <w:iCs w:val="1"/>
          <w:color w:val="auto"/>
        </w:rPr>
        <w:t>/s/ Richard Croarkin</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color w:val="auto"/>
        </w:rPr>
        <w:t>Richard Croarkin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-121920</wp:posOffset>
            </wp:positionV>
            <wp:extent cx="25374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6"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i w:val="1"/>
          <w:iCs w:val="1"/>
          <w:color w:val="auto"/>
        </w:rPr>
        <w:t>/s/ Jeffrey L. Edwards</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color w:val="auto"/>
        </w:rPr>
        <w:t>Jeffrey 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-121920</wp:posOffset>
            </wp:positionV>
            <wp:extent cx="25374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6"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i w:val="1"/>
          <w:iCs w:val="1"/>
          <w:color w:val="auto"/>
        </w:rPr>
        <w:t>/s/ William D. Humphries</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color w:val="auto"/>
        </w:rPr>
        <w:t>William D. Humphries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-121920</wp:posOffset>
            </wp:positionV>
            <wp:extent cx="25374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79"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i w:val="1"/>
          <w:iCs w:val="1"/>
          <w:color w:val="auto"/>
        </w:rPr>
        <w:t>/s/ Nancy J. Hutson</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color w:val="auto"/>
        </w:rPr>
        <w:t>Nancy J. Hutson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-121920</wp:posOffset>
            </wp:positionV>
            <wp:extent cx="25374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79"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i w:val="1"/>
          <w:iCs w:val="1"/>
          <w:color w:val="auto"/>
        </w:rPr>
        <w:t>/s/ Christy L. Shaffer, Ph.D.</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color w:val="auto"/>
        </w:rPr>
        <w:t>Christy L. Shaffer,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-121920</wp:posOffset>
            </wp:positionV>
            <wp:extent cx="25374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4">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93"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i w:val="1"/>
          <w:iCs w:val="1"/>
          <w:color w:val="auto"/>
        </w:rPr>
        <w:t>/s/ Clay B. Thorp</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color w:val="auto"/>
        </w:rPr>
        <w:t>Clay B. Thorp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-121920</wp:posOffset>
            </wp:positionV>
            <wp:extent cx="25374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5">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6"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i w:val="1"/>
          <w:iCs w:val="1"/>
          <w:color w:val="auto"/>
        </w:rPr>
        <w:t>/s/Benjamin R. Yerxa</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color w:val="auto"/>
        </w:rPr>
        <w:t>Benjamin R. Yerxa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-121920</wp:posOffset>
            </wp:positionV>
            <wp:extent cx="25374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(Principal Financial Officer and Principal Accounting Officer)</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11" w:lineRule="exact"/>
        <w:rPr>
          <w:sz w:val="20"/>
          <w:szCs w:val="20"/>
          <w:color w:val="auto"/>
        </w:rPr>
      </w:pPr>
    </w:p>
    <w:p>
      <w:pPr>
        <w:sectPr>
          <w:pgSz w:w="11900" w:h="16838" w:orient="portrait"/>
          <w:cols w:equalWidth="0" w:num="3">
            <w:col w:w="4400" w:space="720"/>
            <w:col w:w="2920" w:space="160"/>
            <w:col w:w="2980"/>
          </w:cols>
          <w:pgMar w:left="320" w:top="769" w:right="39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type w:val="continuous"/>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color w:val="auto"/>
        </w:rPr>
        <w:t>Exhibit 19</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CLEARSIDE BIOMEDICAL, INC.</w:t>
      </w:r>
    </w:p>
    <w:p>
      <w:pPr>
        <w:spacing w:after="0" w:line="2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I</w:t>
      </w:r>
      <w:r>
        <w:rPr>
          <w:rFonts w:ascii="Times New Roman" w:cs="Times New Roman" w:eastAsia="Times New Roman" w:hAnsi="Times New Roman"/>
          <w:sz w:val="17"/>
          <w:szCs w:val="17"/>
          <w:b w:val="1"/>
          <w:bCs w:val="1"/>
          <w:color w:val="auto"/>
        </w:rPr>
        <w:t>nsider</w:t>
      </w:r>
      <w:r>
        <w:rPr>
          <w:rFonts w:ascii="Times New Roman" w:cs="Times New Roman" w:eastAsia="Times New Roman" w:hAnsi="Times New Roman"/>
          <w:sz w:val="25"/>
          <w:szCs w:val="25"/>
          <w:b w:val="1"/>
          <w:bCs w:val="1"/>
          <w:color w:val="auto"/>
        </w:rPr>
        <w:t xml:space="preserve"> T</w:t>
      </w:r>
      <w:r>
        <w:rPr>
          <w:rFonts w:ascii="Times New Roman" w:cs="Times New Roman" w:eastAsia="Times New Roman" w:hAnsi="Times New Roman"/>
          <w:sz w:val="17"/>
          <w:szCs w:val="17"/>
          <w:b w:val="1"/>
          <w:bCs w:val="1"/>
          <w:color w:val="auto"/>
        </w:rPr>
        <w:t>rading</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olicy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mended and</w:t>
      </w:r>
      <w:r>
        <w:rPr>
          <w:rFonts w:ascii="Times New Roman" w:cs="Times New Roman" w:eastAsia="Times New Roman" w:hAnsi="Times New Roman"/>
          <w:sz w:val="25"/>
          <w:szCs w:val="25"/>
          <w:b w:val="1"/>
          <w:bCs w:val="1"/>
          <w:color w:val="auto"/>
        </w:rPr>
        <w:t xml:space="preserve"> R</w:t>
      </w:r>
      <w:r>
        <w:rPr>
          <w:rFonts w:ascii="Times New Roman" w:cs="Times New Roman" w:eastAsia="Times New Roman" w:hAnsi="Times New Roman"/>
          <w:sz w:val="17"/>
          <w:szCs w:val="17"/>
          <w:b w:val="1"/>
          <w:bCs w:val="1"/>
          <w:color w:val="auto"/>
        </w:rPr>
        <w:t>estated on</w:t>
      </w:r>
      <w:r>
        <w:rPr>
          <w:rFonts w:ascii="Times New Roman" w:cs="Times New Roman" w:eastAsia="Times New Roman" w:hAnsi="Times New Roman"/>
          <w:sz w:val="25"/>
          <w:szCs w:val="25"/>
          <w:b w:val="1"/>
          <w:bCs w:val="1"/>
          <w:color w:val="auto"/>
        </w:rPr>
        <w:t xml:space="preserve"> M</w:t>
      </w:r>
      <w:r>
        <w:rPr>
          <w:rFonts w:ascii="Times New Roman" w:cs="Times New Roman" w:eastAsia="Times New Roman" w:hAnsi="Times New Roman"/>
          <w:sz w:val="17"/>
          <w:szCs w:val="17"/>
          <w:b w:val="1"/>
          <w:bCs w:val="1"/>
          <w:color w:val="auto"/>
        </w:rPr>
        <w:t>arch</w:t>
      </w:r>
      <w:r>
        <w:rPr>
          <w:rFonts w:ascii="Times New Roman" w:cs="Times New Roman" w:eastAsia="Times New Roman" w:hAnsi="Times New Roman"/>
          <w:sz w:val="25"/>
          <w:szCs w:val="25"/>
          <w:b w:val="1"/>
          <w:bCs w:val="1"/>
          <w:color w:val="auto"/>
        </w:rPr>
        <w:t xml:space="preserve">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9"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ntroduction</w:t>
      </w:r>
    </w:p>
    <w:p>
      <w:pPr>
        <w:spacing w:after="0" w:line="204"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0"/>
          <w:szCs w:val="20"/>
          <w:color w:val="auto"/>
        </w:rPr>
        <w:t xml:space="preserve">This policy determines acceptable transactions in the securities of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learside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iomedical</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by our employees, directors and consultants. During the course of your employment, directorship or consultancy with the Company, you may receive important information that is not yet publicly available about the Company or about other publicly-traded companies with which the Company has business dealings (“</w:t>
      </w:r>
      <w:r>
        <w:rPr>
          <w:rFonts w:ascii="Times New Roman" w:cs="Times New Roman" w:eastAsia="Times New Roman" w:hAnsi="Times New Roman"/>
          <w:sz w:val="20"/>
          <w:szCs w:val="20"/>
          <w:b w:val="1"/>
          <w:bCs w:val="1"/>
          <w:i w:val="1"/>
          <w:iCs w:val="1"/>
          <w:color w:val="auto"/>
        </w:rPr>
        <w:t>inside information</w:t>
      </w:r>
      <w:r>
        <w:rPr>
          <w:rFonts w:ascii="Times New Roman" w:cs="Times New Roman" w:eastAsia="Times New Roman" w:hAnsi="Times New Roman"/>
          <w:sz w:val="20"/>
          <w:szCs w:val="20"/>
          <w:color w:val="auto"/>
        </w:rPr>
        <w:t>”). Because of your access to this inside information, you may be in a position to profit financially by buying or selling, or in some other way dealing, in the Company’s stock, or stock of another publicly-traded company, or to disclose such information to a third party who does so profit (a “</w:t>
      </w:r>
      <w:r>
        <w:rPr>
          <w:rFonts w:ascii="Times New Roman" w:cs="Times New Roman" w:eastAsia="Times New Roman" w:hAnsi="Times New Roman"/>
          <w:sz w:val="20"/>
          <w:szCs w:val="20"/>
          <w:b w:val="1"/>
          <w:bCs w:val="1"/>
          <w:i w:val="1"/>
          <w:iCs w:val="1"/>
          <w:color w:val="auto"/>
        </w:rPr>
        <w:t>tippee</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06" w:lineRule="exact"/>
        <w:rPr>
          <w:rFonts w:ascii="Times New Roman" w:cs="Times New Roman" w:eastAsia="Times New Roman" w:hAnsi="Times New Roman"/>
          <w:sz w:val="22"/>
          <w:szCs w:val="22"/>
          <w:b w:val="1"/>
          <w:bCs w:val="1"/>
          <w:color w:val="auto"/>
        </w:rPr>
      </w:pPr>
    </w:p>
    <w:p>
      <w:pPr>
        <w:ind w:left="1500" w:hanging="369"/>
        <w:spacing w:after="0"/>
        <w:tabs>
          <w:tab w:leader="none" w:pos="1500" w:val="left"/>
        </w:tabs>
        <w:numPr>
          <w:ilvl w:val="1"/>
          <w:numId w:val="4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Securities Transactions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Use of inside information by someone for personal gain, or to pass on, or “tip,” the inside information to someone who uses it for personal gain, is illegal, regardless of the quantity of shares, and is therefore prohibited. You can be held liable both for your own transactions and for transactions effected by a tippee, or even a tippee of a tippee. Furthermore, it is important that the appearance of insider trading in securities be avoided. The only exception is that transactions directly with the Company, </w:t>
      </w:r>
      <w:r>
        <w:rPr>
          <w:rFonts w:ascii="Times New Roman" w:cs="Times New Roman" w:eastAsia="Times New Roman" w:hAnsi="Times New Roman"/>
          <w:sz w:val="22"/>
          <w:szCs w:val="22"/>
          <w:i w:val="1"/>
          <w:iCs w:val="1"/>
          <w:color w:val="auto"/>
        </w:rPr>
        <w:t xml:space="preserve">e.g., </w:t>
      </w:r>
      <w:r>
        <w:rPr>
          <w:rFonts w:ascii="Times New Roman" w:cs="Times New Roman" w:eastAsia="Times New Roman" w:hAnsi="Times New Roman"/>
          <w:sz w:val="22"/>
          <w:szCs w:val="22"/>
          <w:color w:val="auto"/>
        </w:rPr>
        <w:t>option exercises for cash or purchases under the Company’s employee stock purchase plan, are permitted. However,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subsequent sale (including the sale of shares in a cashless exercise program) or other disposition of such stock is fully subject to these restrictions.</w:t>
      </w:r>
    </w:p>
    <w:p>
      <w:pPr>
        <w:spacing w:after="0" w:line="179" w:lineRule="exact"/>
        <w:rPr>
          <w:sz w:val="20"/>
          <w:szCs w:val="20"/>
          <w:color w:val="auto"/>
        </w:rPr>
      </w:pPr>
    </w:p>
    <w:p>
      <w:pPr>
        <w:ind w:left="1140"/>
        <w:spacing w:after="0"/>
        <w:tabs>
          <w:tab w:leader="none" w:pos="1480" w:val="left"/>
        </w:tabs>
        <w:rPr>
          <w:sz w:val="20"/>
          <w:szCs w:val="20"/>
          <w:color w:val="auto"/>
        </w:rPr>
      </w:pPr>
      <w:r>
        <w:rPr>
          <w:rFonts w:ascii="Times New Roman" w:cs="Times New Roman" w:eastAsia="Times New Roman" w:hAnsi="Times New Roman"/>
          <w:sz w:val="22"/>
          <w:szCs w:val="22"/>
          <w:i w:val="1"/>
          <w:iCs w:val="1"/>
          <w:color w:val="auto"/>
        </w:rPr>
        <w:t>B.</w:t>
      </w:r>
      <w:r>
        <w:rPr>
          <w:sz w:val="20"/>
          <w:szCs w:val="20"/>
          <w:color w:val="auto"/>
        </w:rPr>
        <w:tab/>
      </w:r>
      <w:r>
        <w:rPr>
          <w:rFonts w:ascii="Times New Roman" w:cs="Times New Roman" w:eastAsia="Times New Roman" w:hAnsi="Times New Roman"/>
          <w:sz w:val="21"/>
          <w:szCs w:val="21"/>
          <w:i w:val="1"/>
          <w:iCs w:val="1"/>
          <w:color w:val="auto"/>
        </w:rPr>
        <w:t>Inside Information</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As a practical matter, it is sometimes difficult to determine whether you possess inside information. The key to determining whether nonpublic information you possess about a public company is inside information is whether dissemination of the information would likely affect the market price of the company’s stock or would likely be considered important, or “material,” by investors who are considering trading in that company’s stock. Certainly, if the information makes you want to trade, it would probably have the same effect on others. Remember, both positive and negative information can be material. If you possess inside information, you may not trade in a company’s stock, advise anyone else to do so or communicate the information to anyone else until you know that the information has been publicly disseminated.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w:t>
      </w:r>
    </w:p>
    <w:p>
      <w:pPr>
        <w:spacing w:after="0" w:line="200" w:lineRule="exact"/>
        <w:rPr>
          <w:sz w:val="20"/>
          <w:szCs w:val="20"/>
          <w:color w:val="auto"/>
        </w:rPr>
      </w:pPr>
    </w:p>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2" w:name="page113"/>
    <w:bookmarkEnd w:id="112"/>
    <w:p>
      <w:pPr>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w:t>
      </w:r>
      <w:r>
        <w:rPr>
          <w:rFonts w:ascii="Times New Roman" w:cs="Times New Roman" w:eastAsia="Times New Roman" w:hAnsi="Times New Roman"/>
          <w:sz w:val="22"/>
          <w:szCs w:val="22"/>
          <w:color w:val="auto"/>
        </w:rPr>
        <w:t>” includes engaging in short sales, transactions in put or call options, hedging transactions and other inherently speculative transactions.</w:t>
      </w:r>
    </w:p>
    <w:p>
      <w:pPr>
        <w:spacing w:after="0" w:line="15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Although by no means an all-inclusive list, information about the following items may be considered to be inside information until it is publicly disseminated:</w:t>
      </w:r>
    </w:p>
    <w:p>
      <w:pPr>
        <w:spacing w:after="0" w:line="158"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financial results or forecasts;</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communications with government agencies;</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strategic plans;</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discovery and development of new product candidates;</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acquisitions or dispositions of assets, divisions, companies, etc.;</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pending public or private sales of debt or equity securities;</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declaration of stock splits, dividends or changes in dividend policy;</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major contract awards or cancellations;</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top management or control changes;</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possible tender offers or proxy fights;</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significant writeoffs;</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significant litigation;</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impending bankruptcy;</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gain or loss of significant partners, customers or suppliers;</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pricing changes or discount policies;</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corporate partner relationships; and</w:t>
      </w:r>
    </w:p>
    <w:p>
      <w:pPr>
        <w:spacing w:after="0" w:line="20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notice of issuance of patents.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For information to be considered publicly disseminated, it must be widely disclosed through a press release or SEC filing, and a sufficient amount of time must have passed to allow the information to be fully disclosed. Generally speaking, information will be considered publicly disseminated after two full trading days have elapsed since the date of public disclosure of the information. For example, if an announcement of inside information of which you were aware was made prior to trading on Wednesday, then you may execute a transaction in the Company’s securities on Friday.</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13" w:name="page114"/>
    <w:bookmarkEnd w:id="113"/>
    <w:p>
      <w:pPr>
        <w:ind w:left="760" w:hanging="378"/>
        <w:spacing w:after="0"/>
        <w:tabs>
          <w:tab w:leader="none" w:pos="7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 by</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irectors and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mployees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Because employees and directors of the Company are the most visible to the public and are most likely, in the view of the public, to possess inside information about the Company, we require them to do more than refrain from insider trading and require that they notify, and receive approval from, a Clearing Officer (as defined below) prior to engaging in transactions in the Company’s stock and observe other restrictions designed to minimize the risk of apparent or actual insider trading. Pursuant to this policy, it is the Company’s policy to comply with applicable laws and regulations relating to insider trading when engaging in transactions in the Company’s securities.</w:t>
      </w:r>
    </w:p>
    <w:p>
      <w:pPr>
        <w:spacing w:after="0" w:line="177" w:lineRule="exact"/>
        <w:rPr>
          <w:sz w:val="20"/>
          <w:szCs w:val="20"/>
          <w:color w:val="auto"/>
        </w:rPr>
      </w:pPr>
    </w:p>
    <w:p>
      <w:pPr>
        <w:ind w:left="1140"/>
        <w:spacing w:after="0"/>
        <w:tabs>
          <w:tab w:leader="none" w:pos="1480" w:val="left"/>
        </w:tabs>
        <w:rPr>
          <w:sz w:val="20"/>
          <w:szCs w:val="20"/>
          <w:color w:val="auto"/>
        </w:rPr>
      </w:pPr>
      <w:r>
        <w:rPr>
          <w:rFonts w:ascii="Times New Roman" w:cs="Times New Roman" w:eastAsia="Times New Roman" w:hAnsi="Times New Roman"/>
          <w:sz w:val="22"/>
          <w:szCs w:val="22"/>
          <w:i w:val="1"/>
          <w:iCs w:val="1"/>
          <w:color w:val="auto"/>
        </w:rPr>
        <w:t>A.</w:t>
      </w:r>
      <w:r>
        <w:rPr>
          <w:sz w:val="20"/>
          <w:szCs w:val="20"/>
          <w:color w:val="auto"/>
        </w:rPr>
        <w:tab/>
      </w:r>
      <w:r>
        <w:rPr>
          <w:rFonts w:ascii="Times New Roman" w:cs="Times New Roman" w:eastAsia="Times New Roman" w:hAnsi="Times New Roman"/>
          <w:sz w:val="21"/>
          <w:szCs w:val="21"/>
          <w:i w:val="1"/>
          <w:iCs w:val="1"/>
          <w:color w:val="auto"/>
        </w:rPr>
        <w:t>Covered Insiders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provisions outlined in this stock trading policy apply to all directors and employees of the Company. Generally, any entities or family members whose trading activities are controlled or influenced by any of such persons should be considered to be subject to the same restrictions. The foregoing persons who are deemed subject to this policy are referred to in this policy as “</w:t>
      </w:r>
      <w:r>
        <w:rPr>
          <w:rFonts w:ascii="Times New Roman" w:cs="Times New Roman" w:eastAsia="Times New Roman" w:hAnsi="Times New Roman"/>
          <w:sz w:val="22"/>
          <w:szCs w:val="22"/>
          <w:b w:val="1"/>
          <w:bCs w:val="1"/>
          <w:i w:val="1"/>
          <w:iCs w:val="1"/>
          <w:color w:val="auto"/>
        </w:rPr>
        <w:t>Related Persons</w:t>
      </w:r>
      <w:r>
        <w:rPr>
          <w:rFonts w:ascii="Times New Roman" w:cs="Times New Roman" w:eastAsia="Times New Roman" w:hAnsi="Times New Roman"/>
          <w:sz w:val="22"/>
          <w:szCs w:val="22"/>
          <w:color w:val="auto"/>
        </w:rPr>
        <w:t>.” You are responsible for making sure that your Related Persons comply with this policy.</w:t>
      </w:r>
    </w:p>
    <w:p>
      <w:pPr>
        <w:spacing w:after="0" w:line="176" w:lineRule="exact"/>
        <w:rPr>
          <w:sz w:val="20"/>
          <w:szCs w:val="20"/>
          <w:color w:val="auto"/>
        </w:rPr>
      </w:pPr>
    </w:p>
    <w:p>
      <w:pPr>
        <w:ind w:left="1140"/>
        <w:spacing w:after="0"/>
        <w:tabs>
          <w:tab w:leader="none" w:pos="1480" w:val="left"/>
        </w:tabs>
        <w:rPr>
          <w:sz w:val="20"/>
          <w:szCs w:val="20"/>
          <w:color w:val="auto"/>
        </w:rPr>
      </w:pPr>
      <w:r>
        <w:rPr>
          <w:rFonts w:ascii="Times New Roman" w:cs="Times New Roman" w:eastAsia="Times New Roman" w:hAnsi="Times New Roman"/>
          <w:sz w:val="22"/>
          <w:szCs w:val="22"/>
          <w:i w:val="1"/>
          <w:iCs w:val="1"/>
          <w:color w:val="auto"/>
        </w:rPr>
        <w:t>B.</w:t>
      </w:r>
      <w:r>
        <w:rPr>
          <w:sz w:val="20"/>
          <w:szCs w:val="20"/>
          <w:color w:val="auto"/>
        </w:rPr>
        <w:tab/>
      </w:r>
      <w:r>
        <w:rPr>
          <w:rFonts w:ascii="Times New Roman" w:cs="Times New Roman" w:eastAsia="Times New Roman" w:hAnsi="Times New Roman"/>
          <w:sz w:val="21"/>
          <w:szCs w:val="21"/>
          <w:i w:val="1"/>
          <w:iCs w:val="1"/>
          <w:color w:val="auto"/>
        </w:rPr>
        <w:t>Trading Blackouts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From time to time, an event may occur that is material to the Company and is known by only a few directors and/or employees. So long as the event remains material and nonpublic, the persons designated by the Chief Executive Officer, Chief Financial Officer or General Counsel 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 Exceptions will not be granted during an event-specific trading blackout.</w:t>
      </w:r>
    </w:p>
    <w:p>
      <w:pPr>
        <w:spacing w:after="0" w:line="17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event-driven trading blackouts do not apply to those transactions to which this policy does not apply, as described under the heading “Exceptions to Trading Blackouts” below.</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As of the effective date of this policy, the Company has not instituted an earnings window period. In the event the Company institutes an earnings window period after the effective date of this policy, subject to certain exceptions, directors and employees will be permitted to trade only during a “</w:t>
      </w:r>
      <w:r>
        <w:rPr>
          <w:rFonts w:ascii="Times New Roman" w:cs="Times New Roman" w:eastAsia="Times New Roman" w:hAnsi="Times New Roman"/>
          <w:sz w:val="22"/>
          <w:szCs w:val="22"/>
          <w:b w:val="1"/>
          <w:bCs w:val="1"/>
          <w:i w:val="1"/>
          <w:iCs w:val="1"/>
          <w:color w:val="auto"/>
        </w:rPr>
        <w:t>window period</w:t>
      </w:r>
      <w:r>
        <w:rPr>
          <w:rFonts w:ascii="Times New Roman" w:cs="Times New Roman" w:eastAsia="Times New Roman" w:hAnsi="Times New Roman"/>
          <w:sz w:val="22"/>
          <w:szCs w:val="22"/>
          <w:color w:val="auto"/>
        </w:rPr>
        <w:t>” that opens after a specified number of trading days have elapsed after the public dissemination of the Company’s annual or quarterly financial results and closes a specified number of days before the end of the quarter.</w:t>
      </w:r>
    </w:p>
    <w:p>
      <w:pPr>
        <w:spacing w:after="0" w:line="173" w:lineRule="exact"/>
        <w:rPr>
          <w:sz w:val="20"/>
          <w:szCs w:val="20"/>
          <w:color w:val="auto"/>
        </w:rPr>
      </w:pPr>
    </w:p>
    <w:p>
      <w:pPr>
        <w:ind w:left="1500" w:hanging="369"/>
        <w:spacing w:after="0"/>
        <w:tabs>
          <w:tab w:leader="none" w:pos="1500" w:val="left"/>
        </w:tabs>
        <w:numPr>
          <w:ilvl w:val="1"/>
          <w:numId w:val="5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Exceptions to Trading Blackouts</w:t>
      </w:r>
    </w:p>
    <w:p>
      <w:pPr>
        <w:spacing w:after="0" w:line="206" w:lineRule="exact"/>
        <w:rPr>
          <w:rFonts w:ascii="Times New Roman" w:cs="Times New Roman" w:eastAsia="Times New Roman" w:hAnsi="Times New Roman"/>
          <w:sz w:val="22"/>
          <w:szCs w:val="22"/>
          <w:i w:val="1"/>
          <w:iCs w:val="1"/>
          <w:color w:val="auto"/>
        </w:rPr>
      </w:pPr>
    </w:p>
    <w:p>
      <w:pPr>
        <w:jc w:val="both"/>
        <w:ind w:firstLine="8"/>
        <w:spacing w:after="0" w:line="246" w:lineRule="auto"/>
        <w:tabs>
          <w:tab w:leader="none" w:pos="509"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Option Exercises. </w:t>
      </w:r>
      <w:r>
        <w:rPr>
          <w:rFonts w:ascii="Times New Roman" w:cs="Times New Roman" w:eastAsia="Times New Roman" w:hAnsi="Times New Roman"/>
          <w:sz w:val="22"/>
          <w:szCs w:val="22"/>
          <w:color w:val="auto"/>
        </w:rPr>
        <w:t>Directors and employees may exercise options for cash granted under the Company’s stock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plans without restriction. However, the subsequent </w:t>
      </w:r>
      <w:r>
        <w:rPr>
          <w:rFonts w:ascii="Times New Roman" w:cs="Times New Roman" w:eastAsia="Times New Roman" w:hAnsi="Times New Roman"/>
          <w:sz w:val="22"/>
          <w:szCs w:val="22"/>
          <w:b w:val="1"/>
          <w:bCs w:val="1"/>
          <w:color w:val="auto"/>
        </w:rPr>
        <w:t>sale</w:t>
      </w:r>
      <w:r>
        <w:rPr>
          <w:rFonts w:ascii="Times New Roman" w:cs="Times New Roman" w:eastAsia="Times New Roman" w:hAnsi="Times New Roman"/>
          <w:sz w:val="22"/>
          <w:szCs w:val="22"/>
          <w:color w:val="auto"/>
        </w:rPr>
        <w:t xml:space="preserve"> of the stock (including sales of stock in a cashless exercise) acquired upon the exercise of options is subject to all provisions of this policy.</w:t>
      </w:r>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4" w:name="page115"/>
    <w:bookmarkEnd w:id="114"/>
    <w:p>
      <w:pPr>
        <w:jc w:val="both"/>
        <w:ind w:firstLine="8"/>
        <w:spacing w:after="0" w:line="234" w:lineRule="auto"/>
        <w:tabs>
          <w:tab w:leader="none" w:pos="509"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10b5-1 Automatic Trading Programs. </w:t>
      </w:r>
      <w:r>
        <w:rPr>
          <w:rFonts w:ascii="Times New Roman" w:cs="Times New Roman" w:eastAsia="Times New Roman" w:hAnsi="Times New Roman"/>
          <w:sz w:val="22"/>
          <w:szCs w:val="22"/>
          <w:color w:val="auto"/>
        </w:rPr>
        <w:t>In addition, purchases or sales of the Company’s securities made pursuant 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compliance with, a written plan established by a director or employee (a “</w:t>
      </w:r>
      <w:r>
        <w:rPr>
          <w:rFonts w:ascii="Times New Roman" w:cs="Times New Roman" w:eastAsia="Times New Roman" w:hAnsi="Times New Roman"/>
          <w:sz w:val="22"/>
          <w:szCs w:val="22"/>
          <w:b w:val="1"/>
          <w:bCs w:val="1"/>
          <w:i w:val="1"/>
          <w:iCs w:val="1"/>
          <w:color w:val="auto"/>
        </w:rPr>
        <w:t>Trading Plan</w:t>
      </w:r>
      <w:r>
        <w:rPr>
          <w:rFonts w:ascii="Times New Roman" w:cs="Times New Roman" w:eastAsia="Times New Roman" w:hAnsi="Times New Roman"/>
          <w:sz w:val="22"/>
          <w:szCs w:val="22"/>
          <w:color w:val="auto"/>
        </w:rPr>
        <w:t>”) that meets the requirements of Rule 10b5-1 under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may be made without restriction to any particular period provided that the Trading Plan is properly established. To be properly established, an employee’s or director’s Trading Plan must be established in compliance with the requirements of Rule 10b5-1 of the Exchange Act and the Company’s 10b5-1 trading plan guidelines (the “</w:t>
      </w:r>
      <w:r>
        <w:rPr>
          <w:rFonts w:ascii="Times New Roman" w:cs="Times New Roman" w:eastAsia="Times New Roman" w:hAnsi="Times New Roman"/>
          <w:sz w:val="22"/>
          <w:szCs w:val="22"/>
          <w:b w:val="1"/>
          <w:bCs w:val="1"/>
          <w:i w:val="1"/>
          <w:iCs w:val="1"/>
          <w:color w:val="auto"/>
        </w:rPr>
        <w:t>10b5-1 Guidelines</w:t>
      </w:r>
      <w:r>
        <w:rPr>
          <w:rFonts w:ascii="Times New Roman" w:cs="Times New Roman" w:eastAsia="Times New Roman" w:hAnsi="Times New Roman"/>
          <w:sz w:val="22"/>
          <w:szCs w:val="22"/>
          <w:color w:val="auto"/>
        </w:rPr>
        <w:t>”) at a time when they were unaware of any material nonpublic information relating to the Company and when the Company was not otherwise in a trading blackout period. Moreover, all Trading Plans must be reviewed and approved by the Company before being established to confirm that the Trading Plan complies with all pertinent company policies and applicable securities laws. Please see the 10b5-1 Guidelines for more information.</w:t>
      </w:r>
    </w:p>
    <w:p>
      <w:pPr>
        <w:spacing w:after="0" w:line="179"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ESPP</w:t>
      </w:r>
      <w:r>
        <w:rPr>
          <w:rFonts w:ascii="Times New Roman" w:cs="Times New Roman" w:eastAsia="Times New Roman" w:hAnsi="Times New Roman"/>
          <w:sz w:val="22"/>
          <w:szCs w:val="22"/>
          <w:color w:val="auto"/>
        </w:rPr>
        <w:t>. This policy does not apply to the purchase of stock by employees under the Company’s Employee Stock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w:t>
      </w:r>
      <w:r>
        <w:rPr>
          <w:rFonts w:ascii="Times New Roman" w:cs="Times New Roman" w:eastAsia="Times New Roman" w:hAnsi="Times New Roman"/>
          <w:sz w:val="22"/>
          <w:szCs w:val="22"/>
          <w:b w:val="1"/>
          <w:bCs w:val="1"/>
          <w:i w:val="1"/>
          <w:iCs w:val="1"/>
          <w:color w:val="auto"/>
        </w:rPr>
        <w:t>ESPP</w:t>
      </w:r>
      <w:r>
        <w:rPr>
          <w:rFonts w:ascii="Times New Roman" w:cs="Times New Roman" w:eastAsia="Times New Roman" w:hAnsi="Times New Roman"/>
          <w:sz w:val="22"/>
          <w:szCs w:val="22"/>
          <w:color w:val="auto"/>
        </w:rPr>
        <w:t>”) on periodic designated dates in accordance with the ESPP. This policy does, however, apply to any sale of stock acquired pursuant to the ESPP.</w:t>
      </w:r>
    </w:p>
    <w:p>
      <w:pPr>
        <w:spacing w:after="0" w:line="167" w:lineRule="exact"/>
        <w:rPr>
          <w:rFonts w:ascii="Times New Roman" w:cs="Times New Roman" w:eastAsia="Times New Roman" w:hAnsi="Times New Roman"/>
          <w:sz w:val="22"/>
          <w:szCs w:val="22"/>
          <w:b w:val="1"/>
          <w:bCs w:val="1"/>
          <w:color w:val="auto"/>
        </w:rPr>
      </w:pPr>
    </w:p>
    <w:p>
      <w:pPr>
        <w:jc w:val="both"/>
        <w:ind w:firstLine="8"/>
        <w:spacing w:after="0" w:line="237" w:lineRule="auto"/>
        <w:tabs>
          <w:tab w:leader="none" w:pos="509"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Withholding Transactions</w:t>
      </w:r>
      <w:r>
        <w:rPr>
          <w:rFonts w:ascii="Times New Roman" w:cs="Times New Roman" w:eastAsia="Times New Roman" w:hAnsi="Times New Roman"/>
          <w:sz w:val="22"/>
          <w:szCs w:val="22"/>
          <w:color w:val="auto"/>
        </w:rPr>
        <w:t>. This policy does not apply to the surrender of shares directly to the Company to satisfy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 withholding obligations as a result of the issuance of shares upon vesting or exercise of restricted stock units, options or other equity awards granted under of the Company equity compensation plans. Of course, any market sale of the stock received upon exercise or vesting of any such equity awards remains subject to all provisions of this policy whether or not for the purpose of generating the cash needed to pay the exercise price or pay taxes unless such sale is in accordance with a Trading Plan or a transaction that otherwise complies with the requirements of Rule 10b5-1 of the Exchange Act.</w:t>
      </w:r>
    </w:p>
    <w:p>
      <w:pPr>
        <w:spacing w:after="0" w:line="175" w:lineRule="exact"/>
        <w:rPr>
          <w:rFonts w:ascii="Times New Roman" w:cs="Times New Roman" w:eastAsia="Times New Roman" w:hAnsi="Times New Roman"/>
          <w:sz w:val="22"/>
          <w:szCs w:val="22"/>
          <w:b w:val="1"/>
          <w:bCs w:val="1"/>
          <w:color w:val="auto"/>
        </w:rPr>
      </w:pPr>
    </w:p>
    <w:p>
      <w:pPr>
        <w:jc w:val="both"/>
        <w:ind w:right="20" w:firstLine="8"/>
        <w:spacing w:after="0" w:line="246" w:lineRule="auto"/>
        <w:tabs>
          <w:tab w:leader="none" w:pos="509"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Domestic Relations Order</w:t>
      </w:r>
      <w:r>
        <w:rPr>
          <w:rFonts w:ascii="Times New Roman" w:cs="Times New Roman" w:eastAsia="Times New Roman" w:hAnsi="Times New Roman"/>
          <w:sz w:val="22"/>
          <w:szCs w:val="22"/>
          <w:color w:val="auto"/>
        </w:rPr>
        <w:t>. This policy does not apply to the acquisition or disposition of the Company’s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a domestic relations order, as defined in the Internal Revenue Code of 1986, as amended, or Title I of the Employee Retirement Income Security Act of 1974, as amended, or the rules thereunder.</w:t>
      </w:r>
    </w:p>
    <w:p>
      <w:pPr>
        <w:spacing w:after="0" w:line="167" w:lineRule="exact"/>
        <w:rPr>
          <w:sz w:val="20"/>
          <w:szCs w:val="20"/>
          <w:color w:val="auto"/>
        </w:rPr>
      </w:pPr>
    </w:p>
    <w:p>
      <w:pPr>
        <w:ind w:left="1140"/>
        <w:spacing w:after="0"/>
        <w:tabs>
          <w:tab w:leader="none" w:pos="1480" w:val="left"/>
        </w:tabs>
        <w:rPr>
          <w:sz w:val="20"/>
          <w:szCs w:val="20"/>
          <w:color w:val="auto"/>
        </w:rPr>
      </w:pPr>
      <w:r>
        <w:rPr>
          <w:rFonts w:ascii="Times New Roman" w:cs="Times New Roman" w:eastAsia="Times New Roman" w:hAnsi="Times New Roman"/>
          <w:sz w:val="22"/>
          <w:szCs w:val="22"/>
          <w:i w:val="1"/>
          <w:iCs w:val="1"/>
          <w:color w:val="auto"/>
        </w:rPr>
        <w:t>D.</w:t>
      </w:r>
      <w:r>
        <w:rPr>
          <w:sz w:val="20"/>
          <w:szCs w:val="20"/>
          <w:color w:val="auto"/>
        </w:rPr>
        <w:tab/>
      </w:r>
      <w:r>
        <w:rPr>
          <w:rFonts w:ascii="Times New Roman" w:cs="Times New Roman" w:eastAsia="Times New Roman" w:hAnsi="Times New Roman"/>
          <w:sz w:val="21"/>
          <w:szCs w:val="21"/>
          <w:i w:val="1"/>
          <w:iCs w:val="1"/>
          <w:color w:val="auto"/>
        </w:rPr>
        <w:t>Pre-Clearance and Advance Notice of Transactions</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addition to the requirements of paragraph B above, employees and directors may not engage in any transaction in the Company’s securities, including any purchase or sale in the open market, loan, or other transfer of beneficial ownership without first obtaining pre-clearance of the transaction from the Company’s Chief Financial Officer or General Counsel or a designee appointed by the Chief Financial Officer or General Counsel (each, a “</w:t>
      </w:r>
      <w:r>
        <w:rPr>
          <w:rFonts w:ascii="Times New Roman" w:cs="Times New Roman" w:eastAsia="Times New Roman" w:hAnsi="Times New Roman"/>
          <w:sz w:val="22"/>
          <w:szCs w:val="22"/>
          <w:b w:val="1"/>
          <w:bCs w:val="1"/>
          <w:i w:val="1"/>
          <w:iCs w:val="1"/>
          <w:color w:val="auto"/>
        </w:rPr>
        <w:t>Clearing Officer</w:t>
      </w:r>
      <w:r>
        <w:rPr>
          <w:rFonts w:ascii="Times New Roman" w:cs="Times New Roman" w:eastAsia="Times New Roman" w:hAnsi="Times New Roman"/>
          <w:sz w:val="22"/>
          <w:szCs w:val="22"/>
          <w:color w:val="auto"/>
        </w:rPr>
        <w:t>”) by submitting the applicable form attached hereto as Exhibit A at least two business days in advance of the proposed transaction. The Clearing Officer will then determine whether the transaction may proceed and, if so, will direct the Compliance Coordinator (as identified in the Company’s Section 16 Compliance Program) to assist in complying with the reporting requirements under Section 16(a) of the Exchange Act, if any. Pre-cleared transactions not completed within ten business days shall require new pre-clearance under the provisions of this paragraph. The Company may, at its discretion, shorten such period of time.</w:t>
      </w:r>
    </w:p>
    <w:p>
      <w:pPr>
        <w:spacing w:after="0" w:line="200" w:lineRule="exact"/>
        <w:rPr>
          <w:sz w:val="20"/>
          <w:szCs w:val="20"/>
          <w:color w:val="auto"/>
        </w:rPr>
      </w:pPr>
    </w:p>
    <w:p>
      <w:pPr>
        <w:spacing w:after="0" w:line="3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5" w:name="page116"/>
    <w:bookmarkEnd w:id="115"/>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Advance notice of gifts or an intent to exercise an outstanding stock option shall be given to a Clearing Officer. To the extent possible, advance notice of upcoming transactions to be effected pursuant to an established Trading Plan under Section III.C.2 above shall also be given to a Clearing Officer. Upon completion of any transaction, an executive officer or director must immediately notify the Compliance Coordinator and any other individuals identified in Section 3 of the Company’s Section 16 Compliance Program so that the Company may assist in any Section 16 reporting obligations.</w:t>
      </w:r>
    </w:p>
    <w:p>
      <w:pPr>
        <w:spacing w:after="0" w:line="173" w:lineRule="exact"/>
        <w:rPr>
          <w:sz w:val="20"/>
          <w:szCs w:val="20"/>
          <w:color w:val="auto"/>
        </w:rPr>
      </w:pPr>
    </w:p>
    <w:p>
      <w:pPr>
        <w:ind w:left="1140"/>
        <w:spacing w:after="0"/>
        <w:tabs>
          <w:tab w:leader="none" w:pos="1480" w:val="left"/>
        </w:tabs>
        <w:rPr>
          <w:sz w:val="20"/>
          <w:szCs w:val="20"/>
          <w:color w:val="auto"/>
        </w:rPr>
      </w:pPr>
      <w:r>
        <w:rPr>
          <w:rFonts w:ascii="Times New Roman" w:cs="Times New Roman" w:eastAsia="Times New Roman" w:hAnsi="Times New Roman"/>
          <w:sz w:val="22"/>
          <w:szCs w:val="22"/>
          <w:i w:val="1"/>
          <w:iCs w:val="1"/>
          <w:color w:val="auto"/>
        </w:rPr>
        <w:t>E.</w:t>
      </w:r>
      <w:r>
        <w:rPr>
          <w:sz w:val="20"/>
          <w:szCs w:val="20"/>
          <w:color w:val="auto"/>
        </w:rPr>
        <w:tab/>
      </w:r>
      <w:r>
        <w:rPr>
          <w:rFonts w:ascii="Times New Roman" w:cs="Times New Roman" w:eastAsia="Times New Roman" w:hAnsi="Times New Roman"/>
          <w:sz w:val="21"/>
          <w:szCs w:val="21"/>
          <w:i w:val="1"/>
          <w:iCs w:val="1"/>
          <w:color w:val="auto"/>
        </w:rPr>
        <w:t>Prohibition of Speculative or Short-term Trading</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 employee or director may engage in short sales, transactions in put or call options, hedging transactions, margin accounts or other inherently speculative transactions with respect to the Company’s stock at any time.</w:t>
      </w:r>
    </w:p>
    <w:p>
      <w:pPr>
        <w:spacing w:after="0" w:line="154" w:lineRule="exact"/>
        <w:rPr>
          <w:sz w:val="20"/>
          <w:szCs w:val="20"/>
          <w:color w:val="auto"/>
        </w:rPr>
      </w:pPr>
    </w:p>
    <w:p>
      <w:pPr>
        <w:ind w:left="1140"/>
        <w:spacing w:after="0"/>
        <w:tabs>
          <w:tab w:leader="none" w:pos="1480" w:val="left"/>
        </w:tabs>
        <w:rPr>
          <w:sz w:val="20"/>
          <w:szCs w:val="20"/>
          <w:color w:val="auto"/>
        </w:rPr>
      </w:pPr>
      <w:r>
        <w:rPr>
          <w:rFonts w:ascii="Times New Roman" w:cs="Times New Roman" w:eastAsia="Times New Roman" w:hAnsi="Times New Roman"/>
          <w:sz w:val="22"/>
          <w:szCs w:val="22"/>
          <w:i w:val="1"/>
          <w:iCs w:val="1"/>
          <w:color w:val="auto"/>
        </w:rPr>
        <w:t>F.</w:t>
      </w:r>
      <w:r>
        <w:rPr>
          <w:sz w:val="20"/>
          <w:szCs w:val="20"/>
          <w:color w:val="auto"/>
        </w:rPr>
        <w:tab/>
      </w:r>
      <w:r>
        <w:rPr>
          <w:rFonts w:ascii="Times New Roman" w:cs="Times New Roman" w:eastAsia="Times New Roman" w:hAnsi="Times New Roman"/>
          <w:sz w:val="21"/>
          <w:szCs w:val="21"/>
          <w:i w:val="1"/>
          <w:iCs w:val="1"/>
          <w:color w:val="auto"/>
        </w:rPr>
        <w:t>Short-Swing Trading/Control Stock/Section 16 Reports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Executive 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spacing w:after="0" w:line="173" w:lineRule="exact"/>
        <w:rPr>
          <w:sz w:val="20"/>
          <w:szCs w:val="20"/>
          <w:color w:val="auto"/>
        </w:rPr>
      </w:pPr>
    </w:p>
    <w:p>
      <w:pPr>
        <w:ind w:left="1140"/>
        <w:spacing w:after="0"/>
        <w:tabs>
          <w:tab w:leader="none" w:pos="1480" w:val="left"/>
        </w:tabs>
        <w:rPr>
          <w:sz w:val="20"/>
          <w:szCs w:val="20"/>
          <w:color w:val="auto"/>
        </w:rPr>
      </w:pPr>
      <w:r>
        <w:rPr>
          <w:rFonts w:ascii="Times New Roman" w:cs="Times New Roman" w:eastAsia="Times New Roman" w:hAnsi="Times New Roman"/>
          <w:sz w:val="22"/>
          <w:szCs w:val="22"/>
          <w:i w:val="1"/>
          <w:iCs w:val="1"/>
          <w:color w:val="auto"/>
        </w:rPr>
        <w:t>G.</w:t>
      </w:r>
      <w:r>
        <w:rPr>
          <w:sz w:val="20"/>
          <w:szCs w:val="20"/>
          <w:color w:val="auto"/>
        </w:rPr>
        <w:tab/>
      </w:r>
      <w:r>
        <w:rPr>
          <w:rFonts w:ascii="Times New Roman" w:cs="Times New Roman" w:eastAsia="Times New Roman" w:hAnsi="Times New Roman"/>
          <w:sz w:val="21"/>
          <w:szCs w:val="21"/>
          <w:i w:val="1"/>
          <w:iCs w:val="1"/>
          <w:color w:val="auto"/>
        </w:rPr>
        <w:t>Prohibition of Trading During Pension Fund Blackouts</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In accordance with Regulation BTR under the Exchange Act, no director or executive officer of the Company shall, directly or indirectly, purchase, sell or otherwise acquire or transfer any equity security of the Company (other than an exempt security) during any “blackout period’’ (as defined in Regulation BTR) with respect to such equity security, if such director or executive officer acquires or previously acquired such equity security in connection with his or her service or employment as a director or executive officer. This prohibition shall not apply to any transactions that are specifically exempted from Section 306(a)(1) of the Sarbanes-Oxley Act of 2002 (as set forth in Regulation BTR), including but not limited to, purchases or sales of the Company’s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acquisitions or dispositions of equity securities involving a bona fide gift or by will or the laws of descent or pursuant to a domestic relations order; etc. The Company shall timely notify each director and executive officer of any blackout periods in accordance with the provisions of Regulation BTR.</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IV. Duration of Policy’s Applicability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policy continues to apply to your transactions in the Company’s stock or the stock of other public companies engaged in business transactions with the Company even after your employment or directorship with the Company has terminated. If you are in possession of inside information when your relationship with the Company concludes, you may not trade in the</w:t>
      </w:r>
    </w:p>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6" w:name="page117"/>
    <w:bookmarkEnd w:id="116"/>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Company’s stock or the stock of such other company until the information has been publicly disseminated or is no longer material.</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V.  Individual Responsibility</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Persons subject to this policy have ethical and legal obligations to maintain the confidentiality of information about the Company and to not engage in transactions in the Company’s securities or the securities of other applicable public companies while aware of material nonpublic information, as more specifically set forth in this policy. Each individual is responsible for making sure that he or she complies with this policy, and that any family member, household member or other person or entity whose transactions are subject to this policy, as discussed under the heading “Covered Insiders” above, also comply with this policy. In all cases, the responsibility for determining whether an individual is aware of material nonpublic information rests with that individual, and any action on the part of the Company or any employee or director of the Company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See “Penalties” below.</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VI. Penalties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An employee, director or consultant who has questions about this policy should contact his or her own attorney or the Clearing Officer of the Company.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VII.Amendments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Company is committed to continuously reviewing and updating its policies and procedures. The Company therefore reserves the right to amend, alter or terminate this policy at any time and for any reason. A current copy of the Company’s policies regarding insider trading may be obtained by contacting the Compliance Coordinator.</w:t>
      </w:r>
    </w:p>
    <w:p>
      <w:pPr>
        <w:spacing w:after="0" w:line="200" w:lineRule="exact"/>
        <w:rPr>
          <w:sz w:val="20"/>
          <w:szCs w:val="20"/>
          <w:color w:val="auto"/>
        </w:rPr>
      </w:pPr>
    </w:p>
    <w:p>
      <w:pPr>
        <w:spacing w:after="0" w:line="3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ind w:left="4140"/>
        <w:spacing w:after="0"/>
        <w:rPr>
          <w:sz w:val="20"/>
          <w:szCs w:val="20"/>
          <w:color w:val="auto"/>
        </w:rPr>
      </w:pPr>
      <w:r>
        <w:rPr>
          <w:rFonts w:ascii="Times New Roman" w:cs="Times New Roman" w:eastAsia="Times New Roman" w:hAnsi="Times New Roman"/>
          <w:sz w:val="25"/>
          <w:szCs w:val="25"/>
          <w:b w:val="1"/>
          <w:bCs w:val="1"/>
          <w:color w:val="auto"/>
        </w:rPr>
        <w:t>C</w:t>
      </w:r>
      <w:r>
        <w:rPr>
          <w:rFonts w:ascii="Times New Roman" w:cs="Times New Roman" w:eastAsia="Times New Roman" w:hAnsi="Times New Roman"/>
          <w:sz w:val="17"/>
          <w:szCs w:val="17"/>
          <w:b w:val="1"/>
          <w:bCs w:val="1"/>
          <w:color w:val="auto"/>
        </w:rPr>
        <w:t>learside</w:t>
      </w:r>
      <w:r>
        <w:rPr>
          <w:rFonts w:ascii="Times New Roman" w:cs="Times New Roman" w:eastAsia="Times New Roman" w:hAnsi="Times New Roman"/>
          <w:sz w:val="25"/>
          <w:szCs w:val="25"/>
          <w:b w:val="1"/>
          <w:bCs w:val="1"/>
          <w:color w:val="auto"/>
        </w:rPr>
        <w:t xml:space="preserve"> B</w:t>
      </w:r>
      <w:r>
        <w:rPr>
          <w:rFonts w:ascii="Times New Roman" w:cs="Times New Roman" w:eastAsia="Times New Roman" w:hAnsi="Times New Roman"/>
          <w:sz w:val="17"/>
          <w:szCs w:val="17"/>
          <w:b w:val="1"/>
          <w:bCs w:val="1"/>
          <w:color w:val="auto"/>
        </w:rPr>
        <w:t>iomedical</w:t>
      </w:r>
      <w:r>
        <w:rPr>
          <w:rFonts w:ascii="Times New Roman" w:cs="Times New Roman" w:eastAsia="Times New Roman" w:hAnsi="Times New Roman"/>
          <w:sz w:val="25"/>
          <w:szCs w:val="25"/>
          <w:b w:val="1"/>
          <w:bCs w:val="1"/>
          <w:color w:val="auto"/>
        </w:rPr>
        <w:t>,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2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I</w:t>
      </w:r>
      <w:r>
        <w:rPr>
          <w:rFonts w:ascii="Times New Roman" w:cs="Times New Roman" w:eastAsia="Times New Roman" w:hAnsi="Times New Roman"/>
          <w:sz w:val="17"/>
          <w:szCs w:val="17"/>
          <w:b w:val="1"/>
          <w:bCs w:val="1"/>
          <w:color w:val="auto"/>
        </w:rPr>
        <w:t>nsider</w:t>
      </w:r>
      <w:r>
        <w:rPr>
          <w:rFonts w:ascii="Times New Roman" w:cs="Times New Roman" w:eastAsia="Times New Roman" w:hAnsi="Times New Roman"/>
          <w:sz w:val="25"/>
          <w:szCs w:val="25"/>
          <w:b w:val="1"/>
          <w:bCs w:val="1"/>
          <w:color w:val="auto"/>
        </w:rPr>
        <w:t xml:space="preserve"> T</w:t>
      </w:r>
      <w:r>
        <w:rPr>
          <w:rFonts w:ascii="Times New Roman" w:cs="Times New Roman" w:eastAsia="Times New Roman" w:hAnsi="Times New Roman"/>
          <w:sz w:val="17"/>
          <w:szCs w:val="17"/>
          <w:b w:val="1"/>
          <w:bCs w:val="1"/>
          <w:color w:val="auto"/>
        </w:rPr>
        <w:t>rading</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olicy</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learside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iomedical</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I, ________________________, have received and read a copy of the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learside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iomedical</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Insider Trading</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Policy. I hereby agree to comply with the specific requirements of the policy in all respects during my employment or other service relationship with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learside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iomedical</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 understand that this policy constitutes a material term of my employment or other service relationship with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learside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iomedical</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(or a subsidiary thereof) and that my failure to comply in all respects with the policy is a basis for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274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74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74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8" w:name="page119"/>
    <w:bookmarkEnd w:id="118"/>
    <w:p>
      <w:pPr>
        <w:jc w:val="center"/>
        <w:ind w:right="-39"/>
        <w:spacing w:after="0"/>
        <w:rPr>
          <w:sz w:val="20"/>
          <w:szCs w:val="20"/>
          <w:color w:val="auto"/>
        </w:rPr>
      </w:pPr>
      <w:r>
        <w:rPr>
          <w:rFonts w:ascii="Times New Roman" w:cs="Times New Roman" w:eastAsia="Times New Roman" w:hAnsi="Times New Roman"/>
          <w:sz w:val="22"/>
          <w:szCs w:val="22"/>
          <w:color w:val="auto"/>
        </w:rPr>
        <w:t>Exhibit A</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Pre-Clearance Form for Directors and Executive Officers</w:t>
      </w:r>
    </w:p>
    <w:p>
      <w:pPr>
        <w:spacing w:after="0" w:line="2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u w:val="single" w:color="auto"/>
          <w:color w:val="auto"/>
        </w:rPr>
        <w:t>REQUESTED INFORMATION FOR DIRECTOR OR EXECUTIVE OFFICER STOCK SALES OR PURCHASES</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______________________________</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______________________________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Transaction (eg., sale or purchase): ______________________________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Proposed date of transaction: ______________________________</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shares covered by proposed transaction: ______________________________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Price at which the transaction is proposed: ______________________________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Current market price: ______________________________</w:t>
      </w:r>
    </w:p>
    <w:p>
      <w:pPr>
        <w:spacing w:after="0" w:line="18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Please provide copies of broker and seller representation letters, as well as completed Form 144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HEREBY REPRESENT THAT:</w:t>
      </w:r>
    </w:p>
    <w:p>
      <w:pPr>
        <w:spacing w:after="0" w:line="175"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am not aware of any material information regarding Clearside Biomedical, Inc. (“Company”) that has not been publicly disclosed.</w:t>
      </w:r>
    </w:p>
    <w:p>
      <w:pPr>
        <w:spacing w:after="0" w:line="119" w:lineRule="exact"/>
        <w:rPr>
          <w:rFonts w:ascii="Times New Roman" w:cs="Times New Roman" w:eastAsia="Times New Roman" w:hAnsi="Times New Roman"/>
          <w:sz w:val="19"/>
          <w:szCs w:val="19"/>
          <w:color w:val="auto"/>
        </w:rPr>
      </w:pPr>
    </w:p>
    <w:p>
      <w:pPr>
        <w:ind w:left="760" w:right="180" w:hanging="378"/>
        <w:spacing w:after="0" w:line="254" w:lineRule="auto"/>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I become aware of any material non-public information regarding Company after making this representation but before executing the transaction for which I am requesting pre-clearance, I will inform Company’s Compliance Officer and will refrain from executing the transaction until such information becomes public and I have obtained a new pre-clearance.</w:t>
      </w:r>
    </w:p>
    <w:p>
      <w:pPr>
        <w:spacing w:after="0" w:line="66" w:lineRule="exact"/>
        <w:rPr>
          <w:rFonts w:ascii="Times New Roman" w:cs="Times New Roman" w:eastAsia="Times New Roman" w:hAnsi="Times New Roman"/>
          <w:sz w:val="20"/>
          <w:szCs w:val="20"/>
          <w:color w:val="auto"/>
        </w:rPr>
      </w:pPr>
    </w:p>
    <w:p>
      <w:pPr>
        <w:ind w:left="760" w:right="100" w:hanging="378"/>
        <w:spacing w:after="0" w:line="269" w:lineRule="auto"/>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execute the transaction for which I am requesting pre-clearance no later than the earlier of ten days after the pre-clearance is given. If the transaction is not executed within such time, I undertake to obtain a new pre-clearance for the transaction.</w:t>
      </w:r>
    </w:p>
    <w:p>
      <w:pPr>
        <w:spacing w:after="0" w:line="51" w:lineRule="exact"/>
        <w:rPr>
          <w:rFonts w:ascii="Times New Roman" w:cs="Times New Roman" w:eastAsia="Times New Roman" w:hAnsi="Times New Roman"/>
          <w:sz w:val="20"/>
          <w:szCs w:val="20"/>
          <w:color w:val="auto"/>
        </w:rPr>
      </w:pPr>
    </w:p>
    <w:p>
      <w:pPr>
        <w:ind w:left="760" w:hanging="378"/>
        <w:spacing w:after="0" w:line="295" w:lineRule="auto"/>
        <w:tabs>
          <w:tab w:leader="none" w:pos="76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confirm that neither I nor any of my immediate family members or controlled entities have entered into an opposite way transaction within the past six months, and will not do so within the six months following the execution of the proposed transaction.</w:t>
      </w:r>
    </w:p>
    <w:p>
      <w:pPr>
        <w:spacing w:after="0" w:line="29" w:lineRule="exact"/>
        <w:rPr>
          <w:rFonts w:ascii="Times New Roman" w:cs="Times New Roman" w:eastAsia="Times New Roman" w:hAnsi="Times New Roman"/>
          <w:sz w:val="19"/>
          <w:szCs w:val="19"/>
          <w:color w:val="auto"/>
        </w:rPr>
      </w:pPr>
    </w:p>
    <w:p>
      <w:pPr>
        <w:ind w:left="760" w:right="40" w:hanging="378"/>
        <w:spacing w:after="0" w:line="254" w:lineRule="auto"/>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notify Company’s Compliance Officer immediately (within four hours) following the execution of the transaction for which I am requesting pre-clearance and will provide the details of the transaction, including the date of execution, price and number of securities involved.</w:t>
      </w:r>
    </w:p>
    <w:p>
      <w:pPr>
        <w:spacing w:after="0" w:line="14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 ____________________</w:t>
      </w:r>
    </w:p>
    <w:p>
      <w:pPr>
        <w:spacing w:after="0" w:line="10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Date: _____________________</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19" w:name="page120"/>
    <w:bookmarkEnd w:id="119"/>
    <w:p>
      <w:pPr>
        <w:jc w:val="center"/>
        <w:ind w:right="-59"/>
        <w:spacing w:after="0"/>
        <w:rPr>
          <w:sz w:val="20"/>
          <w:szCs w:val="20"/>
          <w:color w:val="auto"/>
        </w:rPr>
      </w:pPr>
      <w:r>
        <w:rPr>
          <w:rFonts w:ascii="Times New Roman" w:cs="Times New Roman" w:eastAsia="Times New Roman" w:hAnsi="Times New Roman"/>
          <w:sz w:val="22"/>
          <w:szCs w:val="22"/>
          <w:color w:val="auto"/>
        </w:rPr>
        <w:t>Pre-Clearance Form for Employees</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REQUESTED INFORMATION FOR EMPLOYEE STOCK SALES OR PURCHASES</w:t>
      </w:r>
    </w:p>
    <w:p>
      <w:pPr>
        <w:spacing w:after="0" w:line="200" w:lineRule="exact"/>
        <w:rPr>
          <w:sz w:val="20"/>
          <w:szCs w:val="20"/>
          <w:color w:val="auto"/>
        </w:rPr>
      </w:pPr>
    </w:p>
    <w:p>
      <w:pPr>
        <w:spacing w:after="0" w:line="3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______________________________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______________________________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Transaction (eg., sale or purchase): ______________________________</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Proposed date of transaction: ______________________________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shares covered by proposed transaction: ______________________________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Price at which the transaction is proposed: ______________________________</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Current market price: ______________________________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HEREBY REPRESENT THAT:</w:t>
      </w:r>
    </w:p>
    <w:p>
      <w:pPr>
        <w:spacing w:after="0" w:line="175" w:lineRule="exact"/>
        <w:rPr>
          <w:sz w:val="20"/>
          <w:szCs w:val="20"/>
          <w:color w:val="auto"/>
        </w:rPr>
      </w:pPr>
    </w:p>
    <w:p>
      <w:pPr>
        <w:ind w:left="760" w:hanging="378"/>
        <w:spacing w:after="0"/>
        <w:tabs>
          <w:tab w:leader="none" w:pos="76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am not aware of any material information regarding Clearside Biomedical, Inc. (“Company”) that has not been publicly disclosed.</w:t>
      </w:r>
    </w:p>
    <w:p>
      <w:pPr>
        <w:spacing w:after="0" w:line="119" w:lineRule="exact"/>
        <w:rPr>
          <w:rFonts w:ascii="Times New Roman" w:cs="Times New Roman" w:eastAsia="Times New Roman" w:hAnsi="Times New Roman"/>
          <w:sz w:val="19"/>
          <w:szCs w:val="19"/>
          <w:color w:val="auto"/>
        </w:rPr>
      </w:pPr>
    </w:p>
    <w:p>
      <w:pPr>
        <w:ind w:left="760" w:right="160" w:hanging="378"/>
        <w:spacing w:after="0" w:line="254" w:lineRule="auto"/>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I become aware of any material non-public information regarding Company after making this representation but before executing the transaction, I will inform Company’s Compliance Officer of the same and will refrain from executing the transaction until such information becomes public and I have obtained a new pre-clearance.</w:t>
      </w:r>
    </w:p>
    <w:p>
      <w:pPr>
        <w:spacing w:after="0" w:line="6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execute the transaction no later than the earlier of ten days after the pre-clearance is given.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 ____________________</w:t>
      </w:r>
    </w:p>
    <w:p>
      <w:pPr>
        <w:spacing w:after="0" w:line="200" w:lineRule="exact"/>
        <w:rPr>
          <w:sz w:val="20"/>
          <w:szCs w:val="20"/>
          <w:color w:val="auto"/>
        </w:rPr>
      </w:pPr>
    </w:p>
    <w:p>
      <w:pPr>
        <w:spacing w:after="0" w:line="24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Date: _____________________</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6" w:lineRule="exact"/>
        <w:rPr>
          <w:sz w:val="20"/>
          <w:szCs w:val="20"/>
          <w:color w:val="auto"/>
        </w:rPr>
      </w:pPr>
    </w:p>
    <w:p>
      <w:pPr>
        <w:ind w:right="3260" w:firstLine="3251"/>
        <w:spacing w:after="0" w:line="506" w:lineRule="auto"/>
        <w:rPr>
          <w:sz w:val="20"/>
          <w:szCs w:val="20"/>
          <w:color w:val="auto"/>
        </w:rPr>
      </w:pPr>
      <w:r>
        <w:rPr>
          <w:rFonts w:ascii="Arial" w:cs="Arial" w:eastAsia="Arial" w:hAnsi="Arial"/>
          <w:sz w:val="18"/>
          <w:szCs w:val="18"/>
          <w:color w:val="auto"/>
        </w:rPr>
        <w:t>Consent of Independent Registered Public Accounting Firm We consent to the incorporation by reference in the following Registration Statements:</w:t>
      </w:r>
    </w:p>
    <w:p>
      <w:pPr>
        <w:spacing w:after="0" w:line="45" w:lineRule="exact"/>
        <w:rPr>
          <w:sz w:val="20"/>
          <w:szCs w:val="20"/>
          <w:color w:val="auto"/>
        </w:rPr>
      </w:pPr>
    </w:p>
    <w:p>
      <w:pPr>
        <w:ind w:left="1020" w:right="440" w:hanging="503"/>
        <w:spacing w:after="0" w:line="27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333-212014) pertaining to the 2011 Stock Incentive Plan, as amended, Stock Option Awards, 2016 Equity Incentive Plan, and 2016 Employee Stock Purchase Plan of Clearside Biomedical, Inc.,</w:t>
      </w:r>
    </w:p>
    <w:p>
      <w:pPr>
        <w:spacing w:after="0" w:line="248" w:lineRule="exact"/>
        <w:rPr>
          <w:rFonts w:ascii="Arial" w:cs="Arial" w:eastAsia="Arial" w:hAnsi="Arial"/>
          <w:sz w:val="18"/>
          <w:szCs w:val="18"/>
          <w:color w:val="auto"/>
        </w:rPr>
      </w:pPr>
    </w:p>
    <w:p>
      <w:pPr>
        <w:ind w:left="1020" w:right="460" w:hanging="503"/>
        <w:spacing w:after="0" w:line="27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333-216750) pertaining to the 2016 Equity Incentive Plan and 2016 Employee Stock Purchase Plan of Clearside Biomedical, Inc.,</w:t>
      </w:r>
    </w:p>
    <w:p>
      <w:pPr>
        <w:spacing w:after="0" w:line="248"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S-3 No. 333-271902) of Clearside Biomedical, Inc.,</w:t>
      </w:r>
    </w:p>
    <w:p>
      <w:pPr>
        <w:spacing w:after="0" w:line="306" w:lineRule="exact"/>
        <w:rPr>
          <w:rFonts w:ascii="Arial" w:cs="Arial" w:eastAsia="Arial" w:hAnsi="Arial"/>
          <w:sz w:val="18"/>
          <w:szCs w:val="18"/>
          <w:color w:val="auto"/>
        </w:rPr>
      </w:pPr>
    </w:p>
    <w:p>
      <w:pPr>
        <w:ind w:left="1020" w:right="460" w:hanging="503"/>
        <w:spacing w:after="0" w:line="27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333-224826) pertaining to the 2016 Equity Incentive Plan and 2016 Employee Stock Purchase Plan of Clearside Biomedical, Inc.,</w:t>
      </w:r>
    </w:p>
    <w:p>
      <w:pPr>
        <w:spacing w:after="0" w:line="200" w:lineRule="exact"/>
        <w:rPr>
          <w:rFonts w:ascii="Arial" w:cs="Arial" w:eastAsia="Arial" w:hAnsi="Arial"/>
          <w:sz w:val="18"/>
          <w:szCs w:val="18"/>
          <w:color w:val="auto"/>
        </w:rPr>
      </w:pPr>
    </w:p>
    <w:p>
      <w:pPr>
        <w:spacing w:after="0" w:line="250"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333-231383) pertaining to the 2016 Equity Incentive Plan of Clearside Biomedical, Inc.,</w:t>
      </w:r>
    </w:p>
    <w:p>
      <w:pPr>
        <w:spacing w:after="0" w:line="306" w:lineRule="exact"/>
        <w:rPr>
          <w:rFonts w:ascii="Arial" w:cs="Arial" w:eastAsia="Arial" w:hAnsi="Arial"/>
          <w:sz w:val="18"/>
          <w:szCs w:val="18"/>
          <w:color w:val="auto"/>
        </w:rPr>
      </w:pPr>
    </w:p>
    <w:p>
      <w:pPr>
        <w:ind w:left="1020" w:right="220" w:hanging="503"/>
        <w:spacing w:after="0" w:line="27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333-238133) pertaining to the 2016 Equity Incentive Plan of Clearside Biomedical, Inc., and</w:t>
      </w:r>
    </w:p>
    <w:p>
      <w:pPr>
        <w:spacing w:after="0" w:line="248"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333-256212) pertaining to the 2016 Equity Incentive Plan of Clearside Biomedical, Inc.</w:t>
      </w:r>
    </w:p>
    <w:p>
      <w:pPr>
        <w:spacing w:after="0" w:line="306" w:lineRule="exact"/>
        <w:rPr>
          <w:rFonts w:ascii="Arial" w:cs="Arial" w:eastAsia="Arial" w:hAnsi="Arial"/>
          <w:sz w:val="18"/>
          <w:szCs w:val="18"/>
          <w:color w:val="auto"/>
        </w:rPr>
      </w:pPr>
    </w:p>
    <w:p>
      <w:pPr>
        <w:ind w:left="1080" w:hanging="563"/>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333-264885) pertaining to the 2016 Equity Incentive Plan of Clearside Biomedical, Inc.</w:t>
      </w:r>
    </w:p>
    <w:p>
      <w:pPr>
        <w:spacing w:after="0" w:line="306" w:lineRule="exact"/>
        <w:rPr>
          <w:rFonts w:ascii="Arial" w:cs="Arial" w:eastAsia="Arial" w:hAnsi="Arial"/>
          <w:sz w:val="18"/>
          <w:szCs w:val="18"/>
          <w:color w:val="auto"/>
        </w:rPr>
      </w:pPr>
    </w:p>
    <w:p>
      <w:pPr>
        <w:ind w:left="1080" w:hanging="563"/>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333-271877) pertaining to the 2016 Equity Incentive Plan of Clearside Biomedical, Inc.</w:t>
      </w:r>
    </w:p>
    <w:p>
      <w:pPr>
        <w:spacing w:after="0" w:line="306" w:lineRule="exact"/>
        <w:rPr>
          <w:rFonts w:ascii="Arial" w:cs="Arial" w:eastAsia="Arial" w:hAnsi="Arial"/>
          <w:sz w:val="18"/>
          <w:szCs w:val="18"/>
          <w:color w:val="auto"/>
        </w:rPr>
      </w:pPr>
    </w:p>
    <w:p>
      <w:pPr>
        <w:ind w:left="1080" w:hanging="563"/>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333-279334) pertaining to the 2016 Equity Incentive Plan of Clearside Biomedical, Inc.</w:t>
      </w:r>
    </w:p>
    <w:p>
      <w:pPr>
        <w:spacing w:after="0" w:line="200" w:lineRule="exact"/>
        <w:rPr>
          <w:sz w:val="20"/>
          <w:szCs w:val="20"/>
          <w:color w:val="auto"/>
        </w:rPr>
      </w:pPr>
    </w:p>
    <w:p>
      <w:pPr>
        <w:spacing w:after="0" w:line="20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of our report dated March 27, 2025, with respect to the consolidated financial statements of Clearside Biomedical, Inc. included in this Annual Report (Form 10-K) of Clearside Biomedical, Inc. for the year ended December 31,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2253615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Lasezkay, certify that:</w:t>
      </w:r>
    </w:p>
    <w:p>
      <w:pPr>
        <w:spacing w:after="0" w:line="117"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Clearside Biomedical, Inc. (the “registrant”);</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George Lasezkay, Pharm.D., J.D.</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Clearside Biomedical, Inc. (the “registrant”);</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50" w:lineRule="exact"/>
        <w:rPr>
          <w:sz w:val="20"/>
          <w:szCs w:val="20"/>
          <w:color w:val="auto"/>
        </w:rPr>
      </w:pPr>
    </w:p>
    <w:p>
      <w:pPr>
        <w:ind w:left="520" w:right="340" w:hanging="512"/>
        <w:spacing w:after="0" w:line="282" w:lineRule="auto"/>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year ended December 31, 2024,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b w:val="1"/>
          <w:bCs w:val="1"/>
          <w:color w:val="auto"/>
        </w:rPr>
      </w:pPr>
    </w:p>
    <w:p>
      <w:pPr>
        <w:ind w:left="520" w:right="420" w:hanging="512"/>
        <w:spacing w:after="0" w:line="282" w:lineRule="auto"/>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5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27th day of March, 2025.</w:t>
      </w:r>
    </w:p>
    <w:p>
      <w:pPr>
        <w:sectPr>
          <w:pgSz w:w="11900" w:h="16838" w:orient="portrait"/>
          <w:cols w:equalWidth="0" w:num="1">
            <w:col w:w="11240"/>
          </w:cols>
          <w:pgMar w:left="320" w:top="765"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George Lasezkay, Pharm.D., J.D.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8460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11" w:lineRule="exact"/>
        <w:rPr>
          <w:sz w:val="20"/>
          <w:szCs w:val="20"/>
          <w:color w:val="auto"/>
        </w:rPr>
      </w:pPr>
    </w:p>
    <w:p>
      <w:pPr>
        <w:sectPr>
          <w:pgSz w:w="11900" w:h="16838" w:orient="portrait"/>
          <w:cols w:equalWidth="0" w:num="2">
            <w:col w:w="6060" w:space="720"/>
            <w:col w:w="4460"/>
          </w:cols>
          <w:pgMar w:left="320" w:top="765" w:right="339" w:bottom="1440" w:gutter="0" w:footer="0" w:header="0"/>
          <w:type w:val="continuous"/>
        </w:sectPr>
      </w:pPr>
    </w:p>
    <w:p>
      <w:pPr>
        <w:spacing w:after="0" w:line="47" w:lineRule="exact"/>
        <w:rPr>
          <w:sz w:val="20"/>
          <w:szCs w:val="20"/>
          <w:color w:val="auto"/>
        </w:rPr>
      </w:pPr>
    </w:p>
    <w:p>
      <w:pPr>
        <w:ind w:right="40" w:firstLine="8"/>
        <w:spacing w:after="0" w:line="266" w:lineRule="auto"/>
        <w:tabs>
          <w:tab w:leader="none" w:pos="1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5" w:name="page126"/>
    <w:bookmarkEnd w:id="1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50"/>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lvl w:ilvl="1">
      <w:lvlJc w:val="left"/>
      <w:lvlText w:val="•"/>
      <w:numFmt w:val="bullet"/>
      <w:start w:val="1"/>
    </w:lvl>
  </w:abstractNum>
  <w:abstractNum w:abstractNumId="24">
    <w:nsid w:val="70A64E2A"/>
    <w:multiLevelType w:val="hybridMultilevel"/>
    <w:lvl w:ilvl="0">
      <w:lvlJc w:val="left"/>
      <w:lvlText w:val="•"/>
      <w:numFmt w:val="bullet"/>
      <w:start w:val="1"/>
    </w:lvl>
    <w:lvl w:ilvl="1">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lvl w:ilvl="1">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lvl w:ilvl="1">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1)"/>
      <w:numFmt w:val="decimal"/>
      <w:start w:val="2"/>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w"/>
      <w:numFmt w:val="bullet"/>
      <w:start w:val="1"/>
    </w:lvl>
  </w:abstractNum>
  <w:abstractNum w:abstractNumId="45">
    <w:nsid w:val="12E685FB"/>
    <w:multiLevelType w:val="hybridMultilevel"/>
    <w:lvl w:ilvl="0">
      <w:lvlJc w:val="left"/>
      <w:lvlText w:val="%1."/>
      <w:numFmt w:val="upperLetter"/>
      <w:start w:val="9"/>
    </w:lvl>
  </w:abstractNum>
  <w:abstractNum w:abstractNumId="46">
    <w:nsid w:val="70C6A529"/>
    <w:multiLevelType w:val="hybridMultilevel"/>
    <w:lvl w:ilvl="0">
      <w:lvlJc w:val="left"/>
      <w:lvlText w:val="%1."/>
      <w:numFmt w:val="upperLetter"/>
      <w:start w:val="35"/>
    </w:lvl>
    <w:lvl w:ilvl="1">
      <w:lvlJc w:val="left"/>
      <w:lvlText w:val="%2."/>
      <w:numFmt w:val="upperLetter"/>
      <w:start w:val="1"/>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upperLetter"/>
      <w:start w:val="61"/>
    </w:lvl>
  </w:abstractNum>
  <w:abstractNum w:abstractNumId="49">
    <w:nsid w:val="4F4EF005"/>
    <w:multiLevelType w:val="hybridMultilevel"/>
    <w:lvl w:ilvl="0">
      <w:lvlJc w:val="left"/>
      <w:lvlText w:val="%1"/>
      <w:numFmt w:val="decimal"/>
      <w:start w:val="1"/>
    </w:lvl>
    <w:lvl w:ilvl="1">
      <w:lvlJc w:val="left"/>
      <w:lvlText w:val="%2."/>
      <w:numFmt w:val="upperLetter"/>
      <w:start w:val="3"/>
    </w:lvl>
  </w:abstractNum>
  <w:abstractNum w:abstractNumId="50">
    <w:nsid w:val="23F9C13C"/>
    <w:multiLevelType w:val="hybridMultilevel"/>
    <w:lvl w:ilvl="0">
      <w:lvlJc w:val="left"/>
      <w:lvlText w:val="%1."/>
      <w:numFmt w:val="decimal"/>
      <w:start w:val="1"/>
    </w:lvl>
    <w:lvl w:ilvl="1">
      <w:lvlJc w:val="left"/>
      <w:lvlText w:val="%2"/>
      <w:numFmt w:val="upperLetter"/>
      <w:start w:val="1"/>
    </w:lvl>
  </w:abstractNum>
  <w:abstractNum w:abstractNumId="51">
    <w:nsid w:val="649BB77C"/>
    <w:multiLevelType w:val="hybridMultilevel"/>
    <w:lvl w:ilvl="0">
      <w:lvlJc w:val="left"/>
      <w:lvlText w:val="%1."/>
      <w:numFmt w:val="decimal"/>
      <w:start w:val="2"/>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303" Type="http://schemas.openxmlformats.org/officeDocument/2006/relationships/image" Target="media/image268.png"/><Relationship Id="rId304" Type="http://schemas.openxmlformats.org/officeDocument/2006/relationships/image" Target="media/image269.png"/><Relationship Id="rId318" Type="http://schemas.openxmlformats.org/officeDocument/2006/relationships/image" Target="media/image270.png"/><Relationship Id="rId319" Type="http://schemas.openxmlformats.org/officeDocument/2006/relationships/image" Target="media/image271.png"/><Relationship Id="rId321" Type="http://schemas.openxmlformats.org/officeDocument/2006/relationships/image" Target="media/image272.png"/><Relationship Id="rId322" Type="http://schemas.openxmlformats.org/officeDocument/2006/relationships/image" Target="media/image273.png"/><Relationship Id="rId323" Type="http://schemas.openxmlformats.org/officeDocument/2006/relationships/image" Target="media/image274.png"/><Relationship Id="rId324" Type="http://schemas.openxmlformats.org/officeDocument/2006/relationships/image" Target="media/image275.png"/><Relationship Id="rId325" Type="http://schemas.openxmlformats.org/officeDocument/2006/relationships/image" Target="media/image276.png"/><Relationship Id="rId326" Type="http://schemas.openxmlformats.org/officeDocument/2006/relationships/image" Target="media/image277.png"/><Relationship Id="rId327" Type="http://schemas.openxmlformats.org/officeDocument/2006/relationships/image" Target="media/image278.png"/><Relationship Id="rId328" Type="http://schemas.openxmlformats.org/officeDocument/2006/relationships/image" Target="media/image279.png"/><Relationship Id="rId329" Type="http://schemas.openxmlformats.org/officeDocument/2006/relationships/image" Target="media/image280.png"/><Relationship Id="rId330" Type="http://schemas.openxmlformats.org/officeDocument/2006/relationships/image" Target="media/image281.png"/><Relationship Id="rId331" Type="http://schemas.openxmlformats.org/officeDocument/2006/relationships/image" Target="media/image282.png"/><Relationship Id="rId332" Type="http://schemas.openxmlformats.org/officeDocument/2006/relationships/image" Target="media/image283.png"/><Relationship Id="rId333" Type="http://schemas.openxmlformats.org/officeDocument/2006/relationships/image" Target="media/image284.png"/><Relationship Id="rId334" Type="http://schemas.openxmlformats.org/officeDocument/2006/relationships/image" Target="media/image285.png"/><Relationship Id="rId335" Type="http://schemas.openxmlformats.org/officeDocument/2006/relationships/image" Target="media/image286.png"/><Relationship Id="rId336" Type="http://schemas.openxmlformats.org/officeDocument/2006/relationships/image" Target="media/image287.png"/><Relationship Id="rId337" Type="http://schemas.openxmlformats.org/officeDocument/2006/relationships/image" Target="media/image288.png"/><Relationship Id="rId338" Type="http://schemas.openxmlformats.org/officeDocument/2006/relationships/image" Target="media/image289.png"/><Relationship Id="rId339" Type="http://schemas.openxmlformats.org/officeDocument/2006/relationships/image" Target="media/image290.png"/><Relationship Id="rId340" Type="http://schemas.openxmlformats.org/officeDocument/2006/relationships/image" Target="media/image291.png"/><Relationship Id="rId341" Type="http://schemas.openxmlformats.org/officeDocument/2006/relationships/image" Target="media/image292.png"/><Relationship Id="rId342" Type="http://schemas.openxmlformats.org/officeDocument/2006/relationships/image" Target="media/image293.png"/><Relationship Id="rId343" Type="http://schemas.openxmlformats.org/officeDocument/2006/relationships/image" Target="media/image294.png"/><Relationship Id="rId344" Type="http://schemas.openxmlformats.org/officeDocument/2006/relationships/image" Target="media/image295.png"/><Relationship Id="rId345" Type="http://schemas.openxmlformats.org/officeDocument/2006/relationships/image" Target="media/image296.png"/><Relationship Id="rId346" Type="http://schemas.openxmlformats.org/officeDocument/2006/relationships/image" Target="media/image297.png"/><Relationship Id="rId347" Type="http://schemas.openxmlformats.org/officeDocument/2006/relationships/image" Target="media/image298.png"/><Relationship Id="rId348" Type="http://schemas.openxmlformats.org/officeDocument/2006/relationships/image" Target="media/image299.png"/><Relationship Id="rId349" Type="http://schemas.openxmlformats.org/officeDocument/2006/relationships/image" Target="media/image300.png"/><Relationship Id="rId350" Type="http://schemas.openxmlformats.org/officeDocument/2006/relationships/image" Target="media/image301.png"/><Relationship Id="rId351" Type="http://schemas.openxmlformats.org/officeDocument/2006/relationships/image" Target="media/image302.png"/><Relationship Id="rId352" Type="http://schemas.openxmlformats.org/officeDocument/2006/relationships/image" Target="media/image303.png"/><Relationship Id="rId353" Type="http://schemas.openxmlformats.org/officeDocument/2006/relationships/image" Target="media/image304.png"/><Relationship Id="rId354" Type="http://schemas.openxmlformats.org/officeDocument/2006/relationships/image" Target="media/image305.png"/><Relationship Id="rId355" Type="http://schemas.openxmlformats.org/officeDocument/2006/relationships/image" Target="media/image306.png"/><Relationship Id="rId356" Type="http://schemas.openxmlformats.org/officeDocument/2006/relationships/image" Target="media/image307.png"/><Relationship Id="rId357" Type="http://schemas.openxmlformats.org/officeDocument/2006/relationships/image" Target="media/image308.png"/><Relationship Id="rId358" Type="http://schemas.openxmlformats.org/officeDocument/2006/relationships/image" Target="media/image309.png"/><Relationship Id="rId359" Type="http://schemas.openxmlformats.org/officeDocument/2006/relationships/image" Target="media/image310.png"/><Relationship Id="rId273" Type="http://schemas.openxmlformats.org/officeDocument/2006/relationships/hyperlink" Target="https://www.sec.gov/Archives/edgar/data/1539029/000119312516615374/d208521dex31.htm" TargetMode="External"/><Relationship Id="rId274" Type="http://schemas.openxmlformats.org/officeDocument/2006/relationships/hyperlink" Target="https://www.sec.gov/Archives/edgar/data/1539029/000095017022012039/clsd-ex3_1.htm" TargetMode="External"/><Relationship Id="rId275" Type="http://schemas.openxmlformats.org/officeDocument/2006/relationships/hyperlink" Target="https://www.sec.gov/Archives/edgar/data/1539029/000119312516615374/d208521dex32.htm" TargetMode="External"/><Relationship Id="rId276" Type="http://schemas.openxmlformats.org/officeDocument/2006/relationships/hyperlink" Target="https://www.sec.gov/Archives/edgar/data/1539029/000119312516510413/d742552dex41.htm" TargetMode="External"/><Relationship Id="rId277" Type="http://schemas.openxmlformats.org/officeDocument/2006/relationships/hyperlink" Target="https://www.sec.gov/Archives/edgar/data/1539029/000119312516730463/d280787dex41.htm" TargetMode="External"/><Relationship Id="rId278" Type="http://schemas.openxmlformats.org/officeDocument/2006/relationships/hyperlink" Target="https://www.sec.gov/Archives/edgar/data/1539029/000119312524028487/d754271dex41.htm" TargetMode="External"/><Relationship Id="rId279" Type="http://schemas.openxmlformats.org/officeDocument/2006/relationships/hyperlink" Target="https://www.sec.gov/Archives/edgar/data/1539029/000156459020010810/clsd-ex44_474.htm" TargetMode="External"/><Relationship Id="rId280" Type="http://schemas.openxmlformats.org/officeDocument/2006/relationships/hyperlink" Target="https://www.sec.gov/Archives/edgar/data/1539029/000119312516424684/d742552dex101.htm" TargetMode="External"/><Relationship Id="rId281" Type="http://schemas.openxmlformats.org/officeDocument/2006/relationships/hyperlink" Target="https://www.sec.gov/Archives/edgar/data/1539029/000119312516424684/d742552dex103.htm" TargetMode="External"/><Relationship Id="rId282" Type="http://schemas.openxmlformats.org/officeDocument/2006/relationships/hyperlink" Target="https://www.sec.gov/Archives/edgar/data/1539029/000119312516424684/d742552dex104.htm" TargetMode="External"/><Relationship Id="rId283" Type="http://schemas.openxmlformats.org/officeDocument/2006/relationships/hyperlink" Target="https://www.sec.gov/Archives/edgar/data/1539029/000119312516424684/d742552dex105.htm" TargetMode="External"/><Relationship Id="rId284" Type="http://schemas.openxmlformats.org/officeDocument/2006/relationships/hyperlink" Target="https://www.sec.gov/Archives/edgar/data/1539029/000119312516621364/d196989dex47.htm" TargetMode="External"/><Relationship Id="rId287" Type="http://schemas.openxmlformats.org/officeDocument/2006/relationships/hyperlink" Target="https://www.sec.gov/Archives/edgar/data/1539029/000119312516510413/d742552dex107.htm" TargetMode="External"/><Relationship Id="rId288" Type="http://schemas.openxmlformats.org/officeDocument/2006/relationships/hyperlink" Target="https://www.sec.gov/Archives/edgar/data/1539029/000119312516510413/d742552dex108.htm" TargetMode="External"/><Relationship Id="rId289" Type="http://schemas.openxmlformats.org/officeDocument/2006/relationships/hyperlink" Target="https://www.sec.gov/Archives/edgar/data/1539029/000119312516424684/d742552dex109.htm" TargetMode="External"/><Relationship Id="rId290" Type="http://schemas.openxmlformats.org/officeDocument/2006/relationships/hyperlink" Target="https://www.sec.gov/Archives/edgar/data/1539029/000119312516510413/d742552dex1012.htm" TargetMode="External"/><Relationship Id="rId291" Type="http://schemas.openxmlformats.org/officeDocument/2006/relationships/hyperlink" Target="https://www.sec.gov/Archives/edgar/data/1539029/000119312516776461/d299560dex101.htm" TargetMode="External"/><Relationship Id="rId292" Type="http://schemas.openxmlformats.org/officeDocument/2006/relationships/hyperlink" Target="https://www.sec.gov/Archives/edgar/data/1539029/000156459017004643/clsd-ex1021_665.htm" TargetMode="External"/><Relationship Id="rId293" Type="http://schemas.openxmlformats.org/officeDocument/2006/relationships/hyperlink" Target="https://www.sec.gov/Archives/edgar/data/1539029/000156459017023267/clsd-ex102_69.htm" TargetMode="External"/><Relationship Id="rId294" Type="http://schemas.openxmlformats.org/officeDocument/2006/relationships/hyperlink" Target="https://www.sec.gov/Archives/edgar/data/1539029/000095017024057834/clsd-ex10_3.htm" TargetMode="External"/><Relationship Id="rId295" Type="http://schemas.openxmlformats.org/officeDocument/2006/relationships/hyperlink" Target="https://www.sec.gov/Archives/edgar/data/1539029/000156459018020519/clsd-ex101_147.htm" TargetMode="External"/><Relationship Id="rId296" Type="http://schemas.openxmlformats.org/officeDocument/2006/relationships/hyperlink" Target="https://www.sec.gov/Archives/edgar/data/1539029/000156459018020519/clsd-ex102_146.htm" TargetMode="External"/><Relationship Id="rId297" Type="http://schemas.openxmlformats.org/officeDocument/2006/relationships/hyperlink" Target="https://www.sec.gov/Archives/edgar/data/1539029/000156459019030795/clsd-ex101_131.htm" TargetMode="External"/><Relationship Id="rId298" Type="http://schemas.openxmlformats.org/officeDocument/2006/relationships/hyperlink" Target="https://www.sec.gov/Archives/edgar/data/1539029/000156459020010810/clsd-ex1026_501.htm" TargetMode="External"/><Relationship Id="rId299" Type="http://schemas.openxmlformats.org/officeDocument/2006/relationships/hyperlink" Target="https://www.sec.gov/Archives/edgar/data/1539029/000156459020038893/clsd-ex101_237.htm" TargetMode="External"/><Relationship Id="rId300" Type="http://schemas.openxmlformats.org/officeDocument/2006/relationships/hyperlink" Target="https://www.sec.gov/Archives/edgar/data/1539029/000156459019011832/clsd-ex101_6.htm" TargetMode="External"/><Relationship Id="rId301" Type="http://schemas.openxmlformats.org/officeDocument/2006/relationships/hyperlink" Target="https://www.sec.gov/Archives/edgar/data/1539029/000156459019030795/clsd-ex103_296.htm" TargetMode="External"/><Relationship Id="rId302" Type="http://schemas.openxmlformats.org/officeDocument/2006/relationships/hyperlink" Target="https://www.sec.gov/Archives/edgar/data/1539029/000156459020010810/clsd-ex1030_500.htm" TargetMode="External"/><Relationship Id="rId305" Type="http://schemas.openxmlformats.org/officeDocument/2006/relationships/hyperlink" Target="https://www.sec.gov/Archives/edgar/data/1539029/000156459020023620/clsd-ex102_178.htm" TargetMode="External"/><Relationship Id="rId306" Type="http://schemas.openxmlformats.org/officeDocument/2006/relationships/hyperlink" Target="https://www.sec.gov/Archives/edgar/data/1539029/000095017021004115/clsd-ex10_1.htm" TargetMode="External"/><Relationship Id="rId307" Type="http://schemas.openxmlformats.org/officeDocument/2006/relationships/hyperlink" Target="https://www.sec.gov/Archives/edgar/data/1539029/000095017021004115/clsd-ex10_2.htm" TargetMode="External"/><Relationship Id="rId308" Type="http://schemas.openxmlformats.org/officeDocument/2006/relationships/hyperlink" Target="https://www.sec.gov/Archives/edgar/data/1539029/000095017021004115/clsd-ex10_3.htm" TargetMode="External"/><Relationship Id="rId309" Type="http://schemas.openxmlformats.org/officeDocument/2006/relationships/hyperlink" Target="https://www.sec.gov/Archives/edgar/data/1539029/000095017022023525/clsd-ex10_1.htm" TargetMode="External"/><Relationship Id="rId310" Type="http://schemas.openxmlformats.org/officeDocument/2006/relationships/hyperlink" Target="https://www.sec.gov/Archives/edgar/data/1539029/000095017023007732/clsd-ex10_29.htm" TargetMode="External"/><Relationship Id="rId311" Type="http://schemas.openxmlformats.org/officeDocument/2006/relationships/hyperlink" Target="https://www.sec.gov/Archives/edgar/data/1539029/000095017023007732/clsd-ex10_30.htm" TargetMode="External"/><Relationship Id="rId312" Type="http://schemas.openxmlformats.org/officeDocument/2006/relationships/hyperlink" Target="https://www.sec.gov/Archives/edgar/data/1539029/000095017024030126/clsd-ex10_31.htm" TargetMode="External"/><Relationship Id="rId313" Type="http://schemas.openxmlformats.org/officeDocument/2006/relationships/hyperlink" Target="https://www.sec.gov/Archives/edgar/data/1539029/000095017023073587/clsd-ex10_1.htm" TargetMode="External"/><Relationship Id="rId314" Type="http://schemas.openxmlformats.org/officeDocument/2006/relationships/hyperlink" Target="https://www.sec.gov/Archives/edgar/data/1539029/000095017024030126/clsd-ex10_33.htm" TargetMode="External"/><Relationship Id="rId315" Type="http://schemas.openxmlformats.org/officeDocument/2006/relationships/hyperlink" Target="https://www.sec.gov/Archives/edgar/data/1539029/000095017023021769/clsd-ex10_1.htm" TargetMode="External"/><Relationship Id="rId316" Type="http://schemas.openxmlformats.org/officeDocument/2006/relationships/hyperlink" Target="https://www.sec.gov/Archives/edgar/data/1539029/000095017024095489/clsd-ex10_1.htm" TargetMode="External"/><Relationship Id="rId317" Type="http://schemas.openxmlformats.org/officeDocument/2006/relationships/hyperlink" Target="https://www.sec.gov/Archives/edgar/data/1539029/000095017024095489/clsd-ex10_2.htm" TargetMode="External"/><Relationship Id="rId320" Type="http://schemas.openxmlformats.org/officeDocument/2006/relationships/hyperlink" Target="https://www.sec.gov/Archives/edgar/data/1539029/000095017024030126/clsd-ex97_clawbackp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2025-03-27T16:41:37Z</dcterms:created>
  <dcterms:modified xsi:type="dcterms:W3CDTF">2025-03-27T16:41:37Z</dcterms:modified>
</cp:coreProperties>
</file>