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60" w:right="1720" w:hanging="3852"/>
        <w:spacing w:after="0" w:line="320" w:lineRule="auto"/>
        <w:tabs>
          <w:tab w:leader="none" w:pos="36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200" w:right="1720" w:hanging="4192"/>
        <w:spacing w:after="0" w:line="360" w:lineRule="auto"/>
        <w:tabs>
          <w:tab w:leader="none" w:pos="37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-5080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Clearside Biomedical, Inc.</w:t>
      </w:r>
    </w:p>
    <w:p>
      <w:pPr>
        <w:sectPr>
          <w:pgSz w:w="11900" w:h="16838" w:orient="portrait"/>
          <w:cols w:equalWidth="0" w:num="1">
            <w:col w:w="11240"/>
          </w:cols>
          <w:pgMar w:left="320" w:top="549" w:right="339" w:bottom="1440" w:gutter="0" w:footer="0" w:header="0"/>
        </w:sectPr>
      </w:pPr>
    </w:p>
    <w:p>
      <w:pPr>
        <w:spacing w:after="0" w:line="16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(State or other jurisdiction of</w:t>
      </w:r>
    </w:p>
    <w:p>
      <w:pPr>
        <w:spacing w:after="0" w:line="4"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45-2437375</w:t>
      </w:r>
    </w:p>
    <w:p>
      <w:pPr>
        <w:spacing w:after="0" w:line="45"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700" w:space="160"/>
            <w:col w:w="3380"/>
          </w:cols>
          <w:pgMar w:left="320" w:top="549" w:right="339" w:bottom="1440" w:gutter="0" w:footer="0" w:header="0"/>
          <w:type w:val="continuous"/>
        </w:sectPr>
      </w:pPr>
    </w:p>
    <w:p>
      <w:pPr>
        <w:ind w:left="1440"/>
        <w:spacing w:after="0"/>
        <w:rPr>
          <w:sz w:val="20"/>
          <w:szCs w:val="20"/>
          <w:color w:val="auto"/>
        </w:rPr>
      </w:pPr>
      <w:r>
        <w:rPr>
          <w:rFonts w:ascii="Arial" w:cs="Arial" w:eastAsia="Arial" w:hAnsi="Arial"/>
          <w:sz w:val="18"/>
          <w:szCs w:val="18"/>
          <w:b w:val="1"/>
          <w:bCs w:val="1"/>
          <w:color w:val="auto"/>
        </w:rPr>
        <w:t>900 North Point Parkway, Suite 200</w:t>
      </w:r>
    </w:p>
    <w:p>
      <w:pPr>
        <w:spacing w:after="0" w:line="21" w:lineRule="exact"/>
        <w:rPr>
          <w:sz w:val="24"/>
          <w:szCs w:val="24"/>
          <w:color w:val="auto"/>
        </w:rPr>
      </w:pPr>
    </w:p>
    <w:p>
      <w:pPr>
        <w:ind w:left="2220"/>
        <w:spacing w:after="0"/>
        <w:tabs>
          <w:tab w:leader="none" w:pos="8180" w:val="left"/>
        </w:tabs>
        <w:rPr>
          <w:sz w:val="20"/>
          <w:szCs w:val="20"/>
          <w:color w:val="auto"/>
        </w:rPr>
      </w:pPr>
      <w:r>
        <w:rPr>
          <w:rFonts w:ascii="Arial" w:cs="Arial" w:eastAsia="Arial" w:hAnsi="Arial"/>
          <w:sz w:val="18"/>
          <w:szCs w:val="18"/>
          <w:b w:val="1"/>
          <w:bCs w:val="1"/>
          <w:color w:val="auto"/>
        </w:rPr>
        <w:t>Alpharetta, GA</w:t>
      </w:r>
      <w:r>
        <w:rPr>
          <w:sz w:val="20"/>
          <w:szCs w:val="20"/>
          <w:color w:val="auto"/>
        </w:rPr>
        <w:tab/>
      </w:r>
      <w:r>
        <w:rPr>
          <w:rFonts w:ascii="Arial" w:cs="Arial" w:eastAsia="Arial" w:hAnsi="Arial"/>
          <w:sz w:val="16"/>
          <w:szCs w:val="16"/>
          <w:b w:val="1"/>
          <w:bCs w:val="1"/>
          <w:color w:val="auto"/>
        </w:rPr>
        <w:t>30005</w:t>
      </w:r>
    </w:p>
    <w:p>
      <w:pPr>
        <w:spacing w:after="0" w:line="13" w:lineRule="exact"/>
        <w:rPr>
          <w:sz w:val="24"/>
          <w:szCs w:val="24"/>
          <w:color w:val="auto"/>
        </w:rPr>
      </w:pPr>
    </w:p>
    <w:p>
      <w:pPr>
        <w:ind w:left="162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270-3631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4" w:lineRule="exact"/>
        <w:rPr>
          <w:sz w:val="24"/>
          <w:szCs w:val="24"/>
          <w:color w:val="auto"/>
        </w:rPr>
      </w:pPr>
    </w:p>
    <w:p>
      <w:pPr>
        <w:ind w:left="1460"/>
        <w:spacing w:after="0"/>
        <w:tabs>
          <w:tab w:leader="none" w:pos="4660" w:val="left"/>
          <w:tab w:leader="none" w:pos="730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Symbol(s)</w:t>
      </w:r>
      <w:r>
        <w:rPr>
          <w:sz w:val="20"/>
          <w:szCs w:val="20"/>
          <w:color w:val="auto"/>
        </w:rPr>
        <w:tab/>
      </w:r>
      <w:r>
        <w:rPr>
          <w:rFonts w:ascii="Arial" w:cs="Arial" w:eastAsia="Arial" w:hAnsi="Arial"/>
          <w:sz w:val="16"/>
          <w:szCs w:val="16"/>
          <w:color w:val="auto"/>
        </w:rPr>
        <w:t>Name of each exchange on which registered</w:t>
      </w:r>
    </w:p>
    <w:p>
      <w:pPr>
        <w:spacing w:after="0" w:line="36" w:lineRule="exact"/>
        <w:rPr>
          <w:sz w:val="24"/>
          <w:szCs w:val="24"/>
          <w:color w:val="auto"/>
        </w:rPr>
      </w:pPr>
    </w:p>
    <w:p>
      <w:pPr>
        <w:ind w:left="560"/>
        <w:spacing w:after="0"/>
        <w:tabs>
          <w:tab w:leader="none" w:pos="5100" w:val="left"/>
          <w:tab w:leader="none" w:pos="7760" w:val="left"/>
        </w:tabs>
        <w:rPr>
          <w:sz w:val="20"/>
          <w:szCs w:val="20"/>
          <w:color w:val="auto"/>
        </w:rPr>
      </w:pPr>
      <w:r>
        <w:rPr>
          <w:rFonts w:ascii="Arial" w:cs="Arial" w:eastAsia="Arial" w:hAnsi="Arial"/>
          <w:sz w:val="18"/>
          <w:szCs w:val="18"/>
          <w:color w:val="auto"/>
        </w:rPr>
        <w:t>Common Stock, par value $0.001 per share</w:t>
      </w:r>
      <w:r>
        <w:rPr>
          <w:sz w:val="20"/>
          <w:szCs w:val="20"/>
          <w:color w:val="auto"/>
        </w:rPr>
        <w:tab/>
      </w:r>
      <w:r>
        <w:rPr>
          <w:rFonts w:ascii="Arial" w:cs="Arial" w:eastAsia="Arial" w:hAnsi="Arial"/>
          <w:sz w:val="18"/>
          <w:szCs w:val="18"/>
          <w:color w:val="auto"/>
        </w:rPr>
        <w:t>CLSD</w:t>
      </w:r>
      <w:r>
        <w:rPr>
          <w:sz w:val="20"/>
          <w:szCs w:val="20"/>
          <w:color w:val="auto"/>
        </w:rPr>
        <w:tab/>
      </w:r>
      <w:r>
        <w:rPr>
          <w:rFonts w:ascii="Arial" w:cs="Arial" w:eastAsia="Arial" w:hAnsi="Arial"/>
          <w:sz w:val="16"/>
          <w:szCs w:val="16"/>
          <w:color w:val="auto"/>
        </w:rPr>
        <w:t>The Nasdaq Stock Market LLC</w:t>
      </w:r>
    </w:p>
    <w:p>
      <w:pPr>
        <w:spacing w:after="0" w:line="90" w:lineRule="exact"/>
        <w:rPr>
          <w:sz w:val="24"/>
          <w:szCs w:val="24"/>
          <w:color w:val="auto"/>
        </w:rPr>
      </w:pPr>
    </w:p>
    <w:p>
      <w:pPr>
        <w:ind w:right="60"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ind w:right="40"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ind w:right="20" w:firstLine="50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8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2" w:lineRule="exact"/>
        <w:rPr>
          <w:sz w:val="24"/>
          <w:szCs w:val="24"/>
          <w:color w:val="auto"/>
        </w:rPr>
      </w:pPr>
    </w:p>
    <w:p>
      <w:pPr>
        <w:ind w:firstLine="509"/>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20" w:right="1200"/>
        <w:spacing w:after="0" w:line="27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10, 2023, the registrant had 62,030,494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5" w:lineRule="exact"/>
        <w:rPr>
          <w:sz w:val="24"/>
          <w:szCs w:val="24"/>
          <w:color w:val="auto"/>
        </w:rPr>
      </w:pPr>
    </w:p>
    <w:p>
      <w:pPr>
        <w:ind w:left="108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6811645</wp:posOffset>
            </wp:positionH>
            <wp:positionV relativeFrom="paragraph">
              <wp:posOffset>15240</wp:posOffset>
            </wp:positionV>
            <wp:extent cx="325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6"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7900" w:type="dxa"/>
            <w:vAlign w:val="bottom"/>
            <w:gridSpan w:val="13"/>
          </w:tcPr>
          <w:p>
            <w:pPr>
              <w:spacing w:after="0"/>
              <w:rPr>
                <w:sz w:val="20"/>
                <w:szCs w:val="20"/>
                <w:color w:val="auto"/>
              </w:rPr>
            </w:pPr>
            <w:r>
              <w:rPr>
                <w:rFonts w:ascii="Arial" w:cs="Arial" w:eastAsia="Arial" w:hAnsi="Arial"/>
                <w:sz w:val="18"/>
                <w:szCs w:val="18"/>
                <w:color w:val="auto"/>
              </w:rPr>
              <w:t>Financial Statements (unaudited)</w:t>
            </w:r>
          </w:p>
        </w:tc>
        <w:tc>
          <w:tcPr>
            <w:tcW w:w="218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900" w:type="dxa"/>
            <w:vAlign w:val="bottom"/>
            <w:gridSpan w:val="13"/>
          </w:tcPr>
          <w:p>
            <w:pPr>
              <w:spacing w:after="0" w:line="202" w:lineRule="exact"/>
              <w:rPr>
                <w:sz w:val="20"/>
                <w:szCs w:val="20"/>
                <w:color w:val="auto"/>
              </w:rPr>
            </w:pPr>
            <w:r>
              <w:rPr>
                <w:rFonts w:ascii="Arial" w:cs="Arial" w:eastAsia="Arial" w:hAnsi="Arial"/>
                <w:sz w:val="18"/>
                <w:szCs w:val="18"/>
                <w:color w:val="0000FF"/>
              </w:rPr>
              <w:t>Consolidated Balance Sheets as of June 30, 2023 and December 31, 2022</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1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FF"/>
                <w:w w:val="89"/>
              </w:rPr>
              <w:t>Consolidated Statements of Operations for the three and six months ended June 30, 2023 and 2022</w:t>
            </w:r>
          </w:p>
        </w:tc>
        <w:tc>
          <w:tcPr>
            <w:tcW w:w="7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9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FF"/>
                <w:w w:val="90"/>
              </w:rPr>
              <w:t>Consolidated Statements of Stockholders’ Equity for the three and six months ended June 30, 2023 and 2022</w:t>
            </w:r>
          </w:p>
        </w:tc>
        <w:tc>
          <w:tcPr>
            <w:tcW w:w="2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FF"/>
                <w:w w:val="89"/>
              </w:rPr>
              <w:t>Consolidated Statements of Cash Flows for the six months ended June 30, 2023 and 2022</w:t>
            </w:r>
          </w:p>
        </w:tc>
        <w:tc>
          <w:tcPr>
            <w:tcW w:w="1400" w:type="dxa"/>
            <w:vAlign w:val="bottom"/>
            <w:gridSpan w:val="2"/>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900" w:type="dxa"/>
            <w:vAlign w:val="bottom"/>
            <w:gridSpan w:val="13"/>
          </w:tcPr>
          <w:p>
            <w:pPr>
              <w:spacing w:after="0"/>
              <w:rPr>
                <w:sz w:val="20"/>
                <w:szCs w:val="20"/>
                <w:color w:val="auto"/>
              </w:rPr>
            </w:pPr>
            <w:r>
              <w:rPr>
                <w:rFonts w:ascii="Arial" w:cs="Arial" w:eastAsia="Arial" w:hAnsi="Arial"/>
                <w:sz w:val="18"/>
                <w:szCs w:val="18"/>
                <w:color w:val="0000FF"/>
              </w:rPr>
              <w:t>Notes to the Consolidated Financial Statements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7900" w:type="dxa"/>
            <w:vAlign w:val="bottom"/>
            <w:gridSpan w:val="1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2"/>
          </w:tcPr>
          <w:p>
            <w:pPr>
              <w:spacing w:after="0"/>
              <w:rPr>
                <w:sz w:val="19"/>
                <w:szCs w:val="19"/>
                <w:color w:val="auto"/>
              </w:rPr>
            </w:pPr>
          </w:p>
        </w:tc>
        <w:tc>
          <w:tcPr>
            <w:tcW w:w="1440" w:type="dxa"/>
            <w:vAlign w:val="bottom"/>
            <w:gridSpan w:val="3"/>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7900" w:type="dxa"/>
            <w:vAlign w:val="bottom"/>
            <w:gridSpan w:val="13"/>
          </w:tcPr>
          <w:p>
            <w:pPr>
              <w:spacing w:after="0"/>
              <w:rPr>
                <w:sz w:val="20"/>
                <w:szCs w:val="20"/>
                <w:color w:val="auto"/>
              </w:rPr>
            </w:pPr>
            <w:r>
              <w:rPr>
                <w:rFonts w:ascii="Arial" w:cs="Arial" w:eastAsia="Arial" w:hAnsi="Arial"/>
                <w:sz w:val="18"/>
                <w:szCs w:val="18"/>
                <w:color w:val="0000FF"/>
              </w:rPr>
              <w:t>Controls and Procedures</w:t>
            </w:r>
          </w:p>
        </w:tc>
        <w:tc>
          <w:tcPr>
            <w:tcW w:w="2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120" w:type="dxa"/>
            <w:vAlign w:val="bottom"/>
            <w:gridSpan w:val="8"/>
          </w:tcPr>
          <w:p>
            <w:pPr>
              <w:ind w:left="1580"/>
              <w:spacing w:after="0"/>
              <w:rPr>
                <w:sz w:val="20"/>
                <w:szCs w:val="20"/>
                <w:color w:val="auto"/>
              </w:rPr>
            </w:pPr>
            <w:r>
              <w:rPr>
                <w:rFonts w:ascii="Arial" w:cs="Arial" w:eastAsia="Arial" w:hAnsi="Arial"/>
                <w:sz w:val="18"/>
                <w:szCs w:val="18"/>
                <w:b w:val="1"/>
                <w:bCs w:val="1"/>
                <w:color w:val="auto"/>
              </w:rPr>
              <w:t>PART II - OTHER INFORMATION</w:t>
            </w:r>
          </w:p>
        </w:tc>
        <w:tc>
          <w:tcPr>
            <w:tcW w:w="2180" w:type="dxa"/>
            <w:vAlign w:val="bottom"/>
          </w:tcPr>
          <w:p>
            <w:pPr>
              <w:spacing w:after="0"/>
              <w:rPr>
                <w:sz w:val="24"/>
                <w:szCs w:val="24"/>
                <w:color w:val="auto"/>
              </w:rPr>
            </w:pPr>
          </w:p>
        </w:tc>
      </w:tr>
      <w:tr>
        <w:trPr>
          <w:trHeight w:val="216"/>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7900" w:type="dxa"/>
            <w:vAlign w:val="bottom"/>
            <w:gridSpan w:val="13"/>
          </w:tcPr>
          <w:p>
            <w:pPr>
              <w:spacing w:after="0"/>
              <w:rPr>
                <w:sz w:val="20"/>
                <w:szCs w:val="20"/>
                <w:color w:val="auto"/>
              </w:rPr>
            </w:pPr>
            <w:r>
              <w:rPr>
                <w:rFonts w:ascii="Arial" w:cs="Arial" w:eastAsia="Arial" w:hAnsi="Arial"/>
                <w:sz w:val="18"/>
                <w:szCs w:val="18"/>
                <w:color w:val="0000FF"/>
              </w:rPr>
              <w:t>Legal Proceedings</w:t>
            </w: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560" w:type="dxa"/>
            <w:vAlign w:val="bottom"/>
            <w:gridSpan w:val="9"/>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3540" w:type="dxa"/>
            <w:vAlign w:val="bottom"/>
            <w:gridSpan w:val="6"/>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7900" w:type="dxa"/>
            <w:vAlign w:val="bottom"/>
            <w:gridSpan w:val="13"/>
          </w:tcPr>
          <w:p>
            <w:pPr>
              <w:spacing w:after="0"/>
              <w:rPr>
                <w:sz w:val="20"/>
                <w:szCs w:val="20"/>
                <w:color w:val="auto"/>
              </w:rPr>
            </w:pPr>
            <w:r>
              <w:rPr>
                <w:rFonts w:ascii="Arial" w:cs="Arial" w:eastAsia="Arial" w:hAnsi="Arial"/>
                <w:sz w:val="18"/>
                <w:szCs w:val="18"/>
                <w:color w:val="0000FF"/>
              </w:rPr>
              <w:t>Exhibits</w:t>
            </w:r>
          </w:p>
        </w:tc>
        <w:tc>
          <w:tcPr>
            <w:tcW w:w="2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013"/>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7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48,258</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49,401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39,185</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1,886</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Liability related to the sales of future royalties, net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38,088</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44,158</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(deficit) equity:</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rPr>
              <w:t>Preferred stock, $0.001 par value; 10,000,000 shares authorized and no</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340"/>
              <w:spacing w:after="0"/>
              <w:rPr>
                <w:sz w:val="20"/>
                <w:szCs w:val="20"/>
                <w:color w:val="auto"/>
              </w:rPr>
            </w:pPr>
            <w:r>
              <w:rPr>
                <w:rFonts w:ascii="Arial" w:cs="Arial" w:eastAsia="Arial" w:hAnsi="Arial"/>
                <w:sz w:val="18"/>
                <w:szCs w:val="18"/>
                <w:color w:val="auto"/>
              </w:rPr>
              <w:t>shares issued at June 30, 2023 and December 31, 2022</w:t>
            </w:r>
          </w:p>
        </w:tc>
        <w:tc>
          <w:tcPr>
            <w:tcW w:w="28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$0.001 par value; 200,000,000 shares authorized at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June 30, 2023 and December 31, 2022; 61,717,445 and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60,639,827 shares issued and outstanding at June 30, 2023</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December 31, 2022, respectively</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301,789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298,984</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(306,824 )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(288,438 )</w:t>
            </w:r>
          </w:p>
        </w:tc>
      </w:tr>
      <w:tr>
        <w:trPr>
          <w:trHeight w:val="20"/>
        </w:trPr>
        <w:tc>
          <w:tcPr>
            <w:tcW w:w="7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40" w:type="dxa"/>
            <w:vAlign w:val="bottom"/>
          </w:tcPr>
          <w:p>
            <w:pPr>
              <w:ind w:left="660"/>
              <w:spacing w:after="0"/>
              <w:rPr>
                <w:sz w:val="20"/>
                <w:szCs w:val="20"/>
                <w:color w:val="auto"/>
              </w:rPr>
            </w:pPr>
            <w:r>
              <w:rPr>
                <w:rFonts w:ascii="Arial" w:cs="Arial" w:eastAsia="Arial" w:hAnsi="Arial"/>
                <w:sz w:val="18"/>
                <w:szCs w:val="18"/>
                <w:color w:val="auto"/>
              </w:rPr>
              <w:t>Total stockholders’ (deficit) equity</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(4,973 )</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10,607</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8"/>
                <w:szCs w:val="18"/>
                <w:color w:val="auto"/>
              </w:rPr>
              <w:t>Total liabilities and stockholders’ (deficit) equity</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39,185</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51,303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-3411220</wp:posOffset>
            </wp:positionV>
            <wp:extent cx="122555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555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-2459355</wp:posOffset>
            </wp:positionV>
            <wp:extent cx="685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-350520</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5"/>
          </w:tcPr>
          <w:p>
            <w:pPr>
              <w:jc w:val="right"/>
              <w:ind w:right="91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380" w:type="dxa"/>
            <w:vAlign w:val="bottom"/>
            <w:gridSpan w:val="5"/>
          </w:tcPr>
          <w:p>
            <w:pPr>
              <w:jc w:val="right"/>
              <w:ind w:right="68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and other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4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5,430</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9,399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w:t>
            </w:r>
          </w:p>
        </w:tc>
        <w:tc>
          <w:tcPr>
            <w:tcW w:w="4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8,288</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15,897</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(7,270</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w:t>
            </w:r>
          </w:p>
        </w:tc>
        <w:tc>
          <w:tcPr>
            <w:tcW w:w="4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interest expense on liability</w:t>
            </w:r>
          </w:p>
        </w:tc>
        <w:tc>
          <w:tcPr>
            <w:tcW w:w="200" w:type="dxa"/>
            <w:vAlign w:val="bottom"/>
            <w:shd w:val="clear" w:color="auto" w:fill="CFF0FC"/>
          </w:tcPr>
          <w:p>
            <w:pPr>
              <w:spacing w:after="0"/>
              <w:rPr>
                <w:sz w:val="19"/>
                <w:szCs w:val="19"/>
                <w:color w:val="auto"/>
              </w:rPr>
            </w:pPr>
          </w:p>
        </w:tc>
        <w:tc>
          <w:tcPr>
            <w:tcW w:w="1200" w:type="dxa"/>
            <w:vAlign w:val="bottom"/>
            <w:gridSpan w:val="2"/>
            <w:vMerge w:val="restart"/>
            <w:shd w:val="clear" w:color="auto" w:fill="CFF0FC"/>
          </w:tcPr>
          <w:p>
            <w:pPr>
              <w:jc w:val="right"/>
              <w:ind w:right="121"/>
              <w:spacing w:after="0"/>
              <w:rPr>
                <w:sz w:val="20"/>
                <w:szCs w:val="20"/>
                <w:color w:val="auto"/>
              </w:rPr>
            </w:pPr>
            <w:r>
              <w:rPr>
                <w:rFonts w:ascii="Arial" w:cs="Arial" w:eastAsia="Arial" w:hAnsi="Arial"/>
                <w:sz w:val="18"/>
                <w:szCs w:val="18"/>
                <w:color w:val="auto"/>
              </w:rPr>
              <w:t>(2,294 )</w:t>
            </w:r>
          </w:p>
        </w:tc>
        <w:tc>
          <w:tcPr>
            <w:tcW w:w="200" w:type="dxa"/>
            <w:vAlign w:val="bottom"/>
            <w:shd w:val="clear" w:color="auto" w:fill="CFF0FC"/>
          </w:tcPr>
          <w:p>
            <w:pPr>
              <w:spacing w:after="0"/>
              <w:rPr>
                <w:sz w:val="19"/>
                <w:szCs w:val="19"/>
                <w:color w:val="auto"/>
              </w:rPr>
            </w:pPr>
          </w:p>
        </w:tc>
        <w:tc>
          <w:tcPr>
            <w:tcW w:w="1320" w:type="dxa"/>
            <w:vAlign w:val="bottom"/>
            <w:gridSpan w:val="2"/>
            <w:vMerge w:val="restart"/>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6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(4,461 )</w:t>
            </w:r>
          </w:p>
        </w:tc>
        <w:tc>
          <w:tcPr>
            <w:tcW w:w="220" w:type="dxa"/>
            <w:vAlign w:val="bottom"/>
            <w:shd w:val="clear" w:color="auto" w:fill="CFF0FC"/>
          </w:tcPr>
          <w:p>
            <w:pPr>
              <w:spacing w:after="0"/>
              <w:rPr>
                <w:sz w:val="19"/>
                <w:szCs w:val="19"/>
                <w:color w:val="auto"/>
              </w:rPr>
            </w:pPr>
          </w:p>
        </w:tc>
        <w:tc>
          <w:tcPr>
            <w:tcW w:w="1000" w:type="dxa"/>
            <w:vAlign w:val="bottom"/>
            <w:gridSpan w:val="2"/>
            <w:vMerge w:val="restart"/>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related to the sales of future royalties</w:t>
            </w:r>
          </w:p>
        </w:tc>
        <w:tc>
          <w:tcPr>
            <w:tcW w:w="20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(9,106 )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30"/>
              <w:spacing w:after="0"/>
              <w:rPr>
                <w:sz w:val="20"/>
                <w:szCs w:val="20"/>
                <w:color w:val="auto"/>
              </w:rPr>
            </w:pPr>
            <w:r>
              <w:rPr>
                <w:rFonts w:ascii="Arial" w:cs="Arial" w:eastAsia="Arial" w:hAnsi="Arial"/>
                <w:sz w:val="18"/>
                <w:szCs w:val="18"/>
                <w:color w:val="auto"/>
              </w:rPr>
              <w:t>(7,813 )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(18,386 )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(15,457 )</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of common stock — basic and diluted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40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61,654,520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60,150,348</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61,413,343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60,107,517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-1311275</wp:posOffset>
            </wp:positionV>
            <wp:extent cx="7683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-1311275</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-1311275</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-1311275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-548005</wp:posOffset>
            </wp:positionV>
            <wp:extent cx="7683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-548005</wp:posOffset>
            </wp:positionV>
            <wp:extent cx="685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-548005</wp:posOffset>
            </wp:positionV>
            <wp:extent cx="6858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-205105</wp:posOffset>
            </wp:positionV>
            <wp:extent cx="2760345"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60345" cy="2057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9"/>
              </w:rPr>
              <w:t>Six Months Ended June 30, 2023</w:t>
            </w: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2120" w:type="dxa"/>
            <w:vAlign w:val="bottom"/>
            <w:gridSpan w:val="3"/>
            <w:vMerge w:val="restart"/>
          </w:tcPr>
          <w:p>
            <w:pPr>
              <w:jc w:val="right"/>
              <w:ind w:right="40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4540" w:type="dxa"/>
            <w:vAlign w:val="bottom"/>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7"/>
              </w:rPr>
              <w:t>Paid-In-Capital</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7"/>
              </w:rPr>
              <w:t>(Deficit) 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60,639,827</w:t>
            </w:r>
          </w:p>
        </w:tc>
        <w:tc>
          <w:tcPr>
            <w:tcW w:w="1060" w:type="dxa"/>
            <w:vAlign w:val="bottom"/>
            <w:gridSpan w:val="2"/>
            <w:shd w:val="clear" w:color="auto" w:fill="CFF0FC"/>
          </w:tcPr>
          <w:p>
            <w:pPr>
              <w:jc w:val="right"/>
              <w:ind w:right="6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298,984</w:t>
            </w:r>
          </w:p>
        </w:tc>
        <w:tc>
          <w:tcPr>
            <w:tcW w:w="480" w:type="dxa"/>
            <w:vAlign w:val="bottom"/>
            <w:gridSpan w:val="2"/>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(288,438 )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Arial" w:cs="Arial" w:eastAsia="Arial" w:hAnsi="Arial"/>
                <w:sz w:val="16"/>
                <w:szCs w:val="16"/>
                <w:color w:val="auto"/>
              </w:rPr>
              <w:t>Issuance of common shares under at-the-market</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sales agreement</w:t>
            </w:r>
          </w:p>
        </w:tc>
        <w:tc>
          <w:tcPr>
            <w:tcW w:w="1060" w:type="dxa"/>
            <w:vAlign w:val="bottom"/>
          </w:tcPr>
          <w:p>
            <w:pPr>
              <w:jc w:val="right"/>
              <w:spacing w:after="0"/>
              <w:rPr>
                <w:sz w:val="20"/>
                <w:szCs w:val="20"/>
                <w:color w:val="auto"/>
              </w:rPr>
            </w:pPr>
            <w:r>
              <w:rPr>
                <w:rFonts w:ascii="Arial" w:cs="Arial" w:eastAsia="Arial" w:hAnsi="Arial"/>
                <w:sz w:val="16"/>
                <w:szCs w:val="16"/>
                <w:color w:val="auto"/>
              </w:rPr>
              <w:t>214,128</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and settlement of restricted 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471,390</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Arial" w:cs="Arial" w:eastAsia="Arial" w:hAnsi="Arial"/>
                <w:sz w:val="16"/>
                <w:szCs w:val="16"/>
                <w:color w:val="auto"/>
              </w:rPr>
              <w:t>Issuance of common shares under employee stock</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1060" w:type="dxa"/>
            <w:vAlign w:val="bottom"/>
          </w:tcPr>
          <w:p>
            <w:pPr>
              <w:jc w:val="right"/>
              <w:spacing w:after="0"/>
              <w:rPr>
                <w:sz w:val="20"/>
                <w:szCs w:val="20"/>
                <w:color w:val="auto"/>
              </w:rPr>
            </w:pPr>
            <w:r>
              <w:rPr>
                <w:rFonts w:ascii="Arial" w:cs="Arial" w:eastAsia="Arial" w:hAnsi="Arial"/>
                <w:sz w:val="16"/>
                <w:szCs w:val="16"/>
                <w:color w:val="auto"/>
              </w:rPr>
              <w:t>38,954</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Share-based compensation 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(9,280 )</w:t>
            </w: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(9,280 )</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March 31, 2023</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61,364,299</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22"/>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300,357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(297,718 )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Arial" w:cs="Arial" w:eastAsia="Arial" w:hAnsi="Arial"/>
                <w:sz w:val="16"/>
                <w:szCs w:val="16"/>
                <w:color w:val="auto"/>
              </w:rPr>
              <w:t>Issuance of common shares under at-the-market</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sales agreement</w:t>
            </w:r>
          </w:p>
        </w:tc>
        <w:tc>
          <w:tcPr>
            <w:tcW w:w="1060" w:type="dxa"/>
            <w:vAlign w:val="bottom"/>
          </w:tcPr>
          <w:p>
            <w:pPr>
              <w:jc w:val="right"/>
              <w:spacing w:after="0"/>
              <w:rPr>
                <w:sz w:val="20"/>
                <w:szCs w:val="20"/>
                <w:color w:val="auto"/>
              </w:rPr>
            </w:pPr>
            <w:r>
              <w:rPr>
                <w:rFonts w:ascii="Arial" w:cs="Arial" w:eastAsia="Arial" w:hAnsi="Arial"/>
                <w:sz w:val="16"/>
                <w:szCs w:val="16"/>
                <w:color w:val="auto"/>
              </w:rPr>
              <w:t>328,147</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24,999</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(9,106 )</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(9,106 )</w:t>
            </w:r>
          </w:p>
        </w:tc>
        <w:tc>
          <w:tcPr>
            <w:tcW w:w="0" w:type="dxa"/>
            <w:vAlign w:val="bottom"/>
          </w:tcPr>
          <w:p>
            <w:pPr>
              <w:spacing w:after="0"/>
              <w:rPr>
                <w:sz w:val="1"/>
                <w:szCs w:val="1"/>
                <w:color w:val="auto"/>
              </w:rPr>
            </w:pPr>
          </w:p>
        </w:tc>
      </w:tr>
      <w:tr>
        <w:trPr>
          <w:trHeight w:val="23"/>
        </w:trPr>
        <w:tc>
          <w:tcPr>
            <w:tcW w:w="4540" w:type="dxa"/>
            <w:vAlign w:val="bottom"/>
            <w:shd w:val="clear" w:color="auto" w:fill="CFF0F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Balance at June 30, 2023</w:t>
            </w:r>
          </w:p>
        </w:tc>
        <w:tc>
          <w:tcPr>
            <w:tcW w:w="1060" w:type="dxa"/>
            <w:vAlign w:val="bottom"/>
          </w:tcPr>
          <w:p>
            <w:pPr>
              <w:jc w:val="right"/>
              <w:spacing w:after="0"/>
              <w:rPr>
                <w:sz w:val="20"/>
                <w:szCs w:val="20"/>
                <w:color w:val="auto"/>
              </w:rPr>
            </w:pPr>
            <w:r>
              <w:rPr>
                <w:rFonts w:ascii="Arial" w:cs="Arial" w:eastAsia="Arial" w:hAnsi="Arial"/>
                <w:sz w:val="16"/>
                <w:szCs w:val="16"/>
                <w:color w:val="auto"/>
              </w:rPr>
              <w:t>61,717,445</w:t>
            </w:r>
          </w:p>
        </w:tc>
        <w:tc>
          <w:tcPr>
            <w:tcW w:w="260" w:type="dxa"/>
            <w:vAlign w:val="bottom"/>
          </w:tcPr>
          <w:p>
            <w:pPr>
              <w:spacing w:after="0"/>
              <w:rPr>
                <w:sz w:val="19"/>
                <w:szCs w:val="19"/>
                <w:color w:val="auto"/>
              </w:rPr>
            </w:pPr>
          </w:p>
        </w:tc>
        <w:tc>
          <w:tcPr>
            <w:tcW w:w="800" w:type="dxa"/>
            <w:vAlign w:val="bottom"/>
          </w:tcPr>
          <w:p>
            <w:pPr>
              <w:jc w:val="right"/>
              <w:ind w:right="622"/>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62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301,789</w:t>
            </w:r>
          </w:p>
        </w:tc>
        <w:tc>
          <w:tcPr>
            <w:tcW w:w="24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(306,824 )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(4,973 )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5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9"/>
              </w:rPr>
              <w:t>Six Months Ended June 30, 2022</w:t>
            </w: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2120" w:type="dxa"/>
            <w:vAlign w:val="bottom"/>
            <w:gridSpan w:val="3"/>
            <w:vMerge w:val="restart"/>
          </w:tcPr>
          <w:p>
            <w:pPr>
              <w:jc w:val="right"/>
              <w:ind w:right="40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4540" w:type="dxa"/>
            <w:vAlign w:val="bottom"/>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7"/>
              </w:rPr>
              <w:t>Paid-In-Capital</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Balance at December 31,2021</w:t>
            </w:r>
          </w:p>
        </w:tc>
        <w:tc>
          <w:tcPr>
            <w:tcW w:w="1060" w:type="dxa"/>
            <w:vAlign w:val="bottom"/>
          </w:tcPr>
          <w:p>
            <w:pPr>
              <w:jc w:val="right"/>
              <w:spacing w:after="0"/>
              <w:rPr>
                <w:sz w:val="20"/>
                <w:szCs w:val="20"/>
                <w:color w:val="auto"/>
              </w:rPr>
            </w:pPr>
            <w:r>
              <w:rPr>
                <w:rFonts w:ascii="Arial" w:cs="Arial" w:eastAsia="Arial" w:hAnsi="Arial"/>
                <w:sz w:val="16"/>
                <w:szCs w:val="16"/>
                <w:color w:val="auto"/>
              </w:rPr>
              <w:t>59,722,930</w:t>
            </w:r>
          </w:p>
        </w:tc>
        <w:tc>
          <w:tcPr>
            <w:tcW w:w="1060" w:type="dxa"/>
            <w:vAlign w:val="bottom"/>
            <w:gridSpan w:val="2"/>
          </w:tcPr>
          <w:p>
            <w:pPr>
              <w:jc w:val="right"/>
              <w:ind w:right="6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60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293,406</w:t>
            </w:r>
          </w:p>
        </w:tc>
        <w:tc>
          <w:tcPr>
            <w:tcW w:w="4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(255,491 )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22,727</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Arial" w:cs="Arial" w:eastAsia="Arial" w:hAnsi="Arial"/>
                <w:sz w:val="16"/>
                <w:szCs w:val="16"/>
                <w:color w:val="auto"/>
              </w:rPr>
              <w:t>Vesting and settlement of restricted stock units</w:t>
            </w:r>
          </w:p>
        </w:tc>
        <w:tc>
          <w:tcPr>
            <w:tcW w:w="1060" w:type="dxa"/>
            <w:vAlign w:val="bottom"/>
          </w:tcPr>
          <w:p>
            <w:pPr>
              <w:jc w:val="right"/>
              <w:spacing w:after="0"/>
              <w:rPr>
                <w:sz w:val="20"/>
                <w:szCs w:val="20"/>
                <w:color w:val="auto"/>
              </w:rPr>
            </w:pPr>
            <w:r>
              <w:rPr>
                <w:rFonts w:ascii="Arial" w:cs="Arial" w:eastAsia="Arial" w:hAnsi="Arial"/>
                <w:sz w:val="16"/>
                <w:szCs w:val="16"/>
                <w:color w:val="auto"/>
              </w:rPr>
              <w:t>375,331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shares under employee</w:t>
            </w: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stock purchase plan</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26,630</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(7,644 )</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(7,644 )</w:t>
            </w:r>
          </w:p>
        </w:tc>
        <w:tc>
          <w:tcPr>
            <w:tcW w:w="0" w:type="dxa"/>
            <w:vAlign w:val="bottom"/>
          </w:tcPr>
          <w:p>
            <w:pPr>
              <w:spacing w:after="0"/>
              <w:rPr>
                <w:sz w:val="1"/>
                <w:szCs w:val="1"/>
                <w:color w:val="auto"/>
              </w:rPr>
            </w:pPr>
          </w:p>
        </w:tc>
      </w:tr>
      <w:tr>
        <w:trPr>
          <w:trHeight w:val="23"/>
        </w:trPr>
        <w:tc>
          <w:tcPr>
            <w:tcW w:w="4540" w:type="dxa"/>
            <w:vAlign w:val="bottom"/>
            <w:shd w:val="clear" w:color="auto" w:fill="CFF0F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54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1060" w:type="dxa"/>
            <w:vAlign w:val="bottom"/>
          </w:tcPr>
          <w:p>
            <w:pPr>
              <w:jc w:val="right"/>
              <w:spacing w:after="0"/>
              <w:rPr>
                <w:sz w:val="20"/>
                <w:szCs w:val="20"/>
                <w:color w:val="auto"/>
              </w:rPr>
            </w:pPr>
            <w:r>
              <w:rPr>
                <w:rFonts w:ascii="Arial" w:cs="Arial" w:eastAsia="Arial" w:hAnsi="Arial"/>
                <w:sz w:val="16"/>
                <w:szCs w:val="16"/>
                <w:color w:val="auto"/>
              </w:rPr>
              <w:t>60,147,618</w:t>
            </w:r>
          </w:p>
        </w:tc>
        <w:tc>
          <w:tcPr>
            <w:tcW w:w="260" w:type="dxa"/>
            <w:vAlign w:val="bottom"/>
          </w:tcPr>
          <w:p>
            <w:pPr>
              <w:spacing w:after="0"/>
              <w:rPr>
                <w:sz w:val="19"/>
                <w:szCs w:val="19"/>
                <w:color w:val="auto"/>
              </w:rPr>
            </w:pPr>
          </w:p>
        </w:tc>
        <w:tc>
          <w:tcPr>
            <w:tcW w:w="800" w:type="dxa"/>
            <w:vAlign w:val="bottom"/>
          </w:tcPr>
          <w:p>
            <w:pPr>
              <w:jc w:val="right"/>
              <w:ind w:right="622"/>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60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294,778</w:t>
            </w:r>
          </w:p>
        </w:tc>
        <w:tc>
          <w:tcPr>
            <w:tcW w:w="24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(263,135 )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2,824</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(7,813 )</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(7,813 )</w:t>
            </w:r>
          </w:p>
        </w:tc>
        <w:tc>
          <w:tcPr>
            <w:tcW w:w="0" w:type="dxa"/>
            <w:vAlign w:val="bottom"/>
          </w:tcPr>
          <w:p>
            <w:pPr>
              <w:spacing w:after="0"/>
              <w:rPr>
                <w:sz w:val="1"/>
                <w:szCs w:val="1"/>
                <w:color w:val="auto"/>
              </w:rPr>
            </w:pPr>
          </w:p>
        </w:tc>
      </w:tr>
      <w:tr>
        <w:trPr>
          <w:trHeight w:val="23"/>
        </w:trPr>
        <w:tc>
          <w:tcPr>
            <w:tcW w:w="4540" w:type="dxa"/>
            <w:vAlign w:val="bottom"/>
            <w:shd w:val="clear" w:color="auto" w:fill="CFF0F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1060" w:type="dxa"/>
            <w:vAlign w:val="bottom"/>
          </w:tcPr>
          <w:p>
            <w:pPr>
              <w:jc w:val="right"/>
              <w:spacing w:after="0"/>
              <w:rPr>
                <w:sz w:val="20"/>
                <w:szCs w:val="20"/>
                <w:color w:val="auto"/>
              </w:rPr>
            </w:pPr>
            <w:r>
              <w:rPr>
                <w:rFonts w:ascii="Arial" w:cs="Arial" w:eastAsia="Arial" w:hAnsi="Arial"/>
                <w:sz w:val="16"/>
                <w:szCs w:val="16"/>
                <w:color w:val="auto"/>
              </w:rPr>
              <w:t>60,150,442</w:t>
            </w:r>
          </w:p>
        </w:tc>
        <w:tc>
          <w:tcPr>
            <w:tcW w:w="260" w:type="dxa"/>
            <w:vAlign w:val="bottom"/>
          </w:tcPr>
          <w:p>
            <w:pPr>
              <w:spacing w:after="0"/>
              <w:rPr>
                <w:sz w:val="19"/>
                <w:szCs w:val="19"/>
                <w:color w:val="auto"/>
              </w:rPr>
            </w:pPr>
          </w:p>
        </w:tc>
        <w:tc>
          <w:tcPr>
            <w:tcW w:w="800" w:type="dxa"/>
            <w:vAlign w:val="bottom"/>
          </w:tcPr>
          <w:p>
            <w:pPr>
              <w:jc w:val="right"/>
              <w:ind w:right="622"/>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60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296,136</w:t>
            </w:r>
          </w:p>
        </w:tc>
        <w:tc>
          <w:tcPr>
            <w:tcW w:w="24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(270,948 )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-2579370</wp:posOffset>
            </wp:positionV>
            <wp:extent cx="7683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-2579370</wp:posOffset>
            </wp:positionV>
            <wp:extent cx="7747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-2579370</wp:posOffset>
            </wp:positionV>
            <wp:extent cx="6858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-2579370</wp:posOffset>
            </wp:positionV>
            <wp:extent cx="685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-770890</wp:posOffset>
            </wp:positionV>
            <wp:extent cx="7683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-770890</wp:posOffset>
            </wp:positionV>
            <wp:extent cx="7747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-770890</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-770890</wp:posOffset>
            </wp:positionV>
            <wp:extent cx="6858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-179070</wp:posOffset>
            </wp:positionV>
            <wp:extent cx="76835"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-179070</wp:posOffset>
            </wp:positionV>
            <wp:extent cx="7747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-179070</wp:posOffset>
            </wp:positionV>
            <wp:extent cx="6858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-179070</wp:posOffset>
            </wp:positionV>
            <wp:extent cx="6858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(18,386 )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(15,457 )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
              <w:spacing w:after="0"/>
              <w:rPr>
                <w:sz w:val="20"/>
                <w:szCs w:val="20"/>
                <w:color w:val="auto"/>
              </w:rPr>
            </w:pPr>
            <w:r>
              <w:rPr>
                <w:rFonts w:ascii="Arial" w:cs="Arial" w:eastAsia="Arial" w:hAnsi="Arial"/>
                <w:sz w:val="18"/>
                <w:szCs w:val="18"/>
                <w:color w:val="auto"/>
              </w:rPr>
              <w:t>Non-cash interest expense on liability related to the sales of</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160"/>
              <w:spacing w:after="0"/>
              <w:rPr>
                <w:sz w:val="20"/>
                <w:szCs w:val="20"/>
                <w:color w:val="auto"/>
              </w:rPr>
            </w:pPr>
            <w:r>
              <w:rPr>
                <w:rFonts w:ascii="Arial" w:cs="Arial" w:eastAsia="Arial" w:hAnsi="Arial"/>
                <w:sz w:val="18"/>
                <w:szCs w:val="18"/>
                <w:color w:val="auto"/>
              </w:rPr>
              <w:t>future royalties, net of issuance costs accretion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(119 )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10,477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 and liabilities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(82 )</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(785 )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(12,555 )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(1,572 )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Acquisition of property and equipment</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(1,212 )</w:t>
            </w: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at-the-market sales agreement, net of issuance costs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Payments to royalty purchase and sale agreement</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(350 )</w:t>
            </w: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shares issued under employee stock purchase plan</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(13,413 )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(1,503 )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48,418</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35,005</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29,193</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60"/>
              <w:spacing w:after="0"/>
              <w:rPr>
                <w:sz w:val="20"/>
                <w:szCs w:val="20"/>
                <w:color w:val="auto"/>
              </w:rPr>
            </w:pPr>
            <w:r>
              <w:rPr>
                <w:rFonts w:ascii="Arial" w:cs="Arial" w:eastAsia="Arial" w:hAnsi="Arial"/>
                <w:sz w:val="18"/>
                <w:szCs w:val="18"/>
                <w:color w:val="auto"/>
              </w:rPr>
              <w:t>Purchase of property and equipment included in accrued liabilities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-2374265</wp:posOffset>
            </wp:positionV>
            <wp:extent cx="6858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-2374265</wp:posOffset>
            </wp:positionV>
            <wp:extent cx="6858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-805815</wp:posOffset>
            </wp:positionV>
            <wp:extent cx="6858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-805815</wp:posOffset>
            </wp:positionV>
            <wp:extent cx="6858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-488315</wp:posOffset>
            </wp:positionV>
            <wp:extent cx="6858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p>
      <w:pPr>
        <w:spacing w:after="0" w:line="27"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35,005</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29,033</w:t>
            </w: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35,005</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CLEARSIDE BIOMEDICAL,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right="60" w:firstLine="509"/>
        <w:spacing w:after="0" w:line="235" w:lineRule="auto"/>
        <w:rPr>
          <w:sz w:val="20"/>
          <w:szCs w:val="20"/>
          <w:color w:val="auto"/>
        </w:rPr>
      </w:pPr>
      <w:r>
        <w:rPr>
          <w:rFonts w:ascii="Arial" w:cs="Arial" w:eastAsia="Arial" w:hAnsi="Arial"/>
          <w:sz w:val="18"/>
          <w:szCs w:val="18"/>
          <w:color w:val="auto"/>
        </w:rPr>
        <w:t>Clearside Biomedical, Inc. (the “Company”) is a biopharmaceutical company focused on revolutionizing the delivery of therapies to the back of the eye through the suprachoroidal space (SCS</w:t>
      </w:r>
      <w:r>
        <w:rPr>
          <w:rFonts w:ascii="Arial" w:cs="Arial" w:eastAsia="Arial" w:hAnsi="Arial"/>
          <w:sz w:val="24"/>
          <w:szCs w:val="24"/>
          <w:color w:val="auto"/>
          <w:vertAlign w:val="superscript"/>
        </w:rPr>
        <w:t>®</w:t>
      </w:r>
      <w:r>
        <w:rPr>
          <w:rFonts w:ascii="Arial" w:cs="Arial" w:eastAsia="Arial" w:hAnsi="Arial"/>
          <w:sz w:val="18"/>
          <w:szCs w:val="18"/>
          <w:color w:val="auto"/>
        </w:rPr>
        <w:t>). Incorporated in the State of Delaware on May 26, 2011, the Company has its corporate headquarters in Alpharetta, Georgia.</w:t>
      </w:r>
    </w:p>
    <w:p>
      <w:pPr>
        <w:spacing w:after="0" w:line="94"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The Company’s activities since inception have primarily consisted of developing product and technology rights, raising capital and performing research and development activities.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had cash and cash equivalents of $35.0 million as of June 30, 2023.</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May 2023, the Company terminated its at-the-market sales agreement with Cowen and Company, LLC (the" ATM Agreement"). The Company sold 515,959 shares of its common stock for net proceeds of $0.7 million under its ATM Agreement with Cowen and Company, LLC during the six months ended June 30, 2023, prior to the termination of the ATM Agreement.</w:t>
      </w:r>
    </w:p>
    <w:p>
      <w:pPr>
        <w:spacing w:after="0" w:line="80" w:lineRule="exact"/>
        <w:rPr>
          <w:sz w:val="20"/>
          <w:szCs w:val="20"/>
          <w:color w:val="auto"/>
        </w:rPr>
      </w:pPr>
    </w:p>
    <w:p>
      <w:pPr>
        <w:ind w:right="60" w:firstLine="562"/>
        <w:spacing w:after="0" w:line="255" w:lineRule="auto"/>
        <w:rPr>
          <w:sz w:val="20"/>
          <w:szCs w:val="20"/>
          <w:color w:val="auto"/>
        </w:rPr>
      </w:pPr>
      <w:r>
        <w:rPr>
          <w:rFonts w:ascii="Arial" w:cs="Arial" w:eastAsia="Arial" w:hAnsi="Arial"/>
          <w:sz w:val="17"/>
          <w:szCs w:val="17"/>
          <w:color w:val="auto"/>
        </w:rPr>
        <w:t>In May 2023, the Company entered into a Controlled Equity Offering</w:t>
      </w:r>
      <w:r>
        <w:rPr>
          <w:rFonts w:ascii="Arial" w:cs="Arial" w:eastAsia="Arial" w:hAnsi="Arial"/>
          <w:sz w:val="23"/>
          <w:szCs w:val="23"/>
          <w:color w:val="auto"/>
          <w:vertAlign w:val="superscript"/>
        </w:rPr>
        <w:t>SM</w:t>
      </w:r>
      <w:r>
        <w:rPr>
          <w:rFonts w:ascii="Arial" w:cs="Arial" w:eastAsia="Arial" w:hAnsi="Arial"/>
          <w:sz w:val="17"/>
          <w:szCs w:val="17"/>
          <w:color w:val="auto"/>
        </w:rPr>
        <w:t xml:space="preserve"> Sales Agreement (the "Sales Agreement") with Cantor Fitzgerald &amp; Co. ("Cantor") under which the Company may offer and sell, from time to time at its sole discretion, shares of its common stock, having an aggregate offering price of up to $50.0 million through Cantor as its sales agent. During the six months ended June 30, 2023, the Company sold 26,316 shares of its common stock for net proceeds of $32,000 under the Sales Agreement. Subsequent to June 30, 2023, the Company sold an additional 283,894 shares of its common stock pursuant to the Sales Agreement for net proceeds of $0.3 million.</w:t>
      </w:r>
    </w:p>
    <w:p>
      <w:pPr>
        <w:spacing w:after="0" w:line="85"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On August 8, 2022, the Company through its wholly-owned subsidiary Clearside Royalty LLC, a Delaware limited liability company (“Royalty Sub”), entered into a Purchase and Sale Agreement (the "Purchase and Sale Agreement") with entities managed by HealthCare Royalty Management, LLC (“HCR”) pursuant to which it sold its rights to receive royalty and milestone payments due to the Company from XIPERE and certain SCS Microinjector license agreements subject to a cap which may be increased under certain circumstances. The Company received a payment of $32.1 million in September 2022,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w:t>
      </w:r>
    </w:p>
    <w:p>
      <w:pPr>
        <w:spacing w:after="0" w:line="56"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The Company has suffered recurring losses and negative cash flows from operations since inception and anticipates incurring additional losses until such time, if ever, that it can generate significant revenue. The Company has no current source of revenue to sustain present activities. The Company does not expect to generate other meaningful revenue until and unless the Company's licensees successfully commercialize XIPERE and the Company has fulfilled its obligations under the Purchase and Sale Agreement, its other licensees receive regulatory approval and successfully commercialize its product candidates, or the Company commercializes its product candidates either on its own or with a third party. In the absence of product or other revenues, the amount, timing, nature or source of which cannot be predicted, the Company’s losses will continue as it conducts its research and development activities.</w:t>
      </w:r>
    </w:p>
    <w:p>
      <w:pPr>
        <w:spacing w:after="0" w:line="56"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 Company will continue to need to obtain additional financing to fund future operations, including completing the development, partnering and potential commercialization of its primary product candidates. The Company will need to obtain financing to complete the development and conduct clinical trials for the regulatory approval of its product candidates if requested by regulatory bodies. If such product candidates were to receive regulatory approval, the Company would need to obtain financing to prepare for the potential commercialization of its product candidates, if the Company decides to commercialize the products on its own.</w:t>
      </w:r>
    </w:p>
    <w:p>
      <w:pPr>
        <w:spacing w:after="0" w:line="80"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These conditions raise substantial doubt about the Company’s ability to continue as a going concern within one year after the date the financial statements are issued. Based on its current plans and forecasted expenses, the Company expects that its cash and cash equivalents as of the filing date, August 14, 2023, will enable it to fund its planned operating expenses and capital expenditure requirements into the third quarter of 2024.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70" w:lineRule="exact"/>
        <w:rPr>
          <w:sz w:val="20"/>
          <w:szCs w:val="20"/>
          <w:color w:val="auto"/>
        </w:rPr>
      </w:pPr>
    </w:p>
    <w:p>
      <w:pPr>
        <w:ind w:right="180" w:firstLine="509"/>
        <w:spacing w:after="0" w:line="258" w:lineRule="auto"/>
        <w:rPr>
          <w:sz w:val="20"/>
          <w:szCs w:val="20"/>
          <w:color w:val="auto"/>
        </w:rPr>
      </w:pPr>
      <w:r>
        <w:rPr>
          <w:rFonts w:ascii="Arial" w:cs="Arial" w:eastAsia="Arial" w:hAnsi="Arial"/>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 w:name="page8"/>
    <w:bookmarkEnd w:id="7"/>
    <w:p>
      <w:pPr>
        <w:ind w:right="320"/>
        <w:spacing w:after="0" w:line="277" w:lineRule="auto"/>
        <w:rPr>
          <w:sz w:val="20"/>
          <w:szCs w:val="20"/>
          <w:color w:val="auto"/>
        </w:rPr>
      </w:pPr>
      <w:r>
        <w:rPr>
          <w:rFonts w:ascii="Arial" w:cs="Arial" w:eastAsia="Arial" w:hAnsi="Arial"/>
          <w:sz w:val="18"/>
          <w:szCs w:val="18"/>
          <w:color w:val="auto"/>
        </w:rPr>
        <w:t>possible future effects on the recoverability and classification of recorded asset amounts or the amounts and classification of liabilities that might result should the Company be unable to continue as a going concern.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The Company's consolidated financial statements include the results of the financial operations of Clearside Biomedical, Inc. and its wholly-owned subsidiary, Clearside Royalty, LLC. a Delaware limited liability company, which was formed for the purposes of the transactions contemplated by the Purchase and Sale Agreement describe in Note 5. All intercompany balances and transactions have been eliminated.</w:t>
      </w:r>
    </w:p>
    <w:p>
      <w:pPr>
        <w:spacing w:after="0" w:line="57"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The Company’s consolidated financial statements have been prepared in conformity with accounting principles generally accepted in the United States of America (“U.S. GAAP”). In the opinion of management, the Company has made all necessary adjustments, which include normal recurring adjustments necessary for a fair statement of the Company’s consolidated financial position and results of operations for the interim periods presented. The results for the three and six months ended June 30, 2023 are not indicative of results to be expected for the year ending December 31, 2023, any other interim periods or any future year or period. These unaudited financial statements should be read in conjunction with the audited financial statements and related footnotes, which are included in the Company’s Annual Report on Form 10-K for the year ended December 31,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revenue recognition, the accounting for useful lives to calculate depreciation and amortization, clinical trial expense accruals, share-based compensation expense and income tax valuation allowance.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212529"/>
        </w:rPr>
        <w:t xml:space="preserve">The Company recognizes revenue from its contracts with customers under Financial Accounting Standards Board Accounting Standards Codification (“ASC”) Topic 606, </w:t>
      </w:r>
      <w:r>
        <w:rPr>
          <w:rFonts w:ascii="Arial" w:cs="Arial" w:eastAsia="Arial" w:hAnsi="Arial"/>
          <w:sz w:val="16"/>
          <w:szCs w:val="16"/>
          <w:i w:val="1"/>
          <w:iCs w:val="1"/>
          <w:color w:val="212529"/>
        </w:rPr>
        <w:t>Revenue from Contracts with Customers.</w:t>
      </w:r>
      <w:r>
        <w:rPr>
          <w:rFonts w:ascii="Arial" w:cs="Arial" w:eastAsia="Arial" w:hAnsi="Arial"/>
          <w:sz w:val="16"/>
          <w:szCs w:val="16"/>
          <w:color w:val="212529"/>
        </w:rPr>
        <w:t xml:space="preserve">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58" w:lineRule="exact"/>
        <w:rPr>
          <w:sz w:val="20"/>
          <w:szCs w:val="20"/>
          <w:color w:val="auto"/>
        </w:rPr>
      </w:pPr>
    </w:p>
    <w:p>
      <w:pPr>
        <w:ind w:right="420" w:firstLine="578"/>
        <w:spacing w:after="0" w:line="257" w:lineRule="auto"/>
        <w:rPr>
          <w:sz w:val="20"/>
          <w:szCs w:val="20"/>
          <w:color w:val="auto"/>
        </w:rPr>
      </w:pPr>
      <w:r>
        <w:rPr>
          <w:rFonts w:ascii="Arial" w:cs="Arial" w:eastAsia="Arial" w:hAnsi="Arial"/>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w:t>
      </w:r>
    </w:p>
    <w:p>
      <w:pPr>
        <w:spacing w:after="0" w:line="117" w:lineRule="exact"/>
        <w:rPr>
          <w:sz w:val="20"/>
          <w:szCs w:val="20"/>
          <w:color w:val="auto"/>
        </w:rPr>
      </w:pPr>
    </w:p>
    <w:p>
      <w:pPr>
        <w:ind w:left="1020" w:right="7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preclinical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preclinical and clinical development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the Company’s product candidates;</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 w:name="page9"/>
    <w:bookmarkEnd w:id="8"/>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Costs for certain development activities, such as clinical trial activities, are recognized based on an evaluation of the estimated total costs for the clinical trial, progress to completion of specific tasks using data such as patient enrollment, pass 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financial statements as prepaid or accrued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00" w:firstLine="562"/>
        <w:spacing w:after="0" w:line="259" w:lineRule="auto"/>
        <w:rPr>
          <w:sz w:val="20"/>
          <w:szCs w:val="20"/>
          <w:color w:val="auto"/>
        </w:rPr>
      </w:pPr>
      <w:r>
        <w:rPr>
          <w:rFonts w:ascii="Arial" w:cs="Arial" w:eastAsia="Arial" w:hAnsi="Arial"/>
          <w:sz w:val="18"/>
          <w:szCs w:val="18"/>
          <w:color w:val="auto"/>
        </w:rPr>
        <w:t>Compensation cost related to share-based awards granted to employees, directors and consultants is measured based on the estimated fair value of the award at the grant date. The Company estimates the fair value of stock options using a Black-Scholes option pricing model. The fair value of restricted stock units granted is measured based on the market value of the Company’s common stock on the date of grant. Share-based compensation costs are expensed on a straight-line basis over the relevant vesting period.</w:t>
      </w:r>
    </w:p>
    <w:p>
      <w:pPr>
        <w:spacing w:after="0" w:line="79"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9"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based upon the recipient's underlying role within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Related to the Sales of Future Royalties and Non-Cash Interest Expense</w:t>
      </w:r>
    </w:p>
    <w:p>
      <w:pPr>
        <w:spacing w:after="0" w:line="1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The Company recognizes a liability related to the sales of future royalties under ASC 470-10 Debt and ASC 835-30 Interest - Imputation of Interest. The initial funds received by the Company pursuant to the terms of the Purchase and Sale Agreement were recorded as a liability and will be accreted under the effective interest method up to the estimated amount of future royalties and milestone payments to be made under the Purchase and Sale Agreement.</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issuance costs were recorded as a direct deduction to the carrying amount of the liability and will be amortized under the effective interest method over the estimated period the liability will be repaid. The Company estimated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the Company will prospectively adjust the effective interest and the related amortization of the liability and related issuance costs.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Useful Lives</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4"/>
          </w:tcPr>
          <w:p>
            <w:pPr>
              <w:jc w:val="right"/>
              <w:ind w:right="750"/>
              <w:spacing w:after="0"/>
              <w:rPr>
                <w:sz w:val="20"/>
                <w:szCs w:val="20"/>
                <w:color w:val="auto"/>
              </w:rPr>
            </w:pPr>
            <w:r>
              <w:rPr>
                <w:rFonts w:ascii="Arial" w:cs="Arial" w:eastAsia="Arial" w:hAnsi="Arial"/>
                <w:sz w:val="16"/>
                <w:szCs w:val="16"/>
                <w:b w:val="1"/>
                <w:bCs w:val="1"/>
                <w:color w:val="auto"/>
                <w:w w:val="87"/>
              </w:rPr>
              <w:t>June 30,</w:t>
            </w: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(Years)</w:t>
            </w: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200" w:type="dxa"/>
            <w:vAlign w:val="bottom"/>
            <w:shd w:val="clear" w:color="auto" w:fill="CFF0FC"/>
          </w:tcPr>
          <w:p>
            <w:pPr>
              <w:jc w:val="center"/>
              <w:ind w:left="93"/>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200" w:type="dxa"/>
            <w:vAlign w:val="bottom"/>
          </w:tcPr>
          <w:p>
            <w:pPr>
              <w:jc w:val="center"/>
              <w:ind w:left="93"/>
              <w:spacing w:after="0"/>
              <w:rPr>
                <w:sz w:val="20"/>
                <w:szCs w:val="20"/>
                <w:color w:val="auto"/>
              </w:rPr>
            </w:pPr>
            <w:r>
              <w:rPr>
                <w:rFonts w:ascii="Arial" w:cs="Arial" w:eastAsia="Arial" w:hAnsi="Arial"/>
                <w:sz w:val="18"/>
                <w:szCs w:val="18"/>
                <w:color w:val="auto"/>
                <w:w w:val="99"/>
              </w:rPr>
              <w:t>5</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343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1200" w:type="dxa"/>
            <w:vAlign w:val="bottom"/>
            <w:shd w:val="clear" w:color="auto" w:fill="CFF0FC"/>
          </w:tcPr>
          <w:p>
            <w:pPr>
              <w:jc w:val="center"/>
              <w:ind w:left="93"/>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9"/>
              </w:rPr>
              <w:t>Lesser of</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spacing w:after="0"/>
              <w:rPr>
                <w:sz w:val="19"/>
                <w:szCs w:val="19"/>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4"/>
              </w:rPr>
              <w:t>useful life or</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3"/>
              </w:rPr>
              <w:t>remaining</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8"/>
              </w:rPr>
              <w:t>lease term</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476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Work in process</w:t>
            </w:r>
          </w:p>
        </w:tc>
        <w:tc>
          <w:tcPr>
            <w:tcW w:w="1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1,848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20" w:type="dxa"/>
            <w:vAlign w:val="bottom"/>
          </w:tcPr>
          <w:p>
            <w:pPr>
              <w:ind w:left="120"/>
              <w:spacing w:after="0"/>
              <w:rPr>
                <w:sz w:val="20"/>
                <w:szCs w:val="20"/>
                <w:color w:val="auto"/>
              </w:rPr>
            </w:pPr>
            <w:r>
              <w:rPr>
                <w:rFonts w:ascii="Arial" w:cs="Arial" w:eastAsia="Arial" w:hAnsi="Arial"/>
                <w:sz w:val="18"/>
                <w:szCs w:val="18"/>
                <w:color w:val="auto"/>
              </w:rPr>
              <w:t>Total property and equipment</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2,936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1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84"/>
              </w:rPr>
              <w:t>(884 )</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(853 )</w:t>
            </w:r>
          </w:p>
        </w:tc>
        <w:tc>
          <w:tcPr>
            <w:tcW w:w="0" w:type="dxa"/>
            <w:vAlign w:val="bottom"/>
          </w:tcPr>
          <w:p>
            <w:pPr>
              <w:spacing w:after="0"/>
              <w:rPr>
                <w:sz w:val="1"/>
                <w:szCs w:val="1"/>
                <w:color w:val="auto"/>
              </w:rPr>
            </w:pPr>
          </w:p>
        </w:tc>
      </w:tr>
      <w:tr>
        <w:trPr>
          <w:trHeight w:val="236"/>
        </w:trPr>
        <w:tc>
          <w:tcPr>
            <w:tcW w:w="632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Property and equipment, net</w:t>
            </w:r>
          </w:p>
        </w:tc>
        <w:tc>
          <w:tcPr>
            <w:tcW w:w="12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2,052</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3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right"/>
              <w:ind w:right="372"/>
              <w:spacing w:after="0"/>
              <w:rPr>
                <w:sz w:val="20"/>
                <w:szCs w:val="20"/>
                <w:color w:val="auto"/>
              </w:rPr>
            </w:pPr>
            <w:r>
              <w:rPr>
                <w:rFonts w:ascii="Arial" w:cs="Arial" w:eastAsia="Arial" w:hAnsi="Arial"/>
                <w:sz w:val="16"/>
                <w:szCs w:val="16"/>
                <w:b w:val="1"/>
                <w:bCs w:val="1"/>
                <w:color w:val="auto"/>
              </w:rPr>
              <w:t>June 30,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42"/>
        </w:trPr>
        <w:tc>
          <w:tcPr>
            <w:tcW w:w="6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w w:val="89"/>
              </w:rPr>
              <w:t>2023</w:t>
            </w:r>
          </w:p>
        </w:tc>
        <w:tc>
          <w:tcPr>
            <w:tcW w:w="5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w:t>
            </w:r>
          </w:p>
        </w:tc>
        <w:tc>
          <w:tcPr>
            <w:tcW w:w="1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600" w:type="dxa"/>
            <w:vAlign w:val="bottom"/>
            <w:gridSpan w:val="2"/>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Accrued employee costs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970</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fees</w:t>
            </w:r>
          </w:p>
        </w:tc>
        <w:tc>
          <w:tcPr>
            <w:tcW w:w="1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Accrued expense</w:t>
            </w:r>
          </w:p>
        </w:tc>
        <w:tc>
          <w:tcPr>
            <w:tcW w:w="1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3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60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-2305050</wp:posOffset>
            </wp:positionV>
            <wp:extent cx="6858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-1988185</wp:posOffset>
            </wp:positionV>
            <wp:extent cx="685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w:t>
      </w:r>
      <w:r>
        <w:rPr>
          <w:rFonts w:ascii="Arial" w:cs="Arial" w:eastAsia="Arial" w:hAnsi="Arial"/>
          <w:sz w:val="18"/>
          <w:szCs w:val="18"/>
          <w:b w:val="1"/>
          <w:bCs w:val="1"/>
          <w:color w:val="auto"/>
        </w:rPr>
        <w:t xml:space="preserve"> Royalty Purchase and Sale Agreement</w:t>
      </w:r>
    </w:p>
    <w:p>
      <w:pPr>
        <w:spacing w:after="0" w:line="121"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On August 8, 2022 (the “Closing Date”), the Company, through Royalty Sub, entered into the Purchase and Sale Agreement with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Biosciences, Inc. (the “Aura License Agreement”), that certain Option and License Agreement, dated as of August 29, 2019, by and between REGENXBIO Inc. and the Company (the “REGENXBIO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(collectively, the “Royalties”), in exchange for up to $65 million. In connection with this transaction, the Company assigned the Arctic Vision License Agreement, Bausch License Agreement, Aura License Agreement, REGENXBIO License Agreement, the Company's license agreement with Emory University and The Georgia Tech Research Corporation and related intellectual property rights to Royalty Sub.</w:t>
      </w:r>
    </w:p>
    <w:p>
      <w:pPr>
        <w:spacing w:after="0" w:line="60" w:lineRule="exact"/>
        <w:rPr>
          <w:sz w:val="20"/>
          <w:szCs w:val="20"/>
          <w:color w:val="auto"/>
        </w:rPr>
      </w:pPr>
    </w:p>
    <w:p>
      <w:pPr>
        <w:ind w:right="220" w:firstLine="554"/>
        <w:spacing w:after="0" w:line="293" w:lineRule="auto"/>
        <w:rPr>
          <w:sz w:val="20"/>
          <w:szCs w:val="20"/>
          <w:color w:val="auto"/>
        </w:rPr>
      </w:pPr>
      <w:r>
        <w:rPr>
          <w:rFonts w:ascii="Arial" w:cs="Arial" w:eastAsia="Arial" w:hAnsi="Arial"/>
          <w:sz w:val="16"/>
          <w:szCs w:val="16"/>
          <w:color w:val="auto"/>
        </w:rPr>
        <w:t>Under the terms of the Purchase and Sale Agreement, Royalty Sub received an initial payment of $32.1 million,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 An additional $12.5 million was deposited by HCR in an escrow account to be released to Royalty Sub upon attainment of a pre-specified XIPERE sales milestone achieved no later than March 31, 2024. The terms of the Purchase and Sale Agreement also provide for an additional $20 million milestone payment to Royalty Sub upon attainment of a second pre-specified sales milestone related to 2024 XIPERE sales (the "Second Milestone Event").</w:t>
      </w:r>
    </w:p>
    <w:p>
      <w:pPr>
        <w:spacing w:after="0" w:line="56"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The Purchase and Sale Agreement will automatically expire, and the payment of Royalties from the Royalty Sub to HCR will cease, when HCR has received payments of the Royalties equal to 2.5 times the aggregate amount of payments made by HCR under the Agreement if the Second Milestone Event is achieved on or prior to December 31, 2024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(the “Alternative Cap”, and together with the Initial Cap, the “Cap Amount”). In the event of a change in control, acquiror will have the option to make a payment to HCR of the Cap Amount then in effect, less the aggregate amount of Royalty payments made by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right="80"/>
        <w:spacing w:after="0" w:line="257" w:lineRule="auto"/>
        <w:rPr>
          <w:sz w:val="20"/>
          <w:szCs w:val="20"/>
          <w:color w:val="auto"/>
        </w:rPr>
      </w:pPr>
      <w:r>
        <w:rPr>
          <w:rFonts w:ascii="Arial" w:cs="Arial" w:eastAsia="Arial" w:hAnsi="Arial"/>
          <w:sz w:val="18"/>
          <w:szCs w:val="18"/>
          <w:color w:val="auto"/>
        </w:rPr>
        <w:t>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Alternative Cap. After the Purchase and Sale Agreement expires, all rights to receive the Royalties return to Royalty Sub.</w:t>
      </w:r>
    </w:p>
    <w:p>
      <w:pPr>
        <w:spacing w:after="0" w:line="8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Issuance costs pursuant to the Purchase and Sale Agreement consisting primarily of advisory and legal fees, totaled $1.9 million including the amount of HCR's transaction-related expenses that the Company reimbursed. The effective interest rate includes cash flow projections for future royalty and milestone payments, which are sensitive to certain assumptions, including market size, market penetration and sales price, that are forward looking and could be affected by future market conditions.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Purchase and Sale Agreement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 purchase and sale agreement balance at December 31, 2022</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Payments</w:t>
            </w:r>
          </w:p>
        </w:tc>
        <w:tc>
          <w:tcPr>
            <w:tcW w:w="7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(350 )</w:t>
            </w:r>
          </w:p>
        </w:tc>
        <w:tc>
          <w:tcPr>
            <w:tcW w:w="60" w:type="dxa"/>
            <w:vAlign w:val="bottom"/>
          </w:tcPr>
          <w:p>
            <w:pPr>
              <w:spacing w:after="0"/>
              <w:rPr>
                <w:sz w:val="20"/>
                <w:szCs w:val="20"/>
                <w:color w:val="auto"/>
              </w:rPr>
            </w:pPr>
          </w:p>
        </w:tc>
      </w:tr>
      <w:tr>
        <w:trPr>
          <w:trHeight w:val="249"/>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Non-cash interest expense</w:t>
            </w:r>
          </w:p>
        </w:tc>
        <w:tc>
          <w:tcPr>
            <w:tcW w:w="7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9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3"/>
        </w:trPr>
        <w:tc>
          <w:tcPr>
            <w:tcW w:w="9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Effective interest rate</w:t>
            </w:r>
          </w:p>
        </w:tc>
        <w:tc>
          <w:tcPr>
            <w:tcW w:w="7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29.1 %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The Company’s amended and restated certificate of incorporation authorizes the Company to issue 200,000,000 shares of $0.001 par value common stock. As of June 30, 2023 and December 31, 2022, there were 61,717,445 and 60,639,827 shares of common stock outstanding,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Purchase Warrants</w:t>
      </w:r>
    </w:p>
    <w:p>
      <w:pPr>
        <w:spacing w:after="0" w:line="121"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In September 2016, in connection with a loan agreement, the Company issued warrants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6"/>
          <w:szCs w:val="16"/>
          <w:color w:val="1F497D"/>
        </w:rPr>
        <w:t>.</w:t>
      </w:r>
      <w:r>
        <w:rPr>
          <w:rFonts w:ascii="Arial" w:cs="Arial" w:eastAsia="Arial" w:hAnsi="Arial"/>
          <w:sz w:val="16"/>
          <w:szCs w:val="16"/>
          <w:color w:val="auto"/>
        </w:rPr>
        <w:t xml:space="preserve"> The warrants were recorded in equity and had a weighted average remaining life of 3.25 years as of June 30, 2023.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4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Share-based compensation expense for options granted under the 2011 Plan and the 2016 Plan is reflected in the statements of operations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180" w:type="dxa"/>
            <w:vAlign w:val="bottom"/>
            <w:gridSpan w:val="4"/>
          </w:tcPr>
          <w:p>
            <w:pPr>
              <w:jc w:val="right"/>
              <w:ind w:right="9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7"/>
                <w:szCs w:val="17"/>
                <w:color w:val="auto"/>
              </w:rPr>
            </w:pPr>
          </w:p>
        </w:tc>
      </w:tr>
      <w:tr>
        <w:trPr>
          <w:trHeight w:val="223"/>
        </w:trPr>
        <w:tc>
          <w:tcPr>
            <w:tcW w:w="37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000" w:type="dxa"/>
            <w:vAlign w:val="bottom"/>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4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4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FF0FC"/>
          </w:tcPr>
          <w:p>
            <w:pPr>
              <w:spacing w:after="0"/>
              <w:rPr>
                <w:sz w:val="21"/>
                <w:szCs w:val="2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0"/>
                <w:szCs w:val="20"/>
                <w:color w:val="auto"/>
              </w:rPr>
            </w:pPr>
          </w:p>
        </w:tc>
      </w:tr>
      <w:tr>
        <w:trPr>
          <w:trHeight w:val="277"/>
        </w:trPr>
        <w:tc>
          <w:tcPr>
            <w:tcW w:w="3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9"/>
        </w:trPr>
        <w:tc>
          <w:tcPr>
            <w:tcW w:w="37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376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-376555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-359410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-376555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-359410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-376555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-359410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 following table summarizes the activity related to stock options during the six months ended June 30,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0"/>
                <w:szCs w:val="20"/>
                <w:color w:val="auto"/>
              </w:rPr>
            </w:pPr>
          </w:p>
        </w:tc>
      </w:tr>
      <w:tr>
        <w:trPr>
          <w:trHeight w:val="243"/>
        </w:trPr>
        <w:tc>
          <w:tcPr>
            <w:tcW w:w="7680" w:type="dxa"/>
            <w:vAlign w:val="bottom"/>
          </w:tcPr>
          <w:p>
            <w:pPr>
              <w:spacing w:after="0"/>
              <w:rPr>
                <w:sz w:val="21"/>
                <w:szCs w:val="21"/>
                <w:color w:val="auto"/>
              </w:rPr>
            </w:pPr>
          </w:p>
        </w:tc>
        <w:tc>
          <w:tcPr>
            <w:tcW w:w="19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21"/>
                <w:szCs w:val="21"/>
                <w:color w:val="auto"/>
              </w:rPr>
            </w:pPr>
          </w:p>
        </w:tc>
      </w:tr>
      <w:tr>
        <w:trPr>
          <w:trHeight w:val="250"/>
        </w:trPr>
        <w:tc>
          <w:tcPr>
            <w:tcW w:w="7680" w:type="dxa"/>
            <w:vAlign w:val="bottom"/>
          </w:tcPr>
          <w:p>
            <w:pPr>
              <w:spacing w:after="0"/>
              <w:rPr>
                <w:sz w:val="21"/>
                <w:szCs w:val="21"/>
                <w:color w:val="auto"/>
              </w:rPr>
            </w:pPr>
          </w:p>
        </w:tc>
        <w:tc>
          <w:tcPr>
            <w:tcW w:w="19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outstanding at December 31,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6,915,330</w:t>
            </w:r>
          </w:p>
        </w:tc>
        <w:tc>
          <w:tcPr>
            <w:tcW w:w="3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2,550,750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(24,999 )</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FF0FC"/>
          </w:tcPr>
          <w:p>
            <w:pPr>
              <w:spacing w:after="0"/>
              <w:rPr>
                <w:sz w:val="21"/>
                <w:szCs w:val="21"/>
                <w:color w:val="auto"/>
              </w:rPr>
            </w:pPr>
          </w:p>
        </w:tc>
      </w:tr>
      <w:tr>
        <w:trPr>
          <w:trHeight w:val="243"/>
        </w:trPr>
        <w:tc>
          <w:tcPr>
            <w:tcW w:w="76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(335,547 )</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outstanding at June 30, 2023</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9,105,534</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at December 31, 2022</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4,223,931</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at June 30, 2023</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5,204,602</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-693420</wp:posOffset>
            </wp:positionV>
            <wp:extent cx="6858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-359410</wp:posOffset>
            </wp:positionV>
            <wp:extent cx="6858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7" w:lineRule="exact"/>
        <w:rPr>
          <w:sz w:val="20"/>
          <w:szCs w:val="20"/>
          <w:color w:val="auto"/>
        </w:rPr>
      </w:pPr>
    </w:p>
    <w:p>
      <w:pPr>
        <w:jc w:val="both"/>
        <w:ind w:right="140" w:firstLine="509"/>
        <w:spacing w:after="0" w:line="277" w:lineRule="auto"/>
        <w:rPr>
          <w:sz w:val="20"/>
          <w:szCs w:val="20"/>
          <w:color w:val="auto"/>
        </w:rPr>
      </w:pPr>
      <w:r>
        <w:rPr>
          <w:rFonts w:ascii="Arial" w:cs="Arial" w:eastAsia="Arial" w:hAnsi="Arial"/>
          <w:sz w:val="18"/>
          <w:szCs w:val="18"/>
          <w:color w:val="auto"/>
        </w:rPr>
        <w:t>As of June 30, 2023, the Company had $5.2 million of unrecognized compensation expense related to unvested stock options, which is expected to be recognized over a weighted average period of 2.6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The Company has granted restricted stock units (“RSUs”) to employees from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share-based compensation expense related to RSUs is reflected in the statements of operations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2180" w:type="dxa"/>
            <w:vAlign w:val="bottom"/>
            <w:gridSpan w:val="4"/>
          </w:tcPr>
          <w:p>
            <w:pPr>
              <w:jc w:val="right"/>
              <w:ind w:right="9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7"/>
                <w:szCs w:val="17"/>
                <w:color w:val="auto"/>
              </w:rPr>
            </w:pPr>
          </w:p>
        </w:tc>
      </w:tr>
      <w:tr>
        <w:trPr>
          <w:trHeight w:val="223"/>
        </w:trPr>
        <w:tc>
          <w:tcPr>
            <w:tcW w:w="57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top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4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spacing w:after="0"/>
              <w:rPr>
                <w:sz w:val="21"/>
                <w:szCs w:val="2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r>
      <w:tr>
        <w:trPr>
          <w:trHeight w:val="276"/>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-24765</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gridSpan w:val="2"/>
          </w:tcPr>
          <w:p>
            <w:pPr>
              <w:ind w:left="520"/>
              <w:spacing w:after="0"/>
              <w:rPr>
                <w:sz w:val="20"/>
                <w:szCs w:val="20"/>
                <w:color w:val="auto"/>
              </w:rPr>
            </w:pPr>
            <w:r>
              <w:rPr>
                <w:rFonts w:ascii="Arial" w:cs="Arial" w:eastAsia="Arial" w:hAnsi="Arial"/>
                <w:sz w:val="18"/>
                <w:szCs w:val="18"/>
                <w:color w:val="auto"/>
                <w:w w:val="90"/>
              </w:rPr>
              <w:t>The following table summarizes the activity related to RSUs during the six months ended June 30, 2023:</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7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24"/>
                <w:szCs w:val="24"/>
                <w:color w:val="auto"/>
              </w:rPr>
            </w:pPr>
          </w:p>
        </w:tc>
      </w:tr>
      <w:tr>
        <w:trPr>
          <w:trHeight w:val="243"/>
        </w:trPr>
        <w:tc>
          <w:tcPr>
            <w:tcW w:w="7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21"/>
                <w:szCs w:val="21"/>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Grant Date</w:t>
            </w:r>
          </w:p>
        </w:tc>
        <w:tc>
          <w:tcPr>
            <w:tcW w:w="100" w:type="dxa"/>
            <w:vAlign w:val="bottom"/>
          </w:tcPr>
          <w:p>
            <w:pPr>
              <w:spacing w:after="0"/>
              <w:rPr>
                <w:sz w:val="21"/>
                <w:szCs w:val="21"/>
                <w:color w:val="auto"/>
              </w:rPr>
            </w:pPr>
          </w:p>
        </w:tc>
      </w:tr>
      <w:tr>
        <w:trPr>
          <w:trHeight w:val="250"/>
        </w:trPr>
        <w:tc>
          <w:tcPr>
            <w:tcW w:w="7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1"/>
                <w:szCs w:val="21"/>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RSUs outstanding at December 31, 2022</w:t>
            </w:r>
          </w:p>
        </w:tc>
        <w:tc>
          <w:tcPr>
            <w:tcW w:w="38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1,462,932</w:t>
            </w:r>
          </w:p>
        </w:tc>
        <w:tc>
          <w:tcPr>
            <w:tcW w:w="30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spacing w:after="0"/>
              <w:rPr>
                <w:sz w:val="21"/>
                <w:szCs w:val="21"/>
                <w:color w:val="auto"/>
              </w:rPr>
            </w:pPr>
          </w:p>
        </w:tc>
      </w:tr>
      <w:tr>
        <w:trPr>
          <w:trHeight w:val="237"/>
        </w:trPr>
        <w:tc>
          <w:tcPr>
            <w:tcW w:w="8060" w:type="dxa"/>
            <w:vAlign w:val="bottom"/>
            <w:gridSpan w:val="2"/>
          </w:tcPr>
          <w:p>
            <w:pPr>
              <w:ind w:left="120"/>
              <w:spacing w:after="0"/>
              <w:rPr>
                <w:sz w:val="20"/>
                <w:szCs w:val="20"/>
                <w:color w:val="auto"/>
              </w:rPr>
            </w:pPr>
            <w:r>
              <w:rPr>
                <w:rFonts w:ascii="Arial" w:cs="Arial" w:eastAsia="Arial" w:hAnsi="Arial"/>
                <w:sz w:val="18"/>
                <w:szCs w:val="18"/>
                <w:color w:val="auto"/>
              </w:rPr>
              <w:t>Vested</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(471,390 )</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Forfeited</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(95,876 )</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Non-vested RSUs outstanding at June 30, 2023</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895,666</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3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7" w:lineRule="exact"/>
        <w:rPr>
          <w:sz w:val="20"/>
          <w:szCs w:val="20"/>
          <w:color w:val="auto"/>
        </w:rPr>
      </w:pPr>
    </w:p>
    <w:p>
      <w:pPr>
        <w:ind w:right="820" w:firstLine="614"/>
        <w:spacing w:after="0" w:line="258" w:lineRule="auto"/>
        <w:rPr>
          <w:sz w:val="20"/>
          <w:szCs w:val="20"/>
          <w:color w:val="auto"/>
        </w:rPr>
      </w:pPr>
      <w:r>
        <w:rPr>
          <w:rFonts w:ascii="Arial" w:cs="Arial" w:eastAsia="Arial" w:hAnsi="Arial"/>
          <w:sz w:val="18"/>
          <w:szCs w:val="18"/>
          <w:color w:val="auto"/>
        </w:rPr>
        <w:t>As of June 30, 2023, the Company had $2.1 million of unrecognized compensation expense related to the RSUs which is expected to be recognized over a weighted average period of 1.9 years.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share-based compensation expense recognized for the 2016 ESPP is reflected in the statements of operations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2280" w:type="dxa"/>
            <w:vAlign w:val="bottom"/>
            <w:gridSpan w:val="4"/>
          </w:tcPr>
          <w:p>
            <w:pPr>
              <w:jc w:val="right"/>
              <w:ind w:right="19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7"/>
                <w:szCs w:val="17"/>
                <w:color w:val="auto"/>
              </w:rPr>
            </w:pPr>
          </w:p>
        </w:tc>
      </w:tr>
      <w:tr>
        <w:trPr>
          <w:trHeight w:val="223"/>
        </w:trPr>
        <w:tc>
          <w:tcPr>
            <w:tcW w:w="57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6"/>
                <w:szCs w:val="16"/>
                <w:b w:val="1"/>
                <w:bCs w:val="1"/>
                <w:color w:val="auto"/>
              </w:rPr>
              <w:t>June 30,</w:t>
            </w:r>
          </w:p>
        </w:tc>
        <w:tc>
          <w:tcPr>
            <w:tcW w:w="2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6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9"/>
                <w:szCs w:val="19"/>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Borders>
              <w:top w:val="single" w:sz="8" w:color="auto"/>
            </w:tcBorders>
            <w:shd w:val="clear" w:color="auto" w:fill="CFF0FC"/>
          </w:tcPr>
          <w:p>
            <w:pPr>
              <w:jc w:val="right"/>
              <w:ind w:right="675"/>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1"/>
                <w:szCs w:val="2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r>
      <w:tr>
        <w:trPr>
          <w:trHeight w:val="277"/>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675"/>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-24765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2023, the Company issued 38,954 shares of common stock purchased under the 2016 ESPP.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November 2022, the Company signed an amended office lease agreement to lease approximately 14,000 square feet of office space in Alpharetta, Georgia for its corporate headquarters. The amended office lease agreement is for a four year term with a renewal option for an additional 38 months. Rental payments are $30,747 per month subject to an increase of 3% per year. Rent expense under this lease is recognized on a straight-line basis over the term of the lease. In addition, the office lease agreement requires payment of the pro-rata share of the annual operating expenses associated with the premises.</w:t>
      </w:r>
    </w:p>
    <w:p>
      <w:pPr>
        <w:spacing w:after="0" w:line="80" w:lineRule="exact"/>
        <w:rPr>
          <w:sz w:val="20"/>
          <w:szCs w:val="20"/>
          <w:color w:val="auto"/>
        </w:rPr>
      </w:pPr>
    </w:p>
    <w:p>
      <w:pPr>
        <w:jc w:val="both"/>
        <w:ind w:right="180" w:firstLine="562"/>
        <w:spacing w:after="0" w:line="311" w:lineRule="auto"/>
        <w:rPr>
          <w:sz w:val="20"/>
          <w:szCs w:val="20"/>
          <w:color w:val="auto"/>
        </w:rPr>
      </w:pPr>
      <w:r>
        <w:rPr>
          <w:rFonts w:ascii="Arial" w:cs="Arial" w:eastAsia="Arial" w:hAnsi="Arial"/>
          <w:sz w:val="16"/>
          <w:szCs w:val="16"/>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w:t>
      </w:r>
    </w:p>
    <w:p>
      <w:pPr>
        <w:spacing w:after="0" w:line="4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17" w:lineRule="exact"/>
        <w:rPr>
          <w:sz w:val="20"/>
          <w:szCs w:val="20"/>
          <w:color w:val="auto"/>
        </w:rPr>
      </w:pPr>
    </w:p>
    <w:p>
      <w:pPr>
        <w:ind w:right="420" w:firstLine="509"/>
        <w:spacing w:after="0" w:line="342"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and Other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Bausch + Lomb</w:t>
      </w:r>
    </w:p>
    <w:p>
      <w:pPr>
        <w:spacing w:after="0" w:line="117"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On October 22, 2019, the Company entered into a License Agreement (as amended, the "Bausch License Agreement") with Bausch + Lomb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combination with the Device (together with XIPERE, the “Products”), subject to specified exceptions, in the United States and Canada (the “Territory”) for the treatment of ophthalmology indications, including non-infectious uveitis.</w:t>
      </w:r>
    </w:p>
    <w:p>
      <w:pPr>
        <w:spacing w:after="0" w:line="6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Pursuant to the Bausch License Agreement, Bausch paid the Company an aggregate of $20.0 million in upfront and milestone payments.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 million of cumulative net sales of all products in the Territory. Bausch launched XIPERE in the United States in the first quarter of 2022. The Company's rights to these royalties and milestone payments have been sold pursuant to the terms and conditions of the Purchase and Sale Agreement described in Note 5 to the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Arctic Vision (Hong Kong) Limited</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On March 10, 2020, the Company entered into a License Agreement (the “Arctic License Agreement”) with Arctic Vision (Hong Kong) Limited (“Arctic Vision”). Pursuant to the Arctic License Agreement, the Company has granted an exclusive license to Arctic Vision to develop, distribute, promote, market and commercialize XIPERE, subject to specified exceptions, in China, Hong Kong, Macau, Taiwan and South Korea (the “Arctic Territory”). Under the terms of the Arctic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87"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Pursuant to the Arctic License Agreement, Arctic Vision paid the Company an aggregate of $8.0 million in upfront and milestone payments. In addition, Arctic Vision has agreed to pay the Company up to $24.0 million in development and sales milestones. Further, during the applicable royalty term, the Company will also be entitled to receive tiered royalties of ten to twelve percent of net sales based on achieving certain annual net sales thresholds in the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The Company's rights to these royalties and milestone payments have been sold pursuant to the terms and conditions of the Purchase and Sale Agreement described in Note 5 to the consolidated financial statements.</w:t>
      </w:r>
    </w:p>
    <w:p>
      <w:pPr>
        <w:spacing w:after="0" w:line="70" w:lineRule="exact"/>
        <w:rPr>
          <w:sz w:val="20"/>
          <w:szCs w:val="20"/>
          <w:color w:val="auto"/>
        </w:rPr>
      </w:pPr>
    </w:p>
    <w:p>
      <w:pPr>
        <w:ind w:right="80" w:firstLine="554"/>
        <w:spacing w:after="0" w:line="279" w:lineRule="auto"/>
        <w:rPr>
          <w:sz w:val="20"/>
          <w:szCs w:val="20"/>
          <w:color w:val="auto"/>
        </w:rPr>
      </w:pPr>
      <w:r>
        <w:rPr>
          <w:rFonts w:ascii="Arial" w:cs="Arial" w:eastAsia="Arial" w:hAnsi="Arial"/>
          <w:sz w:val="17"/>
          <w:szCs w:val="17"/>
          <w:color w:val="auto"/>
        </w:rPr>
        <w:t>In August 2021, the Company entered into an amendment to the Arctic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 received an aggregate of $3.0 million in consideration for the expansion of the Arctic Territory.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Company’s material financial instruments at June 30, 2023 and December 31, 2022 consisted primarily of cash and cash equivalents. The fair values of cash and cash equivalents, other current assets and accounts payable approximate their respective carrying values due to the short term nature of these instruments and are classified as Level 1 in the fair value hierarchy. The fair value of liability related to the sales of future royalties approximates the carrying value due to the short period of time that has elapsed from the origination date and the absence of any identifiable factors that would be reasonably expected to materially impact the fair value of the liability.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were no transfers between Levels 1, 2 and 3 during the six months ended June 30, 2023 and the year ended December 31, 2022.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20" w:type="dxa"/>
            <w:vAlign w:val="bottom"/>
            <w:gridSpan w:val="3"/>
          </w:tcPr>
          <w:p>
            <w:pPr>
              <w:jc w:val="center"/>
              <w:ind w:left="897"/>
              <w:spacing w:after="0"/>
              <w:rPr>
                <w:sz w:val="20"/>
                <w:szCs w:val="20"/>
                <w:color w:val="auto"/>
              </w:rPr>
            </w:pPr>
            <w:r>
              <w:rPr>
                <w:rFonts w:ascii="Arial" w:cs="Arial" w:eastAsia="Arial" w:hAnsi="Arial"/>
                <w:sz w:val="16"/>
                <w:szCs w:val="16"/>
                <w:b w:val="1"/>
                <w:bCs w:val="1"/>
                <w:color w:val="auto"/>
                <w:w w:val="92"/>
              </w:rPr>
              <w:t>Six Months Ended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20" w:type="dxa"/>
            <w:vAlign w:val="bottom"/>
            <w:tcBorders>
              <w:bottom w:val="single" w:sz="8" w:color="auto"/>
            </w:tcBorders>
            <w:gridSpan w:val="3"/>
          </w:tcPr>
          <w:p>
            <w:pPr>
              <w:jc w:val="center"/>
              <w:ind w:left="957"/>
              <w:spacing w:after="0"/>
              <w:rPr>
                <w:sz w:val="20"/>
                <w:szCs w:val="20"/>
                <w:color w:val="auto"/>
              </w:rPr>
            </w:pPr>
            <w:r>
              <w:rPr>
                <w:rFonts w:ascii="Arial" w:cs="Arial" w:eastAsia="Arial" w:hAnsi="Arial"/>
                <w:sz w:val="16"/>
                <w:szCs w:val="16"/>
                <w:b w:val="1"/>
                <w:bCs w:val="1"/>
                <w:color w:val="auto"/>
                <w:w w:val="90"/>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6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stock options</w:t>
            </w:r>
          </w:p>
        </w:tc>
        <w:tc>
          <w:tcPr>
            <w:tcW w:w="37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9,105,534</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7,471,217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Non-vested restricted stock units</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895,666</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1,590,476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 purchase warrants</w:t>
            </w:r>
          </w:p>
        </w:tc>
        <w:tc>
          <w:tcPr>
            <w:tcW w:w="37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60" w:type="dxa"/>
            <w:vAlign w:val="bottom"/>
          </w:tcPr>
          <w:p>
            <w:pPr>
              <w:spacing w:after="0"/>
              <w:rPr>
                <w:sz w:val="20"/>
                <w:szCs w:val="20"/>
                <w:color w:val="auto"/>
              </w:rPr>
            </w:pP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10,030,996</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9,091,489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720" w:type="dxa"/>
            <w:vAlign w:val="bottom"/>
            <w:vMerge w:val="restart"/>
          </w:tcPr>
          <w:p>
            <w:pPr>
              <w:jc w:val="right"/>
              <w:ind w:right="1870"/>
              <w:spacing w:after="0"/>
              <w:rPr>
                <w:sz w:val="20"/>
                <w:szCs w:val="20"/>
                <w:color w:val="auto"/>
              </w:rPr>
            </w:pPr>
            <w:r>
              <w:rPr>
                <w:rFonts w:ascii="Arial" w:cs="Arial" w:eastAsia="Arial" w:hAnsi="Arial"/>
                <w:sz w:val="18"/>
                <w:szCs w:val="18"/>
                <w:color w:val="auto"/>
              </w:rPr>
              <w:t>14</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96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-539115</wp:posOffset>
            </wp:positionV>
            <wp:extent cx="685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85"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2022 appearing in our Annual Report on Form 10-K filed with the SEC on March 14,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are a biopharmaceutical company focused on revolutionizing the delivery of therapies to the back of the eye through the suprachoroidal space, or SCS</w:t>
      </w:r>
      <w:r>
        <w:rPr>
          <w:rFonts w:ascii="Arial" w:cs="Arial" w:eastAsia="Arial" w:hAnsi="Arial"/>
          <w:sz w:val="23"/>
          <w:szCs w:val="23"/>
          <w:color w:val="auto"/>
          <w:vertAlign w:val="superscript"/>
        </w:rPr>
        <w:t>®</w:t>
      </w:r>
      <w:r>
        <w:rPr>
          <w:rFonts w:ascii="Arial" w:cs="Arial" w:eastAsia="Arial" w:hAnsi="Arial"/>
          <w:sz w:val="17"/>
          <w:szCs w:val="17"/>
          <w:color w:val="auto"/>
        </w:rPr>
        <w:t>. Our novel SCS injection platform, utilizing our proprietary SCS Microinjector</w:t>
      </w:r>
      <w:r>
        <w:rPr>
          <w:rFonts w:ascii="Arial" w:cs="Arial" w:eastAsia="Arial" w:hAnsi="Arial"/>
          <w:sz w:val="23"/>
          <w:szCs w:val="23"/>
          <w:color w:val="auto"/>
          <w:vertAlign w:val="superscript"/>
        </w:rPr>
        <w:t>®</w:t>
      </w:r>
      <w:r>
        <w:rPr>
          <w:rFonts w:ascii="Arial" w:cs="Arial" w:eastAsia="Arial" w:hAnsi="Arial"/>
          <w:sz w:val="17"/>
          <w:szCs w:val="17"/>
          <w:color w:val="auto"/>
        </w:rPr>
        <w:t>,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spacing w:after="0" w:line="83"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 We believe that we are creating a broad therapeutic platform for developing product candidates to treat serious eye diseases.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7"/>
          <w:szCs w:val="17"/>
          <w:color w:val="auto"/>
        </w:rPr>
        <w:t>The current development status of our pipeline of internal product candidates and external collaborations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22225</wp:posOffset>
            </wp:positionV>
            <wp:extent cx="6172200" cy="2828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7220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Commercial Product</w:t>
      </w:r>
    </w:p>
    <w:p>
      <w:pPr>
        <w:spacing w:after="0" w:line="126"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XIPERE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(triamcinolone acetonide injectable suspension) for suprachoroidal use, was approved by the U.S. Food and Drug Administration, or the FDA, in October 2021. XIPERE is the first approved therapeutic delivered into the SCS, the first commercial product developed by us and the first therapy for macular edema associated with uveitis. XIPERE commercialization rights are licensed to Bausch + Lomb in the U.S. and Arctic Vision in Asia.</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Clinical Development Pipeline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CLS-AX (axitinib injectable suspension)</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CLS-AX, our most advanced product candidate, is our proprietary suspension of the TKI axitinib for suprachoroidal injection delivered via our SCS Microinjector. We are developing CLS-AX for administration to the SCS as a long-acting therapy for neovascular age-related macular degeneration (wet AMD), a retinal degenerative disease that causes a progressive loss of central vision.</w:t>
      </w:r>
    </w:p>
    <w:p>
      <w:pPr>
        <w:spacing w:after="0" w:line="76"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In February 2023, we announced the final, positive results from the OASIS Phase 1/2a clinical trial in wet AMD. CLS-AX was well-tolerated and demonstrated a favorable safety profile across all cohorts. The full extension data for Cohorts 3 and 4 showed promising durability and signs of biologic effect.</w:t>
      </w:r>
    </w:p>
    <w:p>
      <w:pPr>
        <w:spacing w:after="0" w:line="76"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Based on the results from the OASIS trial, we are conducting a randomized, controlled, double-masked, Phase 2b clinical trial of CLS-AX for the treatment of wet AMD, which we refer to as ODYSSEY. ODYSSEY will compare CLS-AX suprachoroidal injection and aflibercept intravitreal injection over 36 weeks and is expected to have 60 total participants with a 2:1 randomization. The primary outcome measure is a mean change in best corrected visual acuity from baseline to week 36. The secondary outcome measures are changes in visual function and ocular anatomy, need for supplemental treatment and treatment burden as measured by total injections over the trial duration. We began enrolling participants in May 2023 and randomized our first participants in July 2023. As of August 14, 2023, we have nearly all of our planned 30 sites open to enroll participants in the trial. We expect to report topline data in the third quarter of 2024.</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We have an experienced team of scientists and researchers evaluating small molecules that may be utilized as potential treatment options for back of the eye diseases utilizing our SCS Microinjector for delivery in the suprachoroidal space.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External Collaborations Pipeline</w:t>
      </w:r>
    </w:p>
    <w:p>
      <w:pPr>
        <w:spacing w:after="0" w:line="121" w:lineRule="exact"/>
        <w:rPr>
          <w:sz w:val="20"/>
          <w:szCs w:val="20"/>
          <w:color w:val="auto"/>
        </w:rPr>
      </w:pPr>
    </w:p>
    <w:p>
      <w:pPr>
        <w:ind w:right="300" w:firstLine="509"/>
        <w:spacing w:after="0" w:line="258" w:lineRule="auto"/>
        <w:rPr>
          <w:sz w:val="20"/>
          <w:szCs w:val="20"/>
          <w:color w:val="auto"/>
        </w:rPr>
      </w:pPr>
      <w:r>
        <w:rPr>
          <w:rFonts w:ascii="Arial" w:cs="Arial" w:eastAsia="Arial" w:hAnsi="Arial"/>
          <w:sz w:val="18"/>
          <w:szCs w:val="18"/>
          <w:color w:val="auto"/>
        </w:rPr>
        <w:t>In order to expand the global reach of our suprachoroidal injection platform, we have strategically partnered some of our assets for development and/or commercialization and intend to continue partnering our assets. By entering into these partnerships, we have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 w:name="page17"/>
    <w:bookmarkEnd w:id="16"/>
    <w:p>
      <w:pPr>
        <w:ind w:right="180"/>
        <w:spacing w:after="0" w:line="277" w:lineRule="auto"/>
        <w:rPr>
          <w:sz w:val="20"/>
          <w:szCs w:val="20"/>
          <w:color w:val="auto"/>
        </w:rPr>
      </w:pPr>
      <w:r>
        <w:rPr>
          <w:rFonts w:ascii="Arial" w:cs="Arial" w:eastAsia="Arial" w:hAnsi="Arial"/>
          <w:sz w:val="18"/>
          <w:szCs w:val="18"/>
          <w:color w:val="auto"/>
        </w:rPr>
        <w:t>been able to expand the use of our suprachoroidal injection platform to other indications and geographies globally. We currently have collaborations with Bausch Health, Arctic Vision, REGENXBIO, Inc., and Aura Biosciences.</w:t>
      </w:r>
    </w:p>
    <w:p>
      <w:pPr>
        <w:spacing w:after="0" w:line="67" w:lineRule="exact"/>
        <w:rPr>
          <w:sz w:val="20"/>
          <w:szCs w:val="20"/>
          <w:color w:val="auto"/>
        </w:rPr>
      </w:pPr>
    </w:p>
    <w:p>
      <w:pPr>
        <w:ind w:right="620" w:firstLine="509"/>
        <w:spacing w:after="0" w:line="226" w:lineRule="auto"/>
        <w:rPr>
          <w:sz w:val="20"/>
          <w:szCs w:val="20"/>
          <w:color w:val="auto"/>
        </w:rPr>
      </w:pPr>
      <w:r>
        <w:rPr>
          <w:rFonts w:ascii="Arial" w:cs="Arial" w:eastAsia="Arial" w:hAnsi="Arial"/>
          <w:sz w:val="18"/>
          <w:szCs w:val="18"/>
          <w:color w:val="auto"/>
        </w:rPr>
        <w:t>In July 2023, Arctic Vision announced the acceptance in Australia of its new drug application for suprachoroidal use of Arcatus</w:t>
      </w:r>
      <w:r>
        <w:rPr>
          <w:rFonts w:ascii="Arial" w:cs="Arial" w:eastAsia="Arial" w:hAnsi="Arial"/>
          <w:sz w:val="24"/>
          <w:szCs w:val="24"/>
          <w:color w:val="auto"/>
          <w:vertAlign w:val="superscript"/>
        </w:rPr>
        <w:t>®</w:t>
      </w:r>
      <w:r>
        <w:rPr>
          <w:rFonts w:ascii="Arial" w:cs="Arial" w:eastAsia="Arial" w:hAnsi="Arial"/>
          <w:sz w:val="18"/>
          <w:szCs w:val="18"/>
          <w:color w:val="auto"/>
        </w:rPr>
        <w:t xml:space="preserve"> (known as XIPERE in the U.S.) for the treatment of uveitic macular edema.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ISO Certification</w:t>
      </w:r>
    </w:p>
    <w:p>
      <w:pPr>
        <w:spacing w:after="0" w:line="121"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We have received the International Organization for Standardization (ISO) Certification EN ISO 13485:2016 for “The design, development, and manufacture of sterile piston syringes, needles, and associated accessories for the area of ophthalmology.” The certificate is available on our website. The information contained on our website is not incorporated by reference into this Quarterly Report on Form 10-Q.</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Purchase and Sale Agreement</w:t>
      </w:r>
    </w:p>
    <w:p>
      <w:pPr>
        <w:spacing w:after="0" w:line="121"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On August 8, 2022, or the Closing Date, we, through our wholly-owned subsidiary Clearside Royalty LLC, a Delaware limited liability company, or Royalty Sub, entered into a Purchase and Sale Agreement, or the Purchase and Sale Agreement, with entities managed by HealthCare Royalty Management, LLC, or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or the Aura License Agreement, the REGENXBIO Option and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or the Royalties, in exchange for up to $65 million. In connection with this transaction, we assigned the Arctic Vision License Agreement, Bausch License Agreement, Aura License Agreement, REGENXBIO Option and License Agreement, our license agreement with Emory University and The Georgia Tech Research Corporation and related intellectual property rights to Royalty Sub.</w:t>
      </w:r>
    </w:p>
    <w:p>
      <w:pPr>
        <w:spacing w:after="0" w:line="58"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Under the terms of the Purchase and Sale Agreement, Royalty Sub received an initial payment of $32.1 million, representing the $32.5 million to which we were entitled, net of certain of HCR's transaction-related expenses which we agreed to reimburse. An additional $12.5 million was deposited by HCR in an escrow account to be released to Royalty Sub upon attainment of a pre-specified XIPERE sales milestone achieved no later than March 31, 2024. The terms of the Purchase and Sale Agreement also provide for an additional $20.0 million milestone payment to Royalty Sub upon attainment of a second pre-specified sales milestone related to 2024 XIPERE sales, or the Second Milestone Event.</w:t>
      </w:r>
    </w:p>
    <w:p>
      <w:pPr>
        <w:spacing w:after="0" w:line="68"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The Purchase and Sale Agreement will automatically expire, and the payment of Royalties from the Royalty Sub to HCR will cease, when HCR has received payments of the Royalties equal to 2.5 times the aggregate amount of payments made by HCR under the Agreement if the Second Milestone Event is achieved on or prior to December 31, 2024, or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or the Alternative Cap. In the event of a change in control, acquiror will have the option to make a payment to HCR of the Initial Cap or the Alternative Cap, depending on which is then in effect,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Alternative Cap. After the Purchase and Sale Agreement expires, all rights to receive the Royalties return to Royalty Sub.</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Outlook</w:t>
      </w:r>
    </w:p>
    <w:p>
      <w:pPr>
        <w:spacing w:after="0" w:line="121" w:lineRule="exact"/>
        <w:rPr>
          <w:sz w:val="20"/>
          <w:szCs w:val="20"/>
          <w:color w:val="auto"/>
        </w:rPr>
      </w:pPr>
    </w:p>
    <w:p>
      <w:pPr>
        <w:ind w:right="200" w:firstLine="549"/>
        <w:spacing w:after="0" w:line="271" w:lineRule="auto"/>
        <w:rPr>
          <w:sz w:val="20"/>
          <w:szCs w:val="20"/>
          <w:color w:val="auto"/>
        </w:rPr>
      </w:pPr>
      <w:r>
        <w:rPr>
          <w:rFonts w:ascii="Arial" w:cs="Arial" w:eastAsia="Arial" w:hAnsi="Arial"/>
          <w:sz w:val="17"/>
          <w:szCs w:val="17"/>
          <w:color w:val="auto"/>
        </w:rPr>
        <w:t>We have incurred net losses since our inception. In recent years, our operations have consisted primarily of conducting preclinical studies and clinical trials, raising capital and undertaking other research and development initiatives. To date, we have not generated any revenue, other than license and other revenue, and we have primarily financed our operations through public offerings and private placements of our equity securities, issuances of convertible promissory notes and loan agreements. As of June 30, 2023, we had an accumulated deficit of $306.8 million. We recorded net losses of $9.1 million and $7.8 million for the three months ended June 30, 2023 and 2022, respectively, and net losses of $18.4 million and $15.5 million for the six months ended June 30, 2023 and 2022,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formulations to utilize with our SCS Microinjector.</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p>
      <w:pPr>
        <w:ind w:right="40" w:firstLine="509"/>
        <w:spacing w:after="0" w:line="291" w:lineRule="auto"/>
        <w:rPr>
          <w:sz w:val="20"/>
          <w:szCs w:val="20"/>
          <w:color w:val="auto"/>
        </w:rPr>
      </w:pPr>
      <w:r>
        <w:rPr>
          <w:rFonts w:ascii="Arial" w:cs="Arial" w:eastAsia="Arial" w:hAnsi="Arial"/>
          <w:sz w:val="16"/>
          <w:szCs w:val="16"/>
          <w:color w:val="auto"/>
        </w:rPr>
        <w:t>We expect to continue to incur significant and increasing operating losses at least for the next several years. We do not expect to generate significant product or license and other revenue unless and until XIPERE is successfully commercialized by our licensees or until we successfully complete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in the remainder of 2023 as a result of our Phase 2b clinical trial of CLS-AX, as well as continuing our pipeline development. We also will continue our efforts to seek to discover, research and develop additional product candidates and regulatory approvals in additional regions for XIPERE for the treatment of macular edema associated with uveitis.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Other Revenue</w:t>
      </w:r>
    </w:p>
    <w:p>
      <w:pPr>
        <w:spacing w:after="0" w:line="11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We have not generated any revenue from the sale of XIPERE and we do not expect to generate any other product revenue unless or until we obtain regulatory approval of and commercialize our other product candidates, either on our own or with a third party. The revenue received under the Bausch license agreement, as well as other certain payments from our licensees, will be recorded as non-cash revenue until we have fulfilled our obligations under the Purchase and Sale Agreement. Our revenue in recent years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1020" w:right="7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nonclinical activities and development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our product candidates;</w:t>
      </w:r>
    </w:p>
    <w:p>
      <w:pPr>
        <w:spacing w:after="0" w:line="117"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56"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The following table shows our research and development expenses by program for the three and six months ended June 30, 2023 and 2022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4"/>
          </w:tcPr>
          <w:p>
            <w:pPr>
              <w:jc w:val="right"/>
              <w:ind w:right="432"/>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7"/>
                <w:szCs w:val="17"/>
                <w:color w:val="auto"/>
              </w:rPr>
            </w:pPr>
          </w:p>
        </w:tc>
      </w:tr>
      <w:tr>
        <w:trPr>
          <w:trHeight w:val="223"/>
        </w:trPr>
        <w:tc>
          <w:tcPr>
            <w:tcW w:w="4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XIPERE (uveitis program)</w:t>
            </w:r>
          </w:p>
        </w:tc>
        <w:tc>
          <w:tcPr>
            <w:tcW w:w="15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CLS-AX (wet AMD program)</w:t>
            </w:r>
          </w:p>
        </w:tc>
        <w:tc>
          <w:tcPr>
            <w:tcW w:w="1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Unallocated</w:t>
            </w:r>
          </w:p>
        </w:tc>
        <w:tc>
          <w:tcPr>
            <w:tcW w:w="1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Pr>
          <w:p>
            <w:pPr>
              <w:spacing w:after="0"/>
              <w:rPr>
                <w:sz w:val="20"/>
                <w:szCs w:val="20"/>
                <w:color w:val="auto"/>
              </w:rPr>
            </w:pPr>
          </w:p>
        </w:tc>
      </w:tr>
      <w:tr>
        <w:trPr>
          <w:trHeight w:val="276"/>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w:t>
            </w:r>
          </w:p>
        </w:tc>
        <w:tc>
          <w:tcPr>
            <w:tcW w:w="15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4,948</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5,430</w:t>
            </w: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9,399</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9"/>
        </w:trPr>
        <w:tc>
          <w:tcPr>
            <w:tcW w:w="4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-385445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-367665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-385445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-367665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-385445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-367665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right="20" w:firstLine="509"/>
        <w:spacing w:after="0" w:line="275" w:lineRule="auto"/>
        <w:rPr>
          <w:sz w:val="20"/>
          <w:szCs w:val="20"/>
          <w:color w:val="auto"/>
        </w:rPr>
      </w:pPr>
      <w:r>
        <w:rPr>
          <w:rFonts w:ascii="Arial" w:cs="Arial" w:eastAsia="Arial" w:hAnsi="Arial"/>
          <w:sz w:val="17"/>
          <w:szCs w:val="17"/>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68"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current or future product candidates.</w:t>
      </w:r>
    </w:p>
    <w:p>
      <w:pPr>
        <w:spacing w:after="0" w:line="53"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may include, among others:</w:t>
      </w:r>
    </w:p>
    <w:p>
      <w:pPr>
        <w:spacing w:after="0" w:line="62" w:lineRule="exact"/>
        <w:rPr>
          <w:sz w:val="20"/>
          <w:szCs w:val="20"/>
          <w:color w:val="auto"/>
        </w:rPr>
      </w:pPr>
    </w:p>
    <w:p>
      <w:pPr>
        <w:ind w:left="1020" w:right="20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our product candidates including the SCS Microinjector for clinical trials and for requirements associated with regulatory filings;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117"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Other income consists of the accrued interest and interest income earned on our cash and cash equivalents. Interest income is not considered significant to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Interest Expense on Liability Related to the Sales of Future Royalties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Non-cash interest expense on liability related to the sales of future royalties consists of imputed interest on the carrying value of the liability and the amortization of the related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60" w:firstLine="509"/>
        <w:spacing w:after="0" w:line="258"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of</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9" w:name="page20"/>
    <w:bookmarkEnd w:id="19"/>
    <w:p>
      <w:pPr>
        <w:ind w:right="20"/>
        <w:spacing w:after="0" w:line="272" w:lineRule="auto"/>
        <w:rPr>
          <w:sz w:val="20"/>
          <w:szCs w:val="20"/>
          <w:color w:val="auto"/>
        </w:rPr>
      </w:pPr>
      <w:r>
        <w:rPr>
          <w:rFonts w:ascii="Arial" w:cs="Arial" w:eastAsia="Arial" w:hAnsi="Arial"/>
          <w:sz w:val="17"/>
          <w:szCs w:val="17"/>
          <w:color w:val="auto"/>
        </w:rPr>
        <w:t>America, or U.S. GAAP. The preparation of these consolidated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69"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six months ended June 30, 2023, there were no significant changes to our critical accounting policies disclosed in our audited financial statements for the year ended December 31, 2022, which are included in our Annual Report on Form 10-K, as filed with the SEC on March 14,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2023 and 2022</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June 30, 2023 and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180" w:type="dxa"/>
            <w:vAlign w:val="bottom"/>
            <w:gridSpan w:val="6"/>
          </w:tcPr>
          <w:p>
            <w:pPr>
              <w:jc w:val="right"/>
              <w:ind w:right="89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6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7"/>
              </w:rPr>
              <w:t>Period-to-Period</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0"/>
        </w:trPr>
        <w:tc>
          <w:tcPr>
            <w:tcW w:w="66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87"/>
              </w:rPr>
              <w:t>(in thousands)</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and other revenue</w:t>
            </w: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goods sold</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4,948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5,430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(482 )</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8,288</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(7,270</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interest expense on liability</w:t>
            </w:r>
          </w:p>
        </w:tc>
        <w:tc>
          <w:tcPr>
            <w:tcW w:w="840" w:type="dxa"/>
            <w:vAlign w:val="bottom"/>
            <w:shd w:val="clear" w:color="auto" w:fill="CFF0FC"/>
          </w:tcPr>
          <w:p>
            <w:pPr>
              <w:spacing w:after="0"/>
              <w:rPr>
                <w:sz w:val="19"/>
                <w:szCs w:val="19"/>
                <w:color w:val="auto"/>
              </w:rPr>
            </w:pPr>
          </w:p>
        </w:tc>
        <w:tc>
          <w:tcPr>
            <w:tcW w:w="780" w:type="dxa"/>
            <w:vAlign w:val="bottom"/>
            <w:gridSpan w:val="2"/>
            <w:vMerge w:val="restart"/>
            <w:shd w:val="clear" w:color="auto" w:fill="CFF0FC"/>
          </w:tcPr>
          <w:p>
            <w:pPr>
              <w:jc w:val="right"/>
              <w:ind w:right="141"/>
              <w:spacing w:after="0"/>
              <w:rPr>
                <w:sz w:val="20"/>
                <w:szCs w:val="20"/>
                <w:color w:val="auto"/>
              </w:rPr>
            </w:pPr>
            <w:r>
              <w:rPr>
                <w:rFonts w:ascii="Arial" w:cs="Arial" w:eastAsia="Arial" w:hAnsi="Arial"/>
                <w:sz w:val="18"/>
                <w:szCs w:val="18"/>
                <w:color w:val="auto"/>
                <w:w w:val="86"/>
              </w:rPr>
              <w:t>(2,294 )</w:t>
            </w:r>
          </w:p>
        </w:tc>
        <w:tc>
          <w:tcPr>
            <w:tcW w:w="140" w:type="dxa"/>
            <w:vAlign w:val="bottom"/>
            <w:shd w:val="clear" w:color="auto" w:fill="CFF0FC"/>
          </w:tcPr>
          <w:p>
            <w:pPr>
              <w:spacing w:after="0"/>
              <w:rPr>
                <w:sz w:val="19"/>
                <w:szCs w:val="19"/>
                <w:color w:val="auto"/>
              </w:rPr>
            </w:pPr>
          </w:p>
        </w:tc>
        <w:tc>
          <w:tcPr>
            <w:tcW w:w="1420" w:type="dxa"/>
            <w:vAlign w:val="bottom"/>
            <w:gridSpan w:val="2"/>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(2,294 )</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related to the sales of future royalties</w:t>
            </w:r>
          </w:p>
        </w:tc>
        <w:tc>
          <w:tcPr>
            <w:tcW w:w="840" w:type="dxa"/>
            <w:vAlign w:val="bottom"/>
            <w:shd w:val="clear" w:color="auto" w:fill="CFF0FC"/>
          </w:tcPr>
          <w:p>
            <w:pPr>
              <w:spacing w:after="0"/>
              <w:rPr>
                <w:sz w:val="20"/>
                <w:szCs w:val="20"/>
                <w:color w:val="auto"/>
              </w:rPr>
            </w:pPr>
          </w:p>
        </w:tc>
        <w:tc>
          <w:tcPr>
            <w:tcW w:w="78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w w:val="86"/>
              </w:rPr>
              <w:t>(9,106 )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(7,813 )</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(1,293 )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-951230</wp:posOffset>
            </wp:positionV>
            <wp:extent cx="7683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-951230</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three months ended June 30, 2023 and 2022, we recognized $1.0 million and $0.4 million, respectively, of revenue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license agreements, which includes revenue for the sales of our SCS microinjector kits to our licensees.</w:t>
      </w:r>
    </w:p>
    <w:p>
      <w:pPr>
        <w:spacing w:after="0" w:line="62"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For the three months ended June 30, 2023, we recognized $0.2 million in cost of goods sold related to the sales of our SCS</w:t>
      </w:r>
      <w:r>
        <w:rPr>
          <w:rFonts w:ascii="Arial" w:cs="Arial" w:eastAsia="Arial" w:hAnsi="Arial"/>
          <w:sz w:val="18"/>
          <w:szCs w:val="18"/>
          <w:i w:val="1"/>
          <w:iCs w:val="1"/>
          <w:color w:val="auto"/>
        </w:rPr>
        <w:t xml:space="preserve"> </w:t>
      </w:r>
      <w:r>
        <w:rPr>
          <w:rFonts w:ascii="Arial" w:cs="Arial" w:eastAsia="Arial" w:hAnsi="Arial"/>
          <w:sz w:val="18"/>
          <w:szCs w:val="18"/>
          <w:color w:val="auto"/>
        </w:rPr>
        <w:t>Microinjector kits to our licensees.</w:t>
      </w:r>
    </w:p>
    <w:p>
      <w:pPr>
        <w:spacing w:after="0" w:line="62"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decreased by $0.5 million from $5.4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to $4.9 million for the three months ended June 30, 2023. This is due to a $0.2 million decrease in employee related costs, a $0.2 million decrease in recruiting costs and a $0.6 million decrease in costs related to our other preclinical programs. This is partially offset by a $0.5 million increase in costs related to the CLS-AX program, which includes costs for ODYSSEY, our Phase 2b clinical trial and the final costs for our OASIS Phase 1/2a clinical trial and OASIS extension study.</w:t>
      </w:r>
    </w:p>
    <w:p>
      <w:pPr>
        <w:spacing w:after="0" w:line="80"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$0.3 million, from $2.8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to $3.1 million for the three months ended June 30, 2023. This was primarily attributable to a $0.4 million increase in professional fees, partially offset by a $0.2 million decrease in employee related costs.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for the three months ended June 30, 2023 and 2022 was comprised of interest income from cash and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due to the higher interest rates earned on our cash and cash equivalents.</w:t>
      </w:r>
    </w:p>
    <w:p>
      <w:pPr>
        <w:spacing w:after="0" w:line="103" w:lineRule="exact"/>
        <w:rPr>
          <w:sz w:val="20"/>
          <w:szCs w:val="20"/>
          <w:color w:val="auto"/>
        </w:rPr>
      </w:pPr>
    </w:p>
    <w:p>
      <w:pPr>
        <w:jc w:val="both"/>
        <w:ind w:right="620" w:firstLine="509"/>
        <w:spacing w:after="0" w:line="255" w:lineRule="auto"/>
        <w:rPr>
          <w:sz w:val="20"/>
          <w:szCs w:val="20"/>
          <w:color w:val="auto"/>
        </w:rPr>
      </w:pPr>
      <w:r>
        <w:rPr>
          <w:rFonts w:ascii="Arial" w:cs="Arial" w:eastAsia="Arial" w:hAnsi="Arial"/>
          <w:sz w:val="18"/>
          <w:szCs w:val="18"/>
          <w:i w:val="1"/>
          <w:iCs w:val="1"/>
          <w:color w:val="auto"/>
        </w:rPr>
        <w:t>Non-cash interest expense on liability related to the sales of future royalties</w:t>
      </w:r>
      <w:r>
        <w:rPr>
          <w:rFonts w:ascii="Arial" w:cs="Arial" w:eastAsia="Arial" w:hAnsi="Arial"/>
          <w:sz w:val="18"/>
          <w:szCs w:val="18"/>
          <w:color w:val="auto"/>
        </w:rPr>
        <w:t>. Non-cash interest expense on liability related the sales of future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for the three months ended June 30, 2023 was comprised of imputed interest on the liability related to the sales of future royalties and the amortization of the associated issuance costs.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 for the Six Months Ended June 30, 2023 and 2022</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six months ended June 30, 2023 and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5"/>
          </w:tcPr>
          <w:p>
            <w:pPr>
              <w:jc w:val="right"/>
              <w:ind w:right="99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7"/>
              </w:rPr>
              <w:t>Period-to-Period</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0"/>
        </w:trPr>
        <w:tc>
          <w:tcPr>
            <w:tcW w:w="66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87"/>
              </w:rPr>
              <w:t>(in thousands)</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and other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9,399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9,966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(567 )</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15,897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16,214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(15,483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interest expense on liability</w:t>
            </w:r>
          </w:p>
        </w:tc>
        <w:tc>
          <w:tcPr>
            <w:tcW w:w="300" w:type="dxa"/>
            <w:vAlign w:val="bottom"/>
            <w:shd w:val="clear" w:color="auto" w:fill="CFF0FC"/>
          </w:tcPr>
          <w:p>
            <w:pPr>
              <w:spacing w:after="0"/>
              <w:rPr>
                <w:sz w:val="19"/>
                <w:szCs w:val="19"/>
                <w:color w:val="auto"/>
              </w:rPr>
            </w:pPr>
          </w:p>
        </w:tc>
        <w:tc>
          <w:tcPr>
            <w:tcW w:w="1320" w:type="dxa"/>
            <w:vAlign w:val="bottom"/>
            <w:gridSpan w:val="2"/>
            <w:vMerge w:val="restart"/>
            <w:shd w:val="clear" w:color="auto" w:fill="CFF0FC"/>
          </w:tcPr>
          <w:p>
            <w:pPr>
              <w:jc w:val="right"/>
              <w:ind w:right="141"/>
              <w:spacing w:after="0"/>
              <w:rPr>
                <w:sz w:val="20"/>
                <w:szCs w:val="20"/>
                <w:color w:val="auto"/>
              </w:rPr>
            </w:pPr>
            <w:r>
              <w:rPr>
                <w:rFonts w:ascii="Arial" w:cs="Arial" w:eastAsia="Arial" w:hAnsi="Arial"/>
                <w:sz w:val="18"/>
                <w:szCs w:val="18"/>
                <w:color w:val="auto"/>
              </w:rPr>
              <w:t>(4,461 )</w:t>
            </w:r>
          </w:p>
        </w:tc>
        <w:tc>
          <w:tcPr>
            <w:tcW w:w="140" w:type="dxa"/>
            <w:vAlign w:val="bottom"/>
            <w:shd w:val="clear" w:color="auto" w:fill="CFF0FC"/>
          </w:tcPr>
          <w:p>
            <w:pPr>
              <w:spacing w:after="0"/>
              <w:rPr>
                <w:sz w:val="19"/>
                <w:szCs w:val="19"/>
                <w:color w:val="auto"/>
              </w:rPr>
            </w:pPr>
          </w:p>
        </w:tc>
        <w:tc>
          <w:tcPr>
            <w:tcW w:w="1420" w:type="dxa"/>
            <w:vAlign w:val="bottom"/>
            <w:gridSpan w:val="2"/>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(4,461 )</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related to the sales of future royalties</w:t>
            </w:r>
          </w:p>
        </w:tc>
        <w:tc>
          <w:tcPr>
            <w:tcW w:w="30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(18,386 )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(15,457 )</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(2,929 )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-950595</wp:posOffset>
            </wp:positionV>
            <wp:extent cx="7683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-950595</wp:posOffset>
            </wp:positionV>
            <wp:extent cx="685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six months ended June 30, 2023 and 2022, we recognized $1.0 million and $0.7 million, respectively, of revenue associated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agreements, which includes revenue for the sales of our SCS microinjector kits to our licensees.</w:t>
      </w:r>
    </w:p>
    <w:p>
      <w:pPr>
        <w:spacing w:after="0" w:line="62"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For the six months ended June 30, 2023, we recognized $0.2 million in cost of goods sold related to the sales of our SCS</w:t>
      </w:r>
      <w:r>
        <w:rPr>
          <w:rFonts w:ascii="Arial" w:cs="Arial" w:eastAsia="Arial" w:hAnsi="Arial"/>
          <w:sz w:val="18"/>
          <w:szCs w:val="18"/>
          <w:i w:val="1"/>
          <w:iCs w:val="1"/>
          <w:color w:val="auto"/>
        </w:rPr>
        <w:t xml:space="preserve"> </w:t>
      </w:r>
      <w:r>
        <w:rPr>
          <w:rFonts w:ascii="Arial" w:cs="Arial" w:eastAsia="Arial" w:hAnsi="Arial"/>
          <w:sz w:val="18"/>
          <w:szCs w:val="18"/>
          <w:color w:val="auto"/>
        </w:rPr>
        <w:t>Microinjector kits to our licensees.</w:t>
      </w:r>
    </w:p>
    <w:p>
      <w:pPr>
        <w:spacing w:after="0" w:line="62" w:lineRule="exact"/>
        <w:rPr>
          <w:sz w:val="20"/>
          <w:szCs w:val="20"/>
          <w:color w:val="auto"/>
        </w:rPr>
      </w:pPr>
    </w:p>
    <w:p>
      <w:pPr>
        <w:ind w:right="200" w:firstLine="509"/>
        <w:spacing w:after="0" w:line="296"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 decreased by $0.6 million, from $10.0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2022 to $9.4 million for the six months ended June 30, 2023. This decrease was due to a $0.4 million research and development tax credit received in the current period, a $0.6 million decrease in costs related to our other preclinical programs, a $0.2 million decrease in recruiting costs and a $0.1 million decrease in lab supplies. This is partially offset by a $0.6 million increase in costs related to the CLS-AX program, which includes the final costs for our OASIS Phase 1/2a clinical trial and OASIS extension study, and the startup costs for ODYSSEY, our Phase 2b clinical trial.</w:t>
      </w:r>
    </w:p>
    <w:p>
      <w:pPr>
        <w:spacing w:after="0" w:line="53"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were $6.3 million and $6.2 million for the six months ended June 30, 2023 and</w:t>
      </w:r>
      <w:r>
        <w:rPr>
          <w:rFonts w:ascii="Arial" w:cs="Arial" w:eastAsia="Arial" w:hAnsi="Arial"/>
          <w:sz w:val="18"/>
          <w:szCs w:val="18"/>
          <w:i w:val="1"/>
          <w:iCs w:val="1"/>
          <w:color w:val="auto"/>
        </w:rPr>
        <w:t xml:space="preserve"> </w:t>
      </w:r>
      <w:r>
        <w:rPr>
          <w:rFonts w:ascii="Arial" w:cs="Arial" w:eastAsia="Arial" w:hAnsi="Arial"/>
          <w:sz w:val="18"/>
          <w:szCs w:val="18"/>
          <w:color w:val="auto"/>
        </w:rPr>
        <w:t>2022, respectively. There was an increase of $0.6 million in professional fees, offset by a decrease of $0.4 million in employee related costs and a decrease of $0.1 million for insurance costs.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for the six months ended June 30, 2023 and 2022 was comprised of interest income from cash and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due to the higher interest rates earned on our cash and cash equivalents.</w:t>
      </w:r>
    </w:p>
    <w:p>
      <w:pPr>
        <w:spacing w:after="0" w:line="103"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i w:val="1"/>
          <w:iCs w:val="1"/>
          <w:color w:val="auto"/>
        </w:rPr>
        <w:t>Non-cash interest expense on liability related to the sales of future royalties</w:t>
      </w:r>
      <w:r>
        <w:rPr>
          <w:rFonts w:ascii="Arial" w:cs="Arial" w:eastAsia="Arial" w:hAnsi="Arial"/>
          <w:sz w:val="18"/>
          <w:szCs w:val="18"/>
          <w:color w:val="auto"/>
        </w:rPr>
        <w:t>. Non-cash interest expense on liability related to the sales of future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for the six months ended June 30, 2023 was comprised of imputed interest on the liability related to the sales of future royalties and the amortization of the associated issuance costs.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have funded our operations primarily through the proceeds of public offerings of our common stock, sales of convertible preferred stock and the issuance of long-term debt. As of June 30, 2023, we had cash and cash equivalents of $35.0 million. We invest any cash in excess of our immediate requirements primarily with a view to liquidity and capital preservation. As of June 30, 2023, our funds were held in cash and money market funds.</w:t>
      </w:r>
    </w:p>
    <w:p>
      <w:pPr>
        <w:spacing w:after="0" w:line="41"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In May 2023, we terminated our at-the-market sales agreement with Cowen and Company, LLC (the "ATM Agreement"). During the six months ended June 30, 2023, prior to the termination of the ATM Agreement, we sold 515,959 shares of its common stock for net proceeds of $0.7 million under the ATM Agreement.</w:t>
      </w:r>
    </w:p>
    <w:p>
      <w:pPr>
        <w:spacing w:after="0" w:line="80" w:lineRule="exact"/>
        <w:rPr>
          <w:sz w:val="20"/>
          <w:szCs w:val="20"/>
          <w:color w:val="auto"/>
        </w:rPr>
      </w:pPr>
    </w:p>
    <w:p>
      <w:pPr>
        <w:ind w:right="100" w:firstLine="562"/>
        <w:spacing w:after="0" w:line="239" w:lineRule="auto"/>
        <w:rPr>
          <w:sz w:val="20"/>
          <w:szCs w:val="20"/>
          <w:color w:val="auto"/>
        </w:rPr>
      </w:pPr>
      <w:r>
        <w:rPr>
          <w:rFonts w:ascii="Arial" w:cs="Arial" w:eastAsia="Arial" w:hAnsi="Arial"/>
          <w:sz w:val="18"/>
          <w:szCs w:val="18"/>
          <w:color w:val="auto"/>
        </w:rPr>
        <w:t>In May 2023,we entered into a Controlled Equity Offering</w:t>
      </w:r>
      <w:r>
        <w:rPr>
          <w:rFonts w:ascii="Arial" w:cs="Arial" w:eastAsia="Arial" w:hAnsi="Arial"/>
          <w:sz w:val="24"/>
          <w:szCs w:val="24"/>
          <w:color w:val="auto"/>
          <w:vertAlign w:val="superscript"/>
        </w:rPr>
        <w:t>SM</w:t>
      </w:r>
      <w:r>
        <w:rPr>
          <w:rFonts w:ascii="Arial" w:cs="Arial" w:eastAsia="Arial" w:hAnsi="Arial"/>
          <w:sz w:val="18"/>
          <w:szCs w:val="18"/>
          <w:color w:val="auto"/>
        </w:rPr>
        <w:t xml:space="preserve"> Sales Agreement (the "Sales Agreement") with Cantor Fitzgerald &amp; Co. ("Cantor") under which we may offer and sell, from time to time at our sole discretion, shares of our common stock, having an aggregate offering price of up to $50.0 million through Cantor as our sales agent. During the six months ended June 30, 2023, we sold 26,316 shares of our common stock for net proceeds of $32,000 under the Sales Agreement. Subsequent to June 30, 2023, we sold an additional 283,894 shares of our common stock pursuant to the Sales Agreement for net proceeds of $0.3 million.</w:t>
      </w:r>
    </w:p>
    <w:p>
      <w:pPr>
        <w:spacing w:after="0" w:line="9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On August 8, 2022, or the Closing Date, we, through our wholly-owned subsidiary Clearside Royalty LLC, a Delaware limited liability company, or Royalty Sub, entered into a Purchase and Sale Agreement with entities managed by HealthCare Royalty Management, LLC, or HCR, pursuant to which Royalty Sub sold to HCR certain of its rights to receive royalty and milestone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spacing w:after="0" w:line="288" w:lineRule="auto"/>
        <w:rPr>
          <w:sz w:val="20"/>
          <w:szCs w:val="20"/>
          <w:color w:val="auto"/>
        </w:rPr>
      </w:pPr>
      <w:r>
        <w:rPr>
          <w:rFonts w:ascii="Arial" w:cs="Arial" w:eastAsia="Arial" w:hAnsi="Arial"/>
          <w:sz w:val="16"/>
          <w:szCs w:val="16"/>
          <w:color w:val="auto"/>
        </w:rPr>
        <w:t>payments payable to Royalty Sub under the Arctic Vision License Agreement, Bausch License Agreement, that certain License Agreement, effective as of July 3, 2019, by and between us and Aura Biosciences, Inc., that certain Option and License Agreement, dated as of August 29, 2019, by and between REGENXBIO Inc. and us,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in exchange for up to $65 million. Under the terms of the Purchase and Sale Agreement, Royalty Sub received a payment of $32.1 million, representing the $32.5 million to which we were entitled less certain expenses. There were additional issuance costs of $1.5 million related to the Purchase and Sale Agreement resulting in net proceeds of $30.6 million. An additional $12.5 million was deposited in an escrow account by HCR to be released to Royalty Sub upon attainment of a pre-specified XIPERE sales milestone achieved no later than March 31, 2024. The terms of the Purchase and Sale Agreement also provide for an additional $20 million milestone payment to Royalty Sub upon attainment of a second pre-specified sales milestone related to 2024 XIPERE sales.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right="100" w:firstLine="509"/>
        <w:spacing w:after="0" w:line="286" w:lineRule="auto"/>
        <w:rPr>
          <w:sz w:val="20"/>
          <w:szCs w:val="20"/>
          <w:color w:val="auto"/>
        </w:rPr>
      </w:pPr>
      <w:r>
        <w:rPr>
          <w:rFonts w:ascii="Arial" w:cs="Arial" w:eastAsia="Arial" w:hAnsi="Arial"/>
          <w:sz w:val="17"/>
          <w:szCs w:val="17"/>
          <w:color w:val="auto"/>
        </w:rPr>
        <w:t>Our primary uses of capital are, and we expect will continue to be, compensation and related expenses, research and development costs to build our product candidate pipeline, legal and other regulatory expenses and general overhead costs. In addition, we have certain contractual obligations for future payments. Refer to Note 9 to our consolidated financial statements included in this Quarterly Report on Form 10-Q.</w:t>
      </w:r>
    </w:p>
    <w:p>
      <w:pPr>
        <w:spacing w:after="0" w:line="5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9"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macroeconomic conditions, such as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74"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jc w:val="both"/>
        <w:ind w:right="620" w:firstLine="509"/>
        <w:spacing w:after="0" w:line="263" w:lineRule="auto"/>
        <w:rPr>
          <w:sz w:val="20"/>
          <w:szCs w:val="20"/>
          <w:color w:val="auto"/>
        </w:rPr>
      </w:pPr>
      <w:r>
        <w:rPr>
          <w:rFonts w:ascii="Arial" w:cs="Arial" w:eastAsia="Arial" w:hAnsi="Arial"/>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These conditions raise substantial doubt about our ability to continue as a going concern within one year after the date of this report. Our plans primarily consist of raising additional capital, potentially in a combination of equity or debt financings, monetizing royalties, or restructurings, or potentially entering into additional collaborations, partnerships and other strategic arrangements.</w:t>
      </w:r>
    </w:p>
    <w:p>
      <w:pPr>
        <w:spacing w:after="0" w:line="53"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Based on our current plans and forecasted expenses, we expect that our cash and cash equivalents as of the filing date, August 14, 2023, will enable us to fund our planned operating expenses and capital expenditure requirements into the third quarter of 2024. We have based this estimate on assumptions that may prove to be wrong, and we could exhaust our capital resources sooner than we expect. We will require additional capital in order to complete clinical development of CLS-AX.</w:t>
      </w:r>
    </w:p>
    <w:p>
      <w:pPr>
        <w:spacing w:after="0" w:line="79"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Our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131"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June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w w:val="88"/>
              </w:rPr>
              <w:t>(12,555 )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(1,572 )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(1,212 )</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(13,413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During the six months ended June 30, 2023 and 2022, our operating activities used net cash of $12.6 million and $1.6 million, respectively. The net cash used in operating activities for the six months ended June 30, 2023 was due to ongoing research and development expenses to develop our pipeline and startup costs for ODYSSEY, the Phase 2b clinical trial for CLS-AX, as well as the supporting general and administrative costs. The net cash used in operating activities for the six months ended June 30, 2022 was primarily due to research and development expenses related to the preclinical and clinical programs and general and administrative expenses offset by the receipt of the $10.0 million milestone payment received from Bausch in connection with pre-launch activities for XIPERE.</w:t>
      </w:r>
    </w:p>
    <w:p>
      <w:pPr>
        <w:spacing w:after="0" w:line="84"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During the six months ended June 30, 2023, our investing activities used net cash of $1.2 million and consisted of the acquisition of property and equipment.</w:t>
      </w:r>
    </w:p>
    <w:p>
      <w:pPr>
        <w:spacing w:after="0" w:line="62"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During the six months ended June 30, 2023 and 2022 our net cash provided by financing activities was $0.4 million and $69,000, respectively. The cash provided by financing activities for the six months ended June 30, 2023 consisted primarily of $0.7 million of net proceeds from the sale of shares of our common stock under the ATM Agreement and the Sales Agreement partially offset by a payment of $0.4 million related to the Purchase and Sale agreement. The cash provided by financing activities for the six months ended June 30, 2022 consisted of stock option exercises and the sale of common shares under an employee stock purchase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20" w:firstLine="509"/>
        <w:spacing w:after="0" w:line="258"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58"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2023 that has materially affected, or is reasonably likely to materially affect, our internal control over financial reporting. We have not experienced any material impact to our internal control over financial reporting.</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below and in “Part I, Item 1A. Risk Factors” of our Annual Report on Form 10-K for the fiscal year ended December 31, 2022, filed with the Securities and Exchange Commission on March 14, 2023. Except as set forth below, there have been no material changes to the risk factors described in that report.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consolidated financial statements have been prepared assuming that we will continue as a going concern.</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We have incurred recurring losses from operations since inception which raises substantial doubt about our ability to continue as a going concern. If we are unable to obtain sufficient funding, our business, prospects, financial condition and results of operations will be materially and adversely affected, and we may be unable to continue as a going concern. If we are unable to continue as a going concern, we may have to liquidate our assets and may receive less than the value at which those assets are carried on our audited financial statements, and it is likely that investors will lose all or a part of their investment. In addition, if there remains substantial doubt about our ability to continue as a going concern, investors or other financing sources may be unwilling to provide additional funding to us on commercially reasonable terms, or at all.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10000" w:type="dxa"/>
            <w:vAlign w:val="bottom"/>
            <w:gridSpan w:val="18"/>
          </w:tcPr>
          <w:p>
            <w:pPr>
              <w:ind w:left="2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338"/>
        </w:trPr>
        <w:tc>
          <w:tcPr>
            <w:tcW w:w="1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940" w:type="dxa"/>
            <w:vAlign w:val="bottom"/>
            <w:tcBorders>
              <w:top w:val="single" w:sz="8" w:color="auto"/>
              <w:bottom w:val="single" w:sz="8" w:color="0000FF"/>
            </w:tcBorders>
            <w:gridSpan w:val="16"/>
          </w:tcPr>
          <w:p>
            <w:pPr>
              <w:ind w:left="20"/>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Amended and Restated Certificate of Incorporation (incorporated herein by reference to Exhibit 3.1 to the Registrant’s Current Report on</w:t>
              </w:r>
            </w:hyperlink>
          </w:p>
        </w:tc>
        <w:tc>
          <w:tcPr>
            <w:tcW w:w="6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9"/>
          </w:tcPr>
          <w:p>
            <w:pPr>
              <w:ind w:left="20"/>
              <w:spacing w:after="0" w:line="19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Form 8-K (File No. 001-37783) filed with the SEC on June 7, 2016).</w:t>
              </w:r>
            </w:hyperlink>
          </w:p>
        </w:tc>
        <w:tc>
          <w:tcPr>
            <w:tcW w:w="20" w:type="dxa"/>
            <w:vAlign w:val="bottom"/>
            <w:tcBorders>
              <w:bottom w:val="single" w:sz="8" w:color="0000EE"/>
            </w:tcBorders>
          </w:tcPr>
          <w:p>
            <w:pPr>
              <w:spacing w:after="0"/>
              <w:rPr>
                <w:sz w:val="17"/>
                <w:szCs w:val="17"/>
                <w:color w:val="auto"/>
              </w:rPr>
            </w:pPr>
          </w:p>
        </w:tc>
        <w:tc>
          <w:tcPr>
            <w:tcW w:w="50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800" w:type="dxa"/>
            <w:vAlign w:val="bottom"/>
            <w:tcBorders>
              <w:bottom w:val="single" w:sz="8" w:color="0000FF"/>
            </w:tcBorders>
            <w:gridSpan w:val="15"/>
          </w:tcPr>
          <w:p>
            <w:pPr>
              <w:ind w:left="20"/>
              <w:spacing w:after="0"/>
              <w:rPr>
                <w:rFonts w:ascii="Arial" w:cs="Arial" w:eastAsia="Arial" w:hAnsi="Arial"/>
                <w:sz w:val="18"/>
                <w:szCs w:val="18"/>
                <w:color w:val="0000FF"/>
                <w:w w:val="91"/>
              </w:rPr>
            </w:pPr>
            <w:hyperlink r:id="rId154">
              <w:r>
                <w:rPr>
                  <w:rFonts w:ascii="Arial" w:cs="Arial" w:eastAsia="Arial" w:hAnsi="Arial"/>
                  <w:sz w:val="18"/>
                  <w:szCs w:val="18"/>
                  <w:color w:val="0000FF"/>
                  <w:w w:val="91"/>
                </w:rPr>
                <w:t>Certificate of Amendment to Amended and Restated Certificate of Incorporation (incorporated herein by reference to Exhibit 3.1 to the</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18"/>
          </w:tcPr>
          <w:p>
            <w:pPr>
              <w:ind w:left="20"/>
              <w:spacing w:after="0" w:line="196" w:lineRule="exact"/>
              <w:rPr>
                <w:rFonts w:ascii="Arial" w:cs="Arial" w:eastAsia="Arial" w:hAnsi="Arial"/>
                <w:sz w:val="18"/>
                <w:szCs w:val="18"/>
                <w:color w:val="0000FF"/>
              </w:rPr>
            </w:pPr>
            <w:hyperlink r:id="rId154">
              <w:r>
                <w:rPr>
                  <w:rFonts w:ascii="Arial" w:cs="Arial" w:eastAsia="Arial" w:hAnsi="Arial"/>
                  <w:sz w:val="18"/>
                  <w:szCs w:val="18"/>
                  <w:color w:val="0000FF"/>
                </w:rPr>
                <w:t>Registrant's Current Report on Form 8-K (File No. 001-37783) filed with the SEC on June 23, 2022).</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20" w:type="dxa"/>
            <w:vAlign w:val="bottom"/>
          </w:tcPr>
          <w:p>
            <w:pPr>
              <w:ind w:left="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9960" w:type="dxa"/>
            <w:vAlign w:val="bottom"/>
            <w:tcBorders>
              <w:bottom w:val="single" w:sz="8" w:color="0000FF"/>
            </w:tcBorders>
            <w:gridSpan w:val="17"/>
          </w:tcPr>
          <w:p>
            <w:pPr>
              <w:ind w:left="20"/>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Amended and Restated Bylaws (incorporated herein by reference to Exhibit 3.2 to the Registrant’s Current Report on Form 8-K (File No.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Borders>
              <w:bottom w:val="single" w:sz="8" w:color="0000FF"/>
            </w:tcBorders>
            <w:gridSpan w:val="7"/>
          </w:tcPr>
          <w:p>
            <w:pPr>
              <w:ind w:left="20"/>
              <w:spacing w:after="0" w:line="196"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001-37783) filed with the SEC on June 7, 2016).</w:t>
              </w:r>
            </w:hyperlink>
          </w:p>
        </w:tc>
        <w:tc>
          <w:tcPr>
            <w:tcW w:w="20" w:type="dxa"/>
            <w:vAlign w:val="bottom"/>
            <w:tcBorders>
              <w:bottom w:val="single" w:sz="8" w:color="0000EE"/>
            </w:tcBorders>
          </w:tcPr>
          <w:p>
            <w:pPr>
              <w:spacing w:after="0"/>
              <w:rPr>
                <w:sz w:val="17"/>
                <w:szCs w:val="17"/>
                <w:color w:val="auto"/>
              </w:rPr>
            </w:pPr>
          </w:p>
        </w:tc>
        <w:tc>
          <w:tcPr>
            <w:tcW w:w="6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12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960" w:type="dxa"/>
            <w:vAlign w:val="bottom"/>
            <w:gridSpan w:val="4"/>
            <w:vMerge w:val="restart"/>
          </w:tcPr>
          <w:p>
            <w:pPr>
              <w:ind w:left="20"/>
              <w:spacing w:after="0"/>
              <w:rPr>
                <w:rFonts w:ascii="Arial" w:cs="Arial" w:eastAsia="Arial" w:hAnsi="Arial"/>
                <w:sz w:val="18"/>
                <w:szCs w:val="18"/>
                <w:color w:val="0000FF"/>
                <w:w w:val="93"/>
              </w:rPr>
            </w:pPr>
            <w:hyperlink r:id="rId156">
              <w:r>
                <w:rPr>
                  <w:rFonts w:ascii="Arial" w:cs="Arial" w:eastAsia="Arial" w:hAnsi="Arial"/>
                  <w:sz w:val="18"/>
                  <w:szCs w:val="18"/>
                  <w:color w:val="0000FF"/>
                  <w:w w:val="93"/>
                </w:rPr>
                <w:t>Controlled Equity Offering</w:t>
              </w:r>
            </w:hyperlink>
          </w:p>
        </w:tc>
        <w:tc>
          <w:tcPr>
            <w:tcW w:w="180" w:type="dxa"/>
            <w:vAlign w:val="bottom"/>
            <w:tcBorders>
              <w:bottom w:val="single" w:sz="8" w:color="0000FF"/>
            </w:tcBorders>
            <w:gridSpan w:val="2"/>
          </w:tcPr>
          <w:p>
            <w:pPr>
              <w:spacing w:after="0"/>
              <w:rPr>
                <w:rFonts w:ascii="Arial" w:cs="Arial" w:eastAsia="Arial" w:hAnsi="Arial"/>
                <w:sz w:val="12"/>
                <w:szCs w:val="12"/>
                <w:color w:val="0000FF"/>
                <w:w w:val="88"/>
              </w:rPr>
            </w:pPr>
            <w:hyperlink r:id="rId156">
              <w:r>
                <w:rPr>
                  <w:rFonts w:ascii="Arial" w:cs="Arial" w:eastAsia="Arial" w:hAnsi="Arial"/>
                  <w:sz w:val="12"/>
                  <w:szCs w:val="12"/>
                  <w:color w:val="0000FF"/>
                  <w:w w:val="88"/>
                </w:rPr>
                <w:t>SM</w:t>
              </w:r>
            </w:hyperlink>
          </w:p>
        </w:tc>
        <w:tc>
          <w:tcPr>
            <w:tcW w:w="7800" w:type="dxa"/>
            <w:vAlign w:val="bottom"/>
            <w:gridSpan w:val="10"/>
            <w:vMerge w:val="restart"/>
          </w:tcPr>
          <w:p>
            <w:pPr>
              <w:ind w:left="40"/>
              <w:spacing w:after="0"/>
              <w:rPr>
                <w:rFonts w:ascii="Arial" w:cs="Arial" w:eastAsia="Arial" w:hAnsi="Arial"/>
                <w:sz w:val="18"/>
                <w:szCs w:val="18"/>
                <w:color w:val="0000FF"/>
                <w:w w:val="91"/>
              </w:rPr>
            </w:pPr>
            <w:hyperlink r:id="rId156">
              <w:r>
                <w:rPr>
                  <w:rFonts w:ascii="Arial" w:cs="Arial" w:eastAsia="Arial" w:hAnsi="Arial"/>
                  <w:sz w:val="18"/>
                  <w:szCs w:val="18"/>
                  <w:color w:val="0000FF"/>
                  <w:w w:val="91"/>
                </w:rPr>
                <w:t>Agreement, dated May 12, 2023, by and between the Registrant and Cantor Fitzgerald &amp; Co. (incorporated</w:t>
              </w:r>
            </w:hyperlink>
          </w:p>
        </w:tc>
        <w:tc>
          <w:tcPr>
            <w:tcW w:w="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960" w:type="dxa"/>
            <w:vAlign w:val="bottom"/>
            <w:tcBorders>
              <w:bottom w:val="single" w:sz="8" w:color="0000FF"/>
            </w:tcBorders>
            <w:gridSpan w:val="4"/>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800" w:type="dxa"/>
            <w:vAlign w:val="bottom"/>
            <w:tcBorders>
              <w:bottom w:val="single" w:sz="8" w:color="0000FF"/>
            </w:tcBorders>
            <w:gridSpan w:val="10"/>
            <w:vMerge w:val="continue"/>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18"/>
          </w:tcPr>
          <w:p>
            <w:pPr>
              <w:ind w:left="20"/>
              <w:spacing w:after="0" w:line="196" w:lineRule="exact"/>
              <w:rPr>
                <w:rFonts w:ascii="Arial" w:cs="Arial" w:eastAsia="Arial" w:hAnsi="Arial"/>
                <w:sz w:val="18"/>
                <w:szCs w:val="18"/>
                <w:color w:val="0000FF"/>
                <w:w w:val="93"/>
              </w:rPr>
            </w:pPr>
            <w:hyperlink r:id="rId156">
              <w:r>
                <w:rPr>
                  <w:rFonts w:ascii="Arial" w:cs="Arial" w:eastAsia="Arial" w:hAnsi="Arial"/>
                  <w:sz w:val="18"/>
                  <w:szCs w:val="18"/>
                  <w:color w:val="0000FF"/>
                  <w:w w:val="93"/>
                </w:rPr>
                <w:t>herein by reference to Exhibit 10.1 to the Registrant's Current Report on Form 8-K (File No. 001-37783), filed with the SEC on May 12,</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0000FF"/>
              <w:bottom w:val="single" w:sz="8" w:color="0000FF"/>
            </w:tcBorders>
            <w:gridSpan w:val="2"/>
          </w:tcPr>
          <w:p>
            <w:pPr>
              <w:ind w:left="20"/>
              <w:spacing w:after="0" w:line="196" w:lineRule="exact"/>
              <w:rPr>
                <w:rFonts w:ascii="Arial" w:cs="Arial" w:eastAsia="Arial" w:hAnsi="Arial"/>
                <w:sz w:val="18"/>
                <w:szCs w:val="18"/>
                <w:color w:val="0000FF"/>
                <w:w w:val="86"/>
              </w:rPr>
            </w:pPr>
            <w:hyperlink r:id="rId156">
              <w:r>
                <w:rPr>
                  <w:rFonts w:ascii="Arial" w:cs="Arial" w:eastAsia="Arial" w:hAnsi="Arial"/>
                  <w:sz w:val="18"/>
                  <w:szCs w:val="18"/>
                  <w:color w:val="0000FF"/>
                  <w:w w:val="86"/>
                </w:rPr>
                <w:t>2023).</w:t>
              </w:r>
            </w:hyperlink>
          </w:p>
        </w:tc>
        <w:tc>
          <w:tcPr>
            <w:tcW w:w="20" w:type="dxa"/>
            <w:vAlign w:val="bottom"/>
            <w:tcBorders>
              <w:top w:val="single" w:sz="8" w:color="0000FF"/>
              <w:bottom w:val="single" w:sz="8" w:color="0000EE"/>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6500" w:type="dxa"/>
            <w:vAlign w:val="bottom"/>
            <w:tcBorders>
              <w:bottom w:val="single" w:sz="8" w:color="0000FF"/>
            </w:tcBorders>
            <w:gridSpan w:val="12"/>
          </w:tcPr>
          <w:p>
            <w:pPr>
              <w:ind w:left="20"/>
              <w:spacing w:after="0"/>
              <w:rPr>
                <w:sz w:val="20"/>
                <w:szCs w:val="20"/>
                <w:color w:val="auto"/>
              </w:rPr>
            </w:pPr>
            <w:r>
              <w:rPr>
                <w:rFonts w:ascii="Arial" w:cs="Arial" w:eastAsia="Arial" w:hAnsi="Arial"/>
                <w:sz w:val="18"/>
                <w:szCs w:val="18"/>
                <w:color w:val="0000FF"/>
                <w:w w:val="92"/>
              </w:rPr>
              <w:t>Certification of Principal Executive Officer under Section 302 of the Sarbanes-Oxley Act.</w:t>
            </w:r>
          </w:p>
        </w:tc>
        <w:tc>
          <w:tcPr>
            <w:tcW w:w="3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000" w:type="dxa"/>
            <w:vAlign w:val="bottom"/>
            <w:gridSpan w:val="18"/>
          </w:tcPr>
          <w:p>
            <w:pPr>
              <w:ind w:left="20"/>
              <w:spacing w:after="0"/>
              <w:rPr>
                <w:sz w:val="20"/>
                <w:szCs w:val="20"/>
                <w:color w:val="auto"/>
              </w:rPr>
            </w:pPr>
            <w:r>
              <w:rPr>
                <w:rFonts w:ascii="Arial" w:cs="Arial" w:eastAsia="Arial" w:hAnsi="Arial"/>
                <w:sz w:val="18"/>
                <w:szCs w:val="18"/>
                <w:color w:val="0000FF"/>
              </w:rPr>
              <w:t>Certification of Principal Financial Officer under Section 302 of the Sarbanes-Oxley Act.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60" w:type="dxa"/>
            <w:vAlign w:val="bottom"/>
            <w:tcBorders>
              <w:right w:val="single" w:sz="8" w:color="0000EE"/>
            </w:tcBorders>
            <w:gridSpan w:val="11"/>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8840" w:type="dxa"/>
            <w:vAlign w:val="bottom"/>
            <w:tcBorders>
              <w:bottom w:val="single" w:sz="8" w:color="0000FF"/>
            </w:tcBorders>
            <w:gridSpan w:val="14"/>
          </w:tcPr>
          <w:p>
            <w:pPr>
              <w:ind w:left="20"/>
              <w:spacing w:after="0"/>
              <w:rPr>
                <w:sz w:val="20"/>
                <w:szCs w:val="20"/>
                <w:color w:val="auto"/>
              </w:rPr>
            </w:pPr>
            <w:r>
              <w:rPr>
                <w:rFonts w:ascii="Arial" w:cs="Arial" w:eastAsia="Arial" w:hAnsi="Arial"/>
                <w:sz w:val="18"/>
                <w:szCs w:val="18"/>
                <w:color w:val="0000FF"/>
                <w:w w:val="92"/>
              </w:rPr>
              <w:t>Certifications of Principal Executive Officer and Principal Financial Officer under Section 906 of the Sarbanes-Oxley Act.</w:t>
            </w:r>
          </w:p>
        </w:tc>
        <w:tc>
          <w:tcPr>
            <w:tcW w:w="1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10000" w:type="dxa"/>
            <w:vAlign w:val="bottom"/>
            <w:gridSpan w:val="18"/>
          </w:tcPr>
          <w:p>
            <w:pPr>
              <w:ind w:left="20"/>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92"/>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10000" w:type="dxa"/>
            <w:vAlign w:val="bottom"/>
            <w:gridSpan w:val="18"/>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10000" w:type="dxa"/>
            <w:vAlign w:val="bottom"/>
            <w:gridSpan w:val="18"/>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10000" w:type="dxa"/>
            <w:vAlign w:val="bottom"/>
            <w:gridSpan w:val="18"/>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10000" w:type="dxa"/>
            <w:vAlign w:val="bottom"/>
            <w:gridSpan w:val="18"/>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2"/>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10000" w:type="dxa"/>
            <w:vAlign w:val="bottom"/>
            <w:gridSpan w:val="18"/>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91"/>
        </w:trPr>
        <w:tc>
          <w:tcPr>
            <w:tcW w:w="11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000" w:type="dxa"/>
            <w:vAlign w:val="bottom"/>
            <w:gridSpan w:val="18"/>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48"/>
        </w:trPr>
        <w:tc>
          <w:tcPr>
            <w:tcW w:w="1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0" w:hanging="464"/>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0" w:right="240" w:hanging="464"/>
        <w:spacing w:after="0" w:line="286"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320" w:top="337" w:right="77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August 14, 2023</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38100</wp:posOffset>
            </wp:positionV>
            <wp:extent cx="25800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4">
            <w:col w:w="420" w:space="120"/>
            <w:col w:w="5520" w:space="720"/>
            <w:col w:w="880" w:space="720"/>
            <w:col w:w="2420"/>
          </w:cols>
          <w:pgMar w:left="320" w:top="337" w:right="779" w:bottom="1440" w:gutter="0" w:footer="0" w:header="0"/>
          <w:type w:val="continuous"/>
        </w:sectPr>
      </w:pPr>
    </w:p>
    <w:p>
      <w:pPr>
        <w:jc w:val="center"/>
        <w:ind w:left="716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7" w:right="77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George Lasezkay,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Clearside Biomedical, Inc. (the “registrant”);</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480" w:right="260" w:hanging="472"/>
        <w:spacing w:after="0" w:line="342"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George Lasezkay, Pharm. D., J.D.</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Clearside Biomedical, Inc. (the “registrant”);</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8460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Charles A. Deignan</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41" w:lineRule="exact"/>
        <w:rPr>
          <w:sz w:val="20"/>
          <w:szCs w:val="20"/>
          <w:color w:val="auto"/>
        </w:rPr>
      </w:pPr>
    </w:p>
    <w:p>
      <w:pPr>
        <w:ind w:left="520" w:right="44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2023,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color w:val="auto"/>
        </w:rPr>
      </w:pPr>
    </w:p>
    <w:p>
      <w:pPr>
        <w:ind w:left="520" w:right="42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14th day of August,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Lasezkay, Pharm. D., J.D.</w:t>
            </w:r>
          </w:p>
        </w:tc>
        <w:tc>
          <w:tcPr>
            <w:tcW w:w="2260" w:type="dxa"/>
            <w:vAlign w:val="bottom"/>
          </w:tcPr>
          <w:p>
            <w:pPr>
              <w:spacing w:after="0"/>
              <w:rPr>
                <w:sz w:val="20"/>
                <w:szCs w:val="20"/>
                <w:color w:val="auto"/>
              </w:rPr>
            </w:pP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A. Deignan</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George Lasezkay, Pharm. D., J.D.</w:t>
            </w: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Charles A. Deignan</w:t>
            </w:r>
          </w:p>
        </w:tc>
      </w:tr>
      <w:tr>
        <w:trPr>
          <w:trHeight w:val="228"/>
        </w:trPr>
        <w:tc>
          <w:tcPr>
            <w:tcW w:w="45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22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56" w:lineRule="exact"/>
        <w:rPr>
          <w:sz w:val="20"/>
          <w:szCs w:val="20"/>
          <w:color w:val="auto"/>
        </w:rPr>
      </w:pPr>
    </w:p>
    <w:p>
      <w:pPr>
        <w:ind w:left="520" w:right="100" w:hanging="512"/>
        <w:spacing w:after="0" w:line="286" w:lineRule="auto"/>
        <w:tabs>
          <w:tab w:leader="none" w:pos="37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53" Type="http://schemas.openxmlformats.org/officeDocument/2006/relationships/hyperlink" Target="https://www.sec.gov/Archives/edgar/data/1539029/000119312516615374/d208521dex31.htm" TargetMode="External"/><Relationship Id="rId154" Type="http://schemas.openxmlformats.org/officeDocument/2006/relationships/hyperlink" Target="https://www.sec.gov/Archives/edgar/data/1539029/000095017022012039/clsd-ex3_1.htm" TargetMode="External"/><Relationship Id="rId155" Type="http://schemas.openxmlformats.org/officeDocument/2006/relationships/hyperlink" Target="https://www.sec.gov/Archives/edgar/data/1539029/000119312516615374/d208521dex32.htm" TargetMode="External"/><Relationship Id="rId156" Type="http://schemas.openxmlformats.org/officeDocument/2006/relationships/hyperlink" Target="https://www.sec.gov/Archives/edgar/data/1539029/000095017023021769/clsd-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2023-08-14T15:53:42Z</dcterms:created>
  <dcterms:modified xsi:type="dcterms:W3CDTF">2023-08-14T15:53:42Z</dcterms:modified>
</cp:coreProperties>
</file>