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sd-20231231.htm"/>
      <w:bookmarkStart w:id="1" w:name="ksclsd20231231"/>
      <w:bookmarkEnd w:id="0"/>
      <w:bookmarkEnd w:id="1"/>
      <w:r>
        <w:rPr/>
        <w:t> </w:t>
      </w:r>
    </w:p>
    <w:p>
      <w:pPr>
        <w:pStyle w:val="TextBody"/>
        <w:pBdr>
          <w:top w:val="double" w:sz="6" w:space="1" w:color="000000"/>
        </w:pBdr>
        <w:bidi w:val="0"/>
        <w:spacing w:before="120" w:after="283"/>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FORM 10-K</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18"/>
        </w:rPr>
        <w:t>(</w:t>
      </w:r>
      <w:r>
        <w:rPr>
          <w:rFonts w:ascii="Times New Roman" w:hAnsi="Times New Roman"/>
          <w:b/>
          <w:color w:val="000000"/>
          <w:sz w:val="17"/>
        </w:rPr>
        <w:t>Mark One)</w:t>
      </w:r>
    </w:p>
    <w:tbl>
      <w:tblPr>
        <w:tblW w:w="8672" w:type="dxa"/>
        <w:jc w:val="left"/>
        <w:tblInd w:w="0" w:type="dxa"/>
        <w:tblLayout w:type="fixed"/>
        <w:tblCellMar>
          <w:top w:w="28" w:type="dxa"/>
          <w:left w:w="28" w:type="dxa"/>
          <w:bottom w:w="28" w:type="dxa"/>
          <w:right w:w="28" w:type="dxa"/>
        </w:tblCellMar>
      </w:tblPr>
      <w:tblGrid>
        <w:gridCol w:w="331"/>
        <w:gridCol w:w="8341"/>
      </w:tblGrid>
      <w:tr>
        <w:trPr/>
        <w:tc>
          <w:tcPr>
            <w:tcW w:w="33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ANNUAL REPORT PURSUANT TO SECTION 13 OR 15(d) OF THE SECURITIES EXCHANGE ACT OF 1934</w:t>
            </w:r>
          </w:p>
        </w:tc>
      </w:tr>
    </w:tbl>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For the fiscal year ended December 31, 2023</w:t>
      </w:r>
    </w:p>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17"/>
              </w:rPr>
            </w:pPr>
            <w:r>
              <w:rPr>
                <w:rFonts w:ascii="Times New Roman" w:hAnsi="Times New Roman"/>
                <w:b/>
                <w:color w:val="000000"/>
                <w:sz w:val="17"/>
              </w:rPr>
              <w:t>TRANSITION REPORT PURSUANT TO SECTION 13 OR 15(d) OF THE SECURITIES EXCHANGE ACT OF 1934</w:t>
            </w:r>
          </w:p>
          <w:p>
            <w:pPr>
              <w:pStyle w:val="TableContents"/>
              <w:bidi w:val="0"/>
              <w:spacing w:before="80" w:after="283"/>
              <w:jc w:val="center"/>
              <w:rPr>
                <w:rFonts w:ascii="Times New Roman" w:hAnsi="Times New Roman"/>
                <w:b/>
                <w:color w:val="000000"/>
                <w:sz w:val="17"/>
              </w:rPr>
            </w:pPr>
            <w:r>
              <w:rPr>
                <w:rFonts w:ascii="Times New Roman" w:hAnsi="Times New Roman"/>
                <w:b/>
                <w:color w:val="000000"/>
                <w:sz w:val="17"/>
              </w:rPr>
              <w:t>For the transition period from _______ to __________</w:t>
            </w:r>
          </w:p>
        </w:tc>
      </w:tr>
    </w:tbl>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Commission File Number: 001-37783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Clearside Biomedical,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45-2437375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7"/>
              </w:rPr>
            </w:pPr>
            <w:r>
              <w:rPr>
                <w:rFonts w:ascii="Times New Roman" w:hAnsi="Times New Roman"/>
                <w:b/>
                <w:color w:val="000000"/>
                <w:sz w:val="17"/>
              </w:rPr>
              <w:t>900 North Point Parkway, Suite 200</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Alpharetta,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30005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(678) 270-3631</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$0.001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CLSD</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80" w:after="283"/>
        <w:jc w:val="center"/>
        <w:rPr/>
      </w:pPr>
      <w:r>
        <w:rPr/>
        <w:t>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80" w:after="283"/>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80"/>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jc w:val="left"/>
        <w:rPr>
          <w:rFonts w:ascii="Times New Roman" w:hAnsi="Times New Roman"/>
          <w:color w:val="000000"/>
          <w:sz w:val="17"/>
        </w:rPr>
      </w:pPr>
      <w:r>
        <w:rPr>
          <w:rFonts w:ascii="Times New Roman" w:hAnsi="Times New Roman"/>
          <w:color w:val="000000"/>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80"/>
        <w:jc w:val="left"/>
        <w:rPr>
          <w:rFonts w:ascii="Times New Roman" w:hAnsi="Times New Roman"/>
          <w:sz w:val="20"/>
        </w:rPr>
      </w:pPr>
      <w:r>
        <w:rPr>
          <w:rFonts w:ascii="Times New Roman" w:hAnsi="Times New Roman"/>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0" w:after="80"/>
        <w:jc w:val="left"/>
        <w:rPr>
          <w:rFonts w:ascii="Times New Roman" w:hAnsi="Times New Roman"/>
          <w:color w:val="000000"/>
          <w:sz w:val="17"/>
        </w:rPr>
      </w:pPr>
      <w:r>
        <w:rPr>
          <w:rFonts w:ascii="Times New Roman" w:hAnsi="Times New Roman"/>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8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80"/>
        <w:jc w:val="left"/>
        <w:rPr>
          <w:rFonts w:ascii="Times New Roman" w:hAnsi="Times New Roman"/>
          <w:sz w:val="20"/>
        </w:rPr>
      </w:pPr>
      <w:r>
        <w:rPr>
          <w:rFonts w:ascii="Times New Roman" w:hAnsi="Times New Roman"/>
          <w:color w:val="000000"/>
          <w:sz w:val="17"/>
        </w:rPr>
        <w:t>The aggregate market value of Clearside Biomedical, Inc. voting and non-voting common equity held by non-affiliates as of June 30, 2023 (the last business day of the registrant's most recently completed second fiscal quarter) based on the closing sale price of $1.12 as reported on the Nasdaq Global Market on that date was approximately $64,000,000.</w:t>
      </w:r>
      <w:r>
        <w:rPr>
          <w:rFonts w:ascii="Times New Roman" w:hAnsi="Times New Roman"/>
          <w:color w:val="000000"/>
          <w:sz w:val="20"/>
        </w:rPr>
        <w:t xml:space="preserve"> </w:t>
      </w:r>
    </w:p>
    <w:p>
      <w:pPr>
        <w:pStyle w:val="TextBody"/>
        <w:bidi w:val="0"/>
        <w:spacing w:before="0" w:after="80"/>
        <w:jc w:val="left"/>
        <w:rPr>
          <w:rFonts w:ascii="Times New Roman" w:hAnsi="Times New Roman"/>
          <w:sz w:val="20"/>
        </w:rPr>
      </w:pPr>
      <w:r>
        <w:rPr>
          <w:rFonts w:ascii="Times New Roman" w:hAnsi="Times New Roman"/>
          <w:color w:val="000000"/>
          <w:sz w:val="17"/>
        </w:rPr>
        <w:t>As of March 5, 2024, the registrant had 74,721,139</w:t>
      </w:r>
      <w:r>
        <w:rPr>
          <w:rFonts w:ascii="Times New Roman" w:hAnsi="Times New Roman"/>
          <w:color w:val="000000"/>
          <w:sz w:val="20"/>
        </w:rPr>
        <w:t xml:space="preserve"> </w:t>
      </w:r>
      <w:r>
        <w:rPr>
          <w:rFonts w:ascii="Times New Roman" w:hAnsi="Times New Roman"/>
          <w:color w:val="000000"/>
          <w:sz w:val="17"/>
        </w:rPr>
        <w:t>shares of common stock, par value $0.001 per share, outstanding.</w:t>
      </w:r>
    </w:p>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DOCUMENTS INCORPORATED BY REFERENCE</w:t>
      </w:r>
    </w:p>
    <w:p>
      <w:pPr>
        <w:pStyle w:val="TextBody"/>
        <w:bidi w:val="0"/>
        <w:spacing w:before="80" w:after="283"/>
        <w:jc w:val="left"/>
        <w:rPr>
          <w:rFonts w:ascii="Times New Roman" w:hAnsi="Times New Roman"/>
          <w:color w:val="000000"/>
          <w:sz w:val="17"/>
        </w:rPr>
      </w:pPr>
      <w:r>
        <w:rPr>
          <w:rFonts w:ascii="Times New Roman" w:hAnsi="Times New Roman"/>
          <w:color w:val="000000"/>
          <w:sz w:val="17"/>
        </w:rPr>
        <w:t>Portions of the Company’s definitive proxy statement, to be filed (no later than 120 days after December 31, 2023) pursuant to Regulation 14A under the Securities Exchange Act of 1934, for its 2024 Annual Meeting of Stockholders are incorporated by reference into Part III of the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future revenue, expenses and needs for additional financing;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capital requirements and sources and uses of cash;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commercialization of XIPERE by our licensing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for the development and potential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ongoing and planned preclinical studies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the availability of data from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our planned regulatory filings;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our ability to obtain and maintain regulatory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amount of milestone and royalty payments we are required to make or that we may receive under our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utility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partners’ ability to obtain and maintain regulatory approval of our product candidates in any of the indications for which we or our partners plan to develop them, and any related restrictions, limitations or warnings in the label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enter into and maintain collaborations with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 candidates with significant commercial potential that are compatible with suprachoroidal injection and which are consistent with our commercial objectives;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compliance with the continued listing standards of the Nasdaq Global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severity and impact on our operations and clinical trials of geopolitical and macroeconomic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our cash resources, our future expenses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refer to Item 1A. “Risk Factors” in this Annual Report for a discussion of important factors that may cause our actual results to differ materially from those expressed or implied by our forward</w:t>
        <w:noBreakHyphen/>
        <w:t>looking statements. As a result of these factors, we cannot assure you that the forward</w:t>
        <w:noBreakHyphen/>
        <w:t>looking statements in this Annual Report will prove to be accurate. Furthermore, if our forward</w:t>
        <w:noBreakHyphen/>
        <w:t>looking statements prove to be inaccurate, the inaccuracy may be material. In light of the significant uncertainties in these forward</w:t>
        <w:noBreakHyphen/>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noBreakHyphen/>
        <w:t xml:space="preserve">looking statements, whether as a result of new information, future events or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required by law. You should, therefore, not rely on these forward-looking statements as representing our views as of any date subsequent to the date of this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proprietary rights to a number of trademarks used in this Annual Report which are important to our business, including Clearside, XIPERE, SCS,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meet our financial obligations and to pursue our business objectives. If we are unable to raise capital when needed, we could be forced to delay, reduce or altogether cease our drug development programs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are focused on the development of product candidates for treatment of eye disease through suprachoroidal injection and partnering with companies who can leverage our SCS Microinjector to deliver their ophthalmic product candidates to the suprachoroidal space, or SCS. Suprachoroidal injection is a novel approach and may fail to achieve and sustain market acceptance.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regulatory approval for, and commercialize either on our own or with a third party, CLS-AX or our other product candidates, or if we experience significant delays in doing so, our business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drug development involves a lengthy and expensive process with an uncertain outcome. We may incur additional costs or experience delays in completing, or ultimately be unable to complete, the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bookmarkStart w:id="2" w:name="table_of_contents"/>
      <w:bookmarkEnd w:id="2"/>
      <w:r>
        <w:rPr>
          <w:rFonts w:ascii="Times New Roman" w:hAnsi="Times New Roman"/>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842"/>
        <w:gridCol w:w="8851"/>
        <w:gridCol w:w="512"/>
      </w:tblGrid>
      <w:tr>
        <w:trPr/>
        <w:tc>
          <w:tcPr>
            <w:tcW w:w="842"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2" w:type="dxa"/>
            <w:tcBorders/>
            <w:shd w:fill="FFFFFF" w:val="clear"/>
            <w:vAlign w:val="center"/>
          </w:tcPr>
          <w:p>
            <w:pPr>
              <w:pStyle w:val="TableContents"/>
              <w:bidi w:val="0"/>
              <w:spacing w:before="0" w:after="283"/>
              <w:ind w:left="137" w:right="0" w:firstLine="137"/>
              <w:jc w:val="left"/>
              <w:rPr/>
            </w:pPr>
            <w:r>
              <w:rPr/>
              <w:t> </w:t>
            </w:r>
          </w:p>
        </w:tc>
        <w:tc>
          <w:tcPr>
            <w:tcW w:w="8851"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2" w:type="dxa"/>
            <w:tcBorders/>
            <w:shd w:fill="FFFFFF" w:val="clear"/>
            <w:vAlign w:val="center"/>
          </w:tcPr>
          <w:p>
            <w:pPr>
              <w:pStyle w:val="TableContents"/>
              <w:bidi w:val="0"/>
              <w:spacing w:before="0" w:after="283"/>
              <w:jc w:val="center"/>
              <w:rPr/>
            </w:pPr>
            <w:r>
              <w:rPr/>
              <w:t> </w:t>
            </w:r>
          </w:p>
        </w:tc>
        <w:tc>
          <w:tcPr>
            <w:tcW w:w="8851" w:type="dxa"/>
            <w:tcBorders/>
            <w:shd w:fill="FFFFFF" w:val="clear"/>
            <w:vAlign w:val="center"/>
          </w:tcPr>
          <w:p>
            <w:pPr>
              <w:pStyle w:val="TableContents"/>
              <w:bidi w:val="0"/>
              <w:spacing w:before="0" w:after="283"/>
              <w:jc w:val="center"/>
              <w:rPr/>
            </w:pPr>
            <w:hyperlink w:anchor="part_i">
              <w:r>
                <w:rPr>
                  <w:rStyle w:val="InternetLink"/>
                  <w:rFonts w:ascii="Times New Roman" w:hAnsi="Times New Roman"/>
                  <w:b/>
                  <w:color w:val="0000FF"/>
                  <w:sz w:val="20"/>
                </w:rPr>
                <w:t>PART I</w:t>
              </w:r>
            </w:hyperlink>
            <w:r>
              <w:rPr>
                <w:rFonts w:ascii="Times New Roman" w:hAnsi="Times New Roman"/>
                <w:color w:val="0000FF"/>
                <w:sz w:val="20"/>
              </w:rPr>
              <w:t xml:space="preserve"> </w:t>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1" w:type="dxa"/>
            <w:tcBorders/>
            <w:shd w:fill="FFFFFF" w:val="cle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1"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51" w:type="dxa"/>
            <w:tcBorders/>
            <w:shd w:fill="FFFFFF" w:val="cle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51" w:type="dxa"/>
            <w:tcBorders/>
            <w:shd w:fill="FFFF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1"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1" w:type="dxa"/>
            <w:tcBorders/>
            <w:shd w:fill="FFFFFF"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1"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42" w:type="dxa"/>
            <w:tcBorders/>
            <w:shd w:fill="FFFFFF" w:val="clear"/>
            <w:vAlign w:val="center"/>
          </w:tcPr>
          <w:p>
            <w:pPr>
              <w:pStyle w:val="TableContents"/>
              <w:bidi w:val="0"/>
              <w:spacing w:before="0" w:after="283"/>
              <w:jc w:val="left"/>
              <w:rPr/>
            </w:pPr>
            <w:r>
              <w:rPr/>
              <w:t> </w:t>
            </w:r>
          </w:p>
        </w:tc>
        <w:tc>
          <w:tcPr>
            <w:tcW w:w="885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r>
      <w:tr>
        <w:trPr/>
        <w:tc>
          <w:tcPr>
            <w:tcW w:w="842" w:type="dxa"/>
            <w:tcBorders/>
            <w:shd w:fill="FFFFFF" w:val="clear"/>
            <w:vAlign w:val="center"/>
          </w:tcPr>
          <w:p>
            <w:pPr>
              <w:pStyle w:val="TableContents"/>
              <w:bidi w:val="0"/>
              <w:spacing w:before="0" w:after="283"/>
              <w:jc w:val="left"/>
              <w:rPr/>
            </w:pPr>
            <w:r>
              <w:rPr/>
              <w:t> </w:t>
            </w:r>
          </w:p>
        </w:tc>
        <w:tc>
          <w:tcPr>
            <w:tcW w:w="8851" w:type="dxa"/>
            <w:tcBorders/>
            <w:shd w:fill="FFFFFF" w:val="clear"/>
            <w:vAlign w:val="center"/>
          </w:tcPr>
          <w:p>
            <w:pPr>
              <w:pStyle w:val="TableContents"/>
              <w:bidi w:val="0"/>
              <w:spacing w:before="0" w:after="283"/>
              <w:jc w:val="center"/>
              <w:rPr/>
            </w:pPr>
            <w:hyperlink w:anchor="part_ii">
              <w:r>
                <w:rPr>
                  <w:rStyle w:val="InternetLink"/>
                  <w:rFonts w:ascii="Times New Roman" w:hAnsi="Times New Roman"/>
                  <w:b/>
                  <w:color w:val="0000FF"/>
                  <w:sz w:val="20"/>
                </w:rPr>
                <w:t>PART II</w:t>
              </w:r>
            </w:hyperlink>
          </w:p>
        </w:tc>
        <w:tc>
          <w:tcPr>
            <w:tcW w:w="512" w:type="dxa"/>
            <w:tcBorders/>
            <w:shd w:fill="FFFFFF" w:val="clear"/>
            <w:vAlign w:val="center"/>
          </w:tcPr>
          <w:p>
            <w:pPr>
              <w:pStyle w:val="TableContents"/>
              <w:bidi w:val="0"/>
              <w:spacing w:before="0" w:after="283"/>
              <w:jc w:val="right"/>
              <w:rPr/>
            </w:pPr>
            <w:r>
              <w:rPr/>
              <w:t> </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1" w:type="dxa"/>
            <w:tcBorders/>
            <w:shd w:fill="FFFFFF" w:val="clear"/>
            <w:vAlign w:val="center"/>
          </w:tcPr>
          <w:p>
            <w:pPr>
              <w:pStyle w:val="TableContents"/>
              <w:bidi w:val="0"/>
              <w:spacing w:before="0" w:after="283"/>
              <w:jc w:val="left"/>
              <w:rPr/>
            </w:pPr>
            <w:hyperlink w:anchor="item_5_market_for_registrant">
              <w:r>
                <w:rPr>
                  <w:rStyle w:val="InternetLink"/>
                  <w:rFonts w:ascii="Times New Roman" w:hAnsi="Times New Roman"/>
                  <w:color w:val="0000FF"/>
                  <w:sz w:val="20"/>
                </w:rPr>
                <w:t>Market for Registrant’s Common Equity, Related Stockholder Matters and Issuer Purchases of Equity Securities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1" w:type="dxa"/>
            <w:tcBorders/>
            <w:shd w:fill="FFFFFF" w:val="cle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51" w:type="dxa"/>
            <w:tcBorders/>
            <w:shd w:fill="FFFFFF" w:val="clear"/>
            <w:vAlign w:val="center"/>
          </w:tcPr>
          <w:p>
            <w:pPr>
              <w:pStyle w:val="TableContents"/>
              <w:bidi w:val="0"/>
              <w:spacing w:before="0" w:after="283"/>
              <w:jc w:val="left"/>
              <w:rPr/>
            </w:pPr>
            <w:hyperlink w:anchor="item_7_mgmt_discussion_analysis">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7A. </w:t>
            </w:r>
          </w:p>
        </w:tc>
        <w:tc>
          <w:tcPr>
            <w:tcW w:w="8851" w:type="dxa"/>
            <w:tcBorders/>
            <w:shd w:fill="FFFFFF"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rPr>
                <w:t>Quantitative and Qualitative Disclosures About Market Risk</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51" w:type="dxa"/>
            <w:tcBorders/>
            <w:shd w:fill="FFFFFF" w:val="cle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rPr>
                <w:t>Financial Statements and Supplementary Data</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51" w:type="dxa"/>
            <w:tcBorders/>
            <w:shd w:fill="FFFFFF" w:val="clear"/>
            <w:vAlign w:val="center"/>
          </w:tcPr>
          <w:p>
            <w:pPr>
              <w:pStyle w:val="TableContents"/>
              <w:bidi w:val="0"/>
              <w:spacing w:before="0" w:after="283"/>
              <w:jc w:val="left"/>
              <w:rPr/>
            </w:pPr>
            <w:hyperlink w:anchor="item_9_changes_in_and">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51" w:type="dxa"/>
            <w:tcBorders/>
            <w:shd w:fill="FFFFFF" w:val="cle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rPr>
                <w:t>Controls and Procedures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51" w:type="dxa"/>
            <w:tcBorders/>
            <w:shd w:fill="FFFFFF" w:val="cle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rPr>
                <w:t>Other Information</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51" w:type="dxa"/>
            <w:tcBorders/>
            <w:shd w:fill="FFFFFF" w:val="cle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42" w:type="dxa"/>
            <w:tcBorders/>
            <w:shd w:fill="FFFFFF" w:val="clear"/>
            <w:vAlign w:val="center"/>
          </w:tcPr>
          <w:p>
            <w:pPr>
              <w:pStyle w:val="TableContents"/>
              <w:bidi w:val="0"/>
              <w:spacing w:before="0" w:after="283"/>
              <w:jc w:val="left"/>
              <w:rPr/>
            </w:pPr>
            <w:r>
              <w:rPr/>
              <w:t> </w:t>
            </w:r>
          </w:p>
        </w:tc>
        <w:tc>
          <w:tcPr>
            <w:tcW w:w="885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ind w:left="0" w:right="0" w:firstLine="137"/>
              <w:jc w:val="right"/>
              <w:rPr/>
            </w:pPr>
            <w:r>
              <w:rPr/>
              <w:t> </w:t>
            </w:r>
          </w:p>
        </w:tc>
      </w:tr>
      <w:tr>
        <w:trPr/>
        <w:tc>
          <w:tcPr>
            <w:tcW w:w="842" w:type="dxa"/>
            <w:tcBorders/>
            <w:shd w:fill="FFFFFF" w:val="clear"/>
            <w:vAlign w:val="center"/>
          </w:tcPr>
          <w:p>
            <w:pPr>
              <w:pStyle w:val="TableContents"/>
              <w:bidi w:val="0"/>
              <w:spacing w:before="0" w:after="283"/>
              <w:ind w:left="137" w:right="0" w:firstLine="137"/>
              <w:jc w:val="left"/>
              <w:rPr/>
            </w:pPr>
            <w:r>
              <w:rPr/>
              <w:t> </w:t>
            </w:r>
          </w:p>
        </w:tc>
        <w:tc>
          <w:tcPr>
            <w:tcW w:w="8851" w:type="dxa"/>
            <w:tcBorders/>
            <w:shd w:fill="FFFFFF" w:val="clear"/>
            <w:vAlign w:val="center"/>
          </w:tcPr>
          <w:p>
            <w:pPr>
              <w:pStyle w:val="TableContents"/>
              <w:bidi w:val="0"/>
              <w:spacing w:before="0" w:after="283"/>
              <w:jc w:val="center"/>
              <w:rPr>
                <w:rFonts w:ascii="Times New Roman" w:hAnsi="Times New Roman"/>
                <w:b/>
                <w:color w:val="0000FF"/>
                <w:sz w:val="20"/>
              </w:rPr>
            </w:pPr>
            <w:r>
              <w:rPr>
                <w:rFonts w:ascii="Times New Roman" w:hAnsi="Times New Roman"/>
                <w:b/>
                <w:color w:val="0000FF"/>
                <w:sz w:val="20"/>
              </w:rPr>
              <w:t>PART III</w:t>
            </w:r>
          </w:p>
        </w:tc>
        <w:tc>
          <w:tcPr>
            <w:tcW w:w="512" w:type="dxa"/>
            <w:tcBorders/>
            <w:shd w:fill="FFFFFF" w:val="clear"/>
            <w:vAlign w:val="center"/>
          </w:tcPr>
          <w:p>
            <w:pPr>
              <w:pStyle w:val="TableContents"/>
              <w:bidi w:val="0"/>
              <w:spacing w:before="0" w:after="283"/>
              <w:jc w:val="right"/>
              <w:rPr/>
            </w:pPr>
            <w:r>
              <w:rPr/>
              <w:t> </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51" w:type="dxa"/>
            <w:tcBorders/>
            <w:shd w:fill="FFFFFF" w:val="clear"/>
            <w:vAlign w:val="center"/>
          </w:tcPr>
          <w:p>
            <w:pPr>
              <w:pStyle w:val="TableContents"/>
              <w:bidi w:val="0"/>
              <w:spacing w:before="0" w:after="283"/>
              <w:jc w:val="left"/>
              <w:rPr/>
            </w:pPr>
            <w:hyperlink w:anchor="item_10_directors_exec_officers_corp_gov">
              <w:r>
                <w:rPr>
                  <w:rStyle w:val="InternetLink"/>
                  <w:rFonts w:ascii="Times New Roman" w:hAnsi="Times New Roman"/>
                  <w:color w:val="0000FF"/>
                  <w:sz w:val="20"/>
                </w:rPr>
                <w:t>Directors, Executive Officers and Corporate Governance</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51" w:type="dxa"/>
            <w:tcBorders/>
            <w:shd w:fill="FFFFFF"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rPr>
                <w:t>Executive Compensation</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51" w:type="dxa"/>
            <w:tcBorders/>
            <w:shd w:fill="FFFFFF" w:val="cle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51" w:type="dxa"/>
            <w:tcBorders/>
            <w:shd w:fill="FFFFFF" w:val="cle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51" w:type="dxa"/>
            <w:tcBorders/>
            <w:shd w:fill="FFFFFF" w:val="cle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rPr>
                <w:t>Principal Accountant Fees and Services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42" w:type="dxa"/>
            <w:tcBorders/>
            <w:shd w:fill="FFFFFF" w:val="clear"/>
            <w:vAlign w:val="center"/>
          </w:tcPr>
          <w:p>
            <w:pPr>
              <w:pStyle w:val="TableContents"/>
              <w:bidi w:val="0"/>
              <w:spacing w:before="0" w:after="283"/>
              <w:jc w:val="left"/>
              <w:rPr/>
            </w:pPr>
            <w:r>
              <w:rPr/>
              <w:t> </w:t>
            </w:r>
          </w:p>
        </w:tc>
        <w:tc>
          <w:tcPr>
            <w:tcW w:w="885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r>
      <w:tr>
        <w:trPr/>
        <w:tc>
          <w:tcPr>
            <w:tcW w:w="842" w:type="dxa"/>
            <w:tcBorders/>
            <w:shd w:fill="FFFFFF" w:val="clear"/>
            <w:vAlign w:val="center"/>
          </w:tcPr>
          <w:p>
            <w:pPr>
              <w:pStyle w:val="TableContents"/>
              <w:bidi w:val="0"/>
              <w:spacing w:before="0" w:after="283"/>
              <w:jc w:val="left"/>
              <w:rPr/>
            </w:pPr>
            <w:r>
              <w:rPr/>
              <w:t> </w:t>
            </w:r>
          </w:p>
        </w:tc>
        <w:tc>
          <w:tcPr>
            <w:tcW w:w="8851" w:type="dxa"/>
            <w:tcBorders/>
            <w:shd w:fill="FFFFFF" w:val="clear"/>
            <w:vAlign w:val="center"/>
          </w:tcPr>
          <w:p>
            <w:pPr>
              <w:pStyle w:val="TableContents"/>
              <w:bidi w:val="0"/>
              <w:spacing w:before="0" w:after="283"/>
              <w:jc w:val="center"/>
              <w:rPr/>
            </w:pPr>
            <w:hyperlink w:anchor="part_iv">
              <w:r>
                <w:rPr>
                  <w:rStyle w:val="InternetLink"/>
                  <w:rFonts w:ascii="Times New Roman" w:hAnsi="Times New Roman"/>
                  <w:b/>
                  <w:color w:val="0000FF"/>
                  <w:sz w:val="20"/>
                </w:rPr>
                <w:t>PART IV</w:t>
              </w:r>
            </w:hyperlink>
          </w:p>
        </w:tc>
        <w:tc>
          <w:tcPr>
            <w:tcW w:w="512" w:type="dxa"/>
            <w:tcBorders/>
            <w:shd w:fill="FFFFFF" w:val="clear"/>
            <w:vAlign w:val="center"/>
          </w:tcPr>
          <w:p>
            <w:pPr>
              <w:pStyle w:val="TableContents"/>
              <w:bidi w:val="0"/>
              <w:spacing w:before="0" w:after="283"/>
              <w:jc w:val="right"/>
              <w:rPr/>
            </w:pPr>
            <w:r>
              <w:rPr/>
              <w:t> </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51" w:type="dxa"/>
            <w:tcBorders/>
            <w:shd w:fill="FFFFFF" w:val="clear"/>
            <w:vAlign w:val="center"/>
          </w:tcPr>
          <w:p>
            <w:pPr>
              <w:pStyle w:val="TableContents"/>
              <w:bidi w:val="0"/>
              <w:spacing w:before="0" w:after="283"/>
              <w:jc w:val="left"/>
              <w:rPr/>
            </w:pPr>
            <w:hyperlink w:anchor="item_15_exhibits_financial_stmt_schedule">
              <w:r>
                <w:rPr>
                  <w:rStyle w:val="InternetLink"/>
                  <w:rFonts w:ascii="Times New Roman" w:hAnsi="Times New Roman"/>
                  <w:color w:val="0000FF"/>
                  <w:sz w:val="20"/>
                </w:rPr>
                <w:t>Exhibits, Financial Statement Schedules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51" w:type="dxa"/>
            <w:tcBorders/>
            <w:shd w:fill="FFFFFF" w:val="clear"/>
            <w:vAlign w:val="center"/>
          </w:tcPr>
          <w:p>
            <w:pPr>
              <w:pStyle w:val="TableContents"/>
              <w:bidi w:val="0"/>
              <w:spacing w:before="0" w:after="283"/>
              <w:jc w:val="left"/>
              <w:rPr/>
            </w:pPr>
            <w:hyperlink w:anchor="item_16_form_10_k">
              <w:r>
                <w:rPr>
                  <w:rStyle w:val="InternetLink"/>
                  <w:rFonts w:ascii="Times New Roman" w:hAnsi="Times New Roman"/>
                  <w:color w:val="0000FF"/>
                  <w:sz w:val="20"/>
                  <w:u w:val="single"/>
                </w:rPr>
                <w:t>Form 10-K Summary</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693" w:type="dxa"/>
            <w:gridSpan w:val="2"/>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rPr>
                <w:t>Signatures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693" w:type="dxa"/>
            <w:gridSpan w:val="2"/>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360" w:after="120"/>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focused on revolutionizing the delivery of therapies to the back of the eye through the suprachoroidal space, or SCS. Our novel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technology.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are creating a broad therapeutic platform for developing product candidates to treat serious eye diseases.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Suprachoroidal Space (SCS) Injection Platform</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Our suprachoroidal injection platform is a novel, patented approach for delivering pharmacotherapy to the back of the eye via the SCS. When fluid is injected between the choroid and sclera, the elasticity of the SCS allows the fluid to migrate and spread spherically toward the posterior regions of the eye where it is absorbed into adjacent tissue. Our proprietary SCS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 The suprachoroidal injection procedure is depicted in the picture below.</w:t>
      </w:r>
    </w:p>
    <w:p>
      <w:pPr>
        <w:pStyle w:val="TextBody"/>
        <w:bidi w:val="0"/>
        <w:spacing w:before="264" w:after="120"/>
        <w:jc w:val="center"/>
        <w:rPr/>
      </w:pPr>
      <w:r>
        <w:rPr/>
        <w:drawing>
          <wp:inline distT="0" distB="0" distL="0" distR="0">
            <wp:extent cx="3543300" cy="199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43300" cy="19907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suprachoroidal injections, product candidates are more directly administered to the retina and choroid, limiting exposure to non-target tissues as compared to other ocular drug administration techniques. Furthermore, a natural pressure gradient between the intraocular pressure, or IOP, and the SCS pressure drives suprachoroidal injectates posteriorly towards the macula, which facilitates treatment of macular disorders with this office-based approach, without the need for an intraocular catheter or other surgical techniques. In contrast, intravitreal injections, the current standard for delivery of many drugs for eye diseases, rely on diffusion of drug outward from the vitreous, a jelly-like substance that occupies the central portion of the eye, to the retina and choroid. This diffusion can result in lower concentrations of drug in these targeted areas and the drug spreading to unintended parts of the eye, potentially causing significant side effects. We believe treatment of eye disease via suprachoroidal injection may provide a number of benefits, including a non-surgical procedure, lower frequency of administration, limited exposure to non-targeted tissues, faster onset of therapeutic effect and an improved safety profile.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 2024, a permanent Category 1 Current Procedural Terminology, or CPT, code was granted for the suprachoroidal injection of pharmacologic agents. We believe the Category 1 code may facilitate better access, insurance coverage and adoption of the suprachoroidal injection procedure.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extensive patent portfolio provides us with the right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intellectual property portfolio consists of 28 issued U.S. patents and more than 80 European and international patents broadly directed to the use of the SCS Microinjector, administration of any drug into the SCS by injection, as well as XIPERE and our product candidates.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Our SCS Microinjector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SCS Microinjector can be used to inject a wide variety of therapies into the SCS, including our internally developed and our collaborators’ drug candidates. Our SCS Microinjector provides targeted delivery to potentially improve efficacy and compartmentalization of medication to reduce or eliminate toxic effects on non-diseased cells. Suprachoroidal injection enables the rapid dispersion of medicine to the back of the eye, offering the potential for the medicine to act longer and minimize harm to the surrounding healthy parts of the eye.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SCS Microinjector has been used in thousands of suprachoroidal injections in our clinical trials and the clinical trials of our partners. It has been commercially accepted by retinal physicians following the launch of XIPERE in the United States by Bausch + Lomb with over 1,200 retinal physicians trained to date. Suprachoroidal injections using our SCS Microinjector have demonstrated a clinical safety profile comparable to intravitreal injections.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SCS Microinjector, shown in the picture below, is composed of a syringe and two 30-gauge hollow microneedles of varying lengths, each approximately one millimeter, within a custom-designed hub that optimizes insertion and suprachoroidal administration of drugs.</w:t>
      </w:r>
    </w:p>
    <w:p>
      <w:pPr>
        <w:pStyle w:val="TextBody"/>
        <w:bidi w:val="0"/>
        <w:spacing w:before="264" w:after="120"/>
        <w:jc w:val="left"/>
        <w:rPr/>
      </w:pPr>
      <w:r>
        <w:rPr/>
        <w:drawing>
          <wp:inline distT="0" distB="0" distL="0" distR="0">
            <wp:extent cx="5467350" cy="3133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67350" cy="31337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Intravitreal injections are typically performed using a needle that is approximately five millimeters in length, or five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contrast, our SCS Microinjector is designed to inject drug into the SCS. This suprachoroidal injection is designed to be carried out under local anesthesia, perpendicular to the sclera, at a site similar to an intravitreal injection. Once the microneedle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penetrates the sclera and reaches the SCS, the boundary between the sclera and the choroid, the open bevel of the needle releases the drug between these two layers. Once drug is injected into the SCS, it spreads to the back of the eye, due to a natural pressure gradient between the IOP and the SCS pressure, precisely targeting the cells of interest without the need for intraocular catheters or other surgical techniques. </w:t>
      </w:r>
    </w:p>
    <w:p>
      <w:pPr>
        <w:pStyle w:val="TextBody"/>
        <w:bidi w:val="0"/>
        <w:spacing w:before="360" w:after="120"/>
        <w:jc w:val="left"/>
        <w:rPr>
          <w:rFonts w:ascii="Times New Roman" w:hAnsi="Times New Roman"/>
          <w:sz w:val="20"/>
        </w:rPr>
      </w:pPr>
      <w:r>
        <w:rPr>
          <w:rFonts w:ascii="Times New Roman" w:hAnsi="Times New Roman"/>
          <w:b/>
          <w:i/>
          <w:color w:val="000000"/>
          <w:sz w:val="20"/>
        </w:rPr>
        <w:t>Our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research capabilities focused on developing proprietary therapeutic formulations to utilize with our SCS Microinjector. Our current internal research and development initiatives are focused on small molecules to address serious diseases that affect the back of the eye. In addition to growing our internal pipeline, we are also focused on strategically collaborating with other companies to provide access to the suprachoroidal space through the use of our SCS Microinjector.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current development status of our pipeline of internal product candidates and external collaborations is summarized in the chart below: </w:t>
      </w:r>
    </w:p>
    <w:p>
      <w:pPr>
        <w:pStyle w:val="TextBody"/>
        <w:bidi w:val="0"/>
        <w:jc w:val="center"/>
        <w:rPr/>
      </w:pPr>
      <w:r>
        <w:rPr/>
        <w:drawing>
          <wp:inline distT="0" distB="0" distL="0" distR="0">
            <wp:extent cx="6858000" cy="3114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114675"/>
                    </a:xfrm>
                    <a:prstGeom prst="rect">
                      <a:avLst/>
                    </a:prstGeom>
                  </pic:spPr>
                </pic:pic>
              </a:graphicData>
            </a:graphic>
          </wp:inline>
        </w:drawing>
      </w: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Clinical Development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building a clinical development pipeline focused on small molecules. Our first product, XIPERE, was approved by the FDA in October 2021. The XIPERE approval supports our approach both clinically and preclinically to advance small molecule suspensions delivered into the SCS.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most advanced clinical development product candidate is a proprietary suspension of axitinib, a tyrosine kinase inhibitor, or TKI, for suprachoroidal injection, which we refer to as CLS-AX. We have completed OASIS, a Phase 1/2a clinical trial in patients with neovascular age-related macular degeneration, commonly referred to as wet AMD. In December 2023, we completed the randomization of participants for ODYSSEY, our Phase 2b clinical trial of CLS-AX. We expect to report topline data from the ODYSSEY trial in the third quarter of 2024.</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CLS-AX (axitinib injectable suspension)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CLS-AX, our most advanced product candidate, is our proprietary suspension of the TKI axitinib for suprachoroidal injection delivered via our SCS Microinjector. CLS-AX is an inhibitor of vascular endothelial growth factor receptor-1, -2 and -3 that we believe may benefit patients as a potential longer duration maintenance therapy alongside other anti-VEGF therapies. We are developing CLS-AX for administration to the SCS as a long-acting therapy for wet AMD, a retinal degenerative disease that causes a progressive loss of central vision.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AMD is the leading cause of irreversible blindness in adults over 55 years old in developed countries. Approximately 11 million individuals in the United States are affected with AMD, with a global prevalence of 170 million. Aging is the greatest risk factor;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therefore, the United States prevalence of AMD is anticipated to increase to 22 million by 2050, while the global prevalence is expected to increase to 288 million by 2040. An estimated 10% to 15% of people with AMD will develop the wet form, which refers to the advanced neovascular stage of the disease in which blood vessels leak blood and fluid into the macula and damage photoreceptor cells. Wet AMD often progresses rapidly and causes substantial loss of central vision if left untreated. Current wet AMD therapy has a ceiling of efficacy as increased dosage or more intense regimens yield limited or no additional visual benefit and require adherence to a regimen of frequent injections. This treatment burden is further highlighted by recent large “real-world” retrospective studies of wet AMD which underscore the difficulty in adhering to regimens. These real-world studies demonstrate that patients are undertreated, receiving only 6 to 7 injections per year on average, resulting in mean improvement of only one to three letters in visual acuity after one year of treatment. The current anti-VEGF market for the treatment of retinal diseases consists of several drugs that generated aggregate 2020 sales of approximately $14.3 billion globally.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Axitinib is currently approved to treat renal cell cancer. Because it is a well-characterized small molecule instead of a novel complex biologic, we believe there is potential for less immune response and inflammation compared to some new, contemporary biologic agents. Also, compared to other TKIs, axitinib has shown better biocompatibility with ocular cells, including retinal pigment epithelial cells, which may potentially translate to safety benefits. Other TKIs have shown biologic effect in wet AMD clinical trials when delivered systemically, topically and intravitreally. However, each of these routes of administration have been associated with off-target effects. Consequently, a limitation of TKIs may be associated with the delivery of the drug and not a result of the mechanism of action. Importantly, we believe that administration of CLS-AX to the SCS using our SCS Microinjector, may minimize the occurrence of related adverse events, such as vitreous floaters, "snow globe" effect or corneal off-target effects seen with other TKI administration techniques.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its broad VEGF blockade, we believe axitinib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preclinical studies, axitinib was observed to be greater than ten times more potent than other TKIs. In multiple preclinical animal studies conducted by independent investigators, axitinib has inhibited corneal, retinal and choroidal angiogenesis. In addition, in preclinical models, axitinib more effectively inhibited and regressed experimental corneal neovascularization than other TKIs.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internal preclinical studies, CLS-AX delivered through suprachoroidal injection was well tolerated and showed durability over several months. This could lead to a longer lasting, highly effective treatment that may reduce the number of treatments and visits required for wet AMD patients to achieve optimal results. These studies have also demonstrated up to eleven times higher drug levels in affected tissues versus intravitreal administration of the same dose of axitinib. Therefore, suprachoroidal delivery of CLS-AX has the potential to compartmentalize therapy away from unaffected tissues for potential safety benefits and target the affected chorioretinal tissue layers for potential efficacy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2020, we announced that the FDA had accepted our Investigational New Drug application, or IND, for CLS-AX. In January 2021, we announced the enrollment of our first participant in OASIS, a Phase 1/2a clinical trial of CLS-AX in participants with wet AMD. OASIS was an open-label, dose-escalation clinical trial to assess the safety and tolerability of single doses of CLS-AX administered through suprachoroidal injection following two or more prior treatments with aflibercept, an intravitreal anti-VEGF agent, dosed at screening. All participants were highly treatment-experienced wet AMD participants with active disease at screening. The primary endpoint for the trial assessed the safety and tolerability of CLS-AX for the three months following the administration of CLS-AX, and secondary endpoints evaluated the pharmacokinetics, visual function, ocular anatomy and the need for additional treatment with intravitreal aflibercept during the three- and six-month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Participant inclusion criteria for enrollment in OASIS included: active subfoveal choroidal neovascularization secondary to AMD; two or more anti-VEGF treatments with a meaningful response in the four months preceding the screening visit; and a best corrected visual acuity, or BCVA, score of ≥ 20 letters (20/400) and ≤ 75 letters (20/32) with &lt; 5 letters change between screening and baseline to ensure patient stability after anti-VEGF treatment. Participants were assessed at weeks four, eight and twelve. Participants were assessed for additional therapy if they experienced any of the following: (1) loss of 10 or more letters in BCVA compared to the best prior study-assessed BCVA in the study eye that is attributed to intra- or sub-retinal fluid observed by the investigator; (2) increase in central subfield retinal thickness greater than 75 microns from baseline at visit 2 in the study eye; or (3) presence of vision-threatening hemorrhage due to AMD in the study eye. The trial consisted of four cohorts at the following doses of CLS-AX delivered via suprachoroidal injection: Cohort 1 at 0.03 mg; Cohort 2 at 0.1 mg; Cohort 3 at 0.5 mg; Cohort 4 at 1.0 mg. In January 2021, we announced that the first participants had been enrolled in OASIS. In December 2021, we announced that the primary endpoints were met in Cohorts 1 and 2. CLS-AX was well tolerated with no serious adverse events; there were no treatment emergent adverse events related to aflibercept, CLS-AX or the suprachoroidal injection procedure, no dispersion of drug into the vitreous, and no adverse events related to IOP, inflammation or vasculitis. In July 2022, we completed patient enrollment of OASIS and also completed dosing in Cohort 3 in which each patient received a dose of 0.5 mg, and in Cohort 4 in which each patient received a dose of 1.0 mg.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 OASIS cohorts we enrolled a total of 27 participants. All participants were highly treatment-experienced wet AMD participants with active disease at screening. These four cohorts allowed us to collect more CLS-AX patient data to help guide our selection of the most appropriate dosing protocol for ODYSSEY, our Phase 2b clinical trial of CLS-AX for the treatment of wet AMD.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Participants in Cohorts 2, 3, and 4 who elected to participate in an extension study were followed for an additional 3 months. In November 2022, we reported positive results that included final three-month data from Cohorts 3 and 4, and interim data from the extension study. CLS-AX demonstrated a positive safety profile in all four cohorts. There were no serious adverse events and no treatment emergent adverse events related to aflibercept, CLS-AX, or the suprachoroidal injection procedure. There were also no dose limiting toxicities. There were no adverse events related to inflammation, vasculitis or vascular occlusion, and there were no vitreous “floaters” or dispersion of CLS-AX into the vitreous.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Cohorts 3 and 4, the data showed favorable durability with a meaningful reduction in treatment burden at the 3-month endpoint and to date in the extension study. Of the 16 participants in Cohorts 3 and 4, at the 3-month endpoint, 69% did not receive additional therapy, 92% did not receive additional therapy per protocol criteria, and there was at least a 73% reduction in treatment burden from the average monthly injections in the three months before CLS-AX administration. Of the 12 participants in the extension study, based on interim data as of October 27, 2022, 88% (7/8) of participants did not receive additional therapy to the 5-month endpoint and 75% (3/4) of participants did not receive additional therapy to the 6-month endpoint. Further, in the extension study, there was at least a 90% reduction in treatment burden from the average monthly injections in the six months before CLS-AX administration. In Cohorts 3 and 4, CLS-AX also showed an observable biologic effect with stable mean BCVA, stable mean central subfield thickness, or CST, and anatomical signs of TKI biologic effect observed on Optical Coherence Tomography, or OCT, images.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 2023, we announced positive results from the completed OASIS extension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CLS-AX was well-tolerated and demonstrated a favorable safety profile across all cohorts in both the three-month dose-escalation portion (n=27) and the extension study (n=14). No serious adverse events, treatment emergent adverse events related to study or dose limiting toxicities were observed. In addition, there were no adverse events related to inflammation, vasculitis or vascular occlusion, no vitreous “floaters” or dispersion of CLS-AX into the vitreous and no retinal detachments, endophthalmitis or adverse events related to IOP.</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full extension data for Cohorts 3 and 4 (n=12) showed promising durability, with a 77% - 85% reduction in treatment burden observed compared to the average monthly injections in the six months before CLS-AX administration. The table below details the length of time the participants went without additional therapy:</w:t>
      </w:r>
    </w:p>
    <w:tbl>
      <w:tblPr>
        <w:tblW w:w="5807" w:type="dxa"/>
        <w:jc w:val="left"/>
        <w:tblInd w:w="0" w:type="dxa"/>
        <w:tblLayout w:type="fixed"/>
        <w:tblCellMar>
          <w:top w:w="28" w:type="dxa"/>
          <w:left w:w="28" w:type="dxa"/>
          <w:bottom w:w="28" w:type="dxa"/>
          <w:right w:w="28" w:type="dxa"/>
        </w:tblCellMar>
      </w:tblPr>
      <w:tblGrid>
        <w:gridCol w:w="3211"/>
        <w:gridCol w:w="2596"/>
      </w:tblGrid>
      <w:tr>
        <w:trPr/>
        <w:tc>
          <w:tcPr>
            <w:tcW w:w="321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Duration Without Additional Therapy</w:t>
            </w:r>
          </w:p>
        </w:tc>
        <w:tc>
          <w:tcPr>
            <w:tcW w:w="25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Participants (n=12)</w:t>
            </w:r>
          </w:p>
        </w:tc>
      </w:tr>
      <w:tr>
        <w:trPr/>
        <w:tc>
          <w:tcPr>
            <w:tcW w:w="32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3 Months</w:t>
            </w:r>
          </w:p>
        </w:tc>
        <w:tc>
          <w:tcPr>
            <w:tcW w:w="25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11/12 (92%)</w:t>
            </w:r>
          </w:p>
        </w:tc>
      </w:tr>
      <w:tr>
        <w:trPr/>
        <w:tc>
          <w:tcPr>
            <w:tcW w:w="32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4 Months</w:t>
            </w:r>
          </w:p>
        </w:tc>
        <w:tc>
          <w:tcPr>
            <w:tcW w:w="25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 (83%)</w:t>
            </w:r>
          </w:p>
        </w:tc>
      </w:tr>
      <w:tr>
        <w:trPr/>
        <w:tc>
          <w:tcPr>
            <w:tcW w:w="32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6 Months</w:t>
            </w:r>
          </w:p>
        </w:tc>
        <w:tc>
          <w:tcPr>
            <w:tcW w:w="25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 (67%)</w:t>
            </w:r>
          </w:p>
        </w:tc>
      </w:tr>
      <w:tr>
        <w:trPr/>
        <w:tc>
          <w:tcPr>
            <w:tcW w:w="32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6 Months</w:t>
            </w:r>
          </w:p>
        </w:tc>
        <w:tc>
          <w:tcPr>
            <w:tcW w:w="25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 (50%)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Cohorts 3 and 4 of the extension study, CLS-AX showed signs of biologic effect with stable mean BCVA and stable mean CST to the six-month timepoint. On OCT images, anatomical signs of TKI biologic effect were observed in anti-VEGF treatment experienced sub-responders. </w:t>
      </w:r>
    </w:p>
    <w:p>
      <w:pPr>
        <w:pStyle w:val="TextBody"/>
        <w:bidi w:val="0"/>
        <w:spacing w:before="240" w:after="283"/>
        <w:jc w:val="left"/>
        <w:rPr>
          <w:rFonts w:ascii="Times New Roman" w:hAnsi="Times New Roman"/>
          <w:sz w:val="20"/>
        </w:rPr>
      </w:pPr>
      <w:r>
        <w:rPr>
          <w:rFonts w:ascii="Times New Roman" w:hAnsi="Times New Roman"/>
          <w:i/>
          <w:color w:val="000000"/>
          <w:sz w:val="20"/>
        </w:rPr>
        <w:t>ODYSSEY Phase 2b Clinical Trial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from the OASIS trial, we are conducting a randomized, controlled, double-masked, Phase 2b clinical trial of CLS-AX for the treatment of wet AMD, which we refer to as ODYSSEY. ODYSSEY will compare CLS-AX suprachoroidal injection and aflibercept intravitreal injection over 36 weeks and is expected to have 60 total participants with a 2:1 randomization. The primary outcome measure is a mean change in best corrected visual acuity from baseline to week 36. The secondary outcome measures are changes in visual function and ocular anatomy, need for supplemental treatment and treatment burden as measured by total injections over the trial duration. We began enrolling participants in May 2023 and randomized our first participants in July 2023. In October 2023 we completed the recruitment of participants. The final participant was randomized to the CLS-AX treatment of the aflibercept comparator arm in December 2023. We expect to report topline data in the third quarter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experienced team of scientists and researchers evaluating small molecules that may be utilized as potential treatment options for back of the eye diseases. This work often entails developing a suspension formulation for delivery into the suprachoroidal space via our SCS Microinjector. Suprachoroidal delivery of a new suspension could provide targeting, compartmentalization and durability advantages over topical or intravitreal delivery, similar to what we have observed with XIPERE and CLS-AX. Once a formulation is confirmed, we proceed with conducting non-human studies until enough data is collected to warrant submitting an IND for such a product candidate.</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XIPERE (triamcinolone acetonide injectable suspension) for suprachoroidal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first product, XIPERE, formerly known as CLS-TA,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IOP, which can lead to glaucoma.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XIPERE was approved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evaluating options for potential submissions to regulatory agencies in additional territories not currently licensed for the treatment of patients with macular edema associated with uveitis.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External Collaborations Pipeline</w:t>
      </w:r>
    </w:p>
    <w:p>
      <w:pPr>
        <w:pStyle w:val="TextBody"/>
        <w:bidi w:val="0"/>
        <w:spacing w:before="240" w:after="283"/>
        <w:jc w:val="left"/>
        <w:rPr>
          <w:rFonts w:ascii="Times New Roman" w:hAnsi="Times New Roman"/>
          <w:sz w:val="20"/>
        </w:rPr>
      </w:pPr>
      <w:r>
        <w:rPr>
          <w:rFonts w:ascii="Times New Roman" w:hAnsi="Times New Roman"/>
          <w:color w:val="000000"/>
          <w:sz w:val="20"/>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 Lomb, Arctic Vision, REGENXBIO, Inc., Aura Biosciences, Inc. and BioCryst Pharmaceuticals, Inc. As discussed below in “</w:t>
      </w:r>
      <w:r>
        <w:rPr>
          <w:rFonts w:ascii="Times New Roman" w:hAnsi="Times New Roman"/>
          <w:color w:val="202124"/>
          <w:sz w:val="20"/>
        </w:rPr>
        <w:t>—</w:t>
      </w:r>
      <w:r>
        <w:rPr>
          <w:rFonts w:ascii="Times New Roman" w:hAnsi="Times New Roman"/>
          <w:color w:val="000000"/>
          <w:sz w:val="20"/>
        </w:rPr>
        <w:t xml:space="preserve">Royalty Purchase and Sale Agreement”, we are obligated to pay HealthCare Royalty Management, LLC, or HCR, any such royalties or milestone payments until we have satisfied our obligations under the Purchase and Sale Agreement.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License agreement for commercialization of XIPERE in United States and Canada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22, 2019, we entered into a License Agreement with Bausch + Lomb or, as amended, the Bausch License Agreement. Pursuant to the Bausch License Agreement, we granted an exclusive license to Bausch to develop, manufacture, distribute, promote, market and commercialize XIPERE using our SCS Microinjector, as well as specified other steroids, corticosteroids and NSAIDs in combination with the SCS Microinjector, or together with XIPERE, the Products, subject to specified exceptions, in the United States and Canada, or the Territory, for the treatment of ophthalmology indications, including non-infectious uveitis.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Bausch License Agreement, Bausch paid us an upfront payment of $5.0 million in October 2019. In October 2021, the FDA approved XIPERE, and we received $5.0 million from Bausch as a result of the approval. In January 2022, we received an additional payment of $10.0 million related to the completion of pre-launch activities for XIPERE. In addition, Bausch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we will also be entitled to receive tiered royalties at increasing percentages from the high-teens to twenty percent, based on XIPERE achieving certain annual net sales thresholds in the Territory, as well as a lower royalty on annual net sales of other products, in each case subject to reductions in specified circumstances. However, we will not receive any royalties on the first $45.0 million of cumulative net sales of all products in the Territory. Bausch launched XIPERE in the United States in the first quarter of 2022. Our rights to these royalties and milestone payments have been sold pursuant to the terms and conditions of the Purchase and Sale Agreement described below in "</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Bausch License Agreement will expire upon expiration of the royalty terms for all Products and countries in the Territory, with each royalty term for a given Product and country ending on the latest of (i) the date of expiration of the last-to-expire valid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Bausch may also terminate the Bausch License Agreement for convenience upon 180 days’ written notice. In addition, we can terminate the Bausch License Agreement if Bausch commences a legal action challenging the validity, enforceability or scope of any of the licensed patents. Both parties may terminate the Bausch License Agreement (i) upon a material breach of the Bausch License Agreement, subject to a specified cure period and specified exceptions, or (ii) if the other party encounters bankruptcy or insolvency.</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License agreement for commercialization of XIPERE in China, Hong Kong, Macau, Taiwan and South Korea, India, ASEAN Countries, Australia and New Zealand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with our consent, Arctic Vision will have the right, but not the obligation, to develop and commercialize XIPERE for additional indications in the Arctic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Arctic Vision announced dosing of the first patient in a Phase 1 clinical trial of ARVN011 in China for the treatment of diabetic macular edema. In July 2023, Arctic Vision announced the formal acceptance in Australia of its new drug application for suprachoroidal use of ARVN001 for the treatment of uveitic macular edema. In October 2023, Arctic Vision completed enrollment in its Phase 3 randomized, double-blind, placebo-controlled clinical trial in China for suprachoroidal use of ARVN001 for the treatment of uveitic macular edema. Arctic Vision has branded ARVN001 as Arcatus.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Arctic Vision License Agreement, Arctic Vision paid us an upfront payment of $4.0 million in March 2020. In December 2021, we received a milestone payment of $4.0 million following receipt of FDA approval of XIPERE in the United States. In addition, Arctic Vision agreed to pay us up to a total of $22.5 million in development and sales milestone payments. Further, during the applicable royalty term, we are also entitled to receive tiered royalties of 10% to 12%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Our rights to these royalties and milestone payments have been sold pursuant to the terms and conditions of the Purchase and Sale Agreement described below in "</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Arctic Vision License Agreement will expire upon the expiration of the last-to-expire royalty term. Arctic Vision may terminate the Arctic Vision License Agreement for convenience upon 45 days’ notice if before regulatory approval in the Arctic Territory or 90 days’ notice if after regulatory approval in the Arctic Territory. In addition, we can terminate the Arctic Vision License Agreement if Arctic Vision commences a legal action challenging the validity, enforceability or scope of the licensed patents. Both parties may terminate the Arctic Vision License Agreement (i) upon a material breach of the Arctic Vision License Agreement, subject to a specified cure period, or (ii) if the other party enters bankruptcy. Upon termination, all licenses and other rights granted to Arctic Vision pursuant to the Arctic Vision License Agreement would revert to us. If Arctic Vision exercises its termination right for convenience or if the Arctic Vision License Agreement terminates as a result of Arctic Vision’s material breach or bankruptcy, Arctic Vision will assign and transfer all regulatory approvals, related documents and trademarks (with respect to trademarks, only those specific to) pertaining to XIPERE in the Arctic Territory to us. If Arctic Vision terminates the Arctic Vision License Agreement as a result of material breach by us or our bankruptcy after regulatory approval of XIPERE in the Arctic Territory, we are obligated to pay Arctic Vision royalties equal to a low-single digit percentage of net sales of XIPERE in the Arctic Territory.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120"/>
        <w:jc w:val="left"/>
        <w:rPr>
          <w:rFonts w:ascii="Times New Roman" w:hAnsi="Times New Roman"/>
          <w:sz w:val="20"/>
        </w:rPr>
      </w:pPr>
      <w:r>
        <w:rPr>
          <w:rFonts w:ascii="Times New Roman" w:hAnsi="Times New Roman"/>
          <w:b/>
          <w:i/>
          <w:color w:val="000000"/>
          <w:sz w:val="20"/>
        </w:rPr>
        <w:t>Gene Therapy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 and is similar in terms of patient preparation and duration to the procedure for intravitreal injection. Therefore, we believe our products could be incorporated into retina specialists’ standard medical practice.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past several years, gene therapy has demonstrated in preclinical studies and clinical trials conducted by third parties that genetic material can be effectively and tolerably introduced to the retinal tissues, most often using an adeno-associated virus, or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diseased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Inherited retinal diseases, or IRDs, such as Stargardt disease and Usher syndrome, represent some of the most challenging diseases that ophthalmologists encounter. They cause progressive and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suprachoroidal administration may further enhance the value proposition of ocular gene therapy by potentially improving safety and expanding access. In preclinical studies we have observed that SCS injection can administer both viral and non-viral gene therapy. Using marker genes like green fluorescent protein and luciferase in both rabbits and non-human primates, gene therapy was delivered with our SCS injection to achieve expression in the retina and choroid. To expand our overall development pipeline, we are looking to selectively partner our proprietary technology for use with novel gene therapies.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REGENXBIO,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expanded the reach of our SCS Microinjector technology in AAV-based gene therapy through a development and commercial partner.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2019, we entered into an option and license agreement, or the REGENXBIO Option and License Agreement, with REGENXBIO Inc., or REGENXBIO, pursuant to which we granted REGENXBIO an exclusive option, or the Option, to enter into a commercial license agreement granting REGENXBIO an exclusive, worldwide and sublicensable license to our SCS Microinjector for the in-office delivery of AAV-based gene therapies for the treatment of wet AMD, diabetic retinopathy and other conditions for which anti-VEGF treatment is currently the standard of care. </w:t>
      </w:r>
    </w:p>
    <w:p>
      <w:pPr>
        <w:pStyle w:val="TextBody"/>
        <w:bidi w:val="0"/>
        <w:spacing w:before="240" w:after="283"/>
        <w:jc w:val="left"/>
        <w:rPr>
          <w:rFonts w:ascii="Times New Roman" w:hAnsi="Times New Roman"/>
          <w:sz w:val="20"/>
        </w:rPr>
      </w:pPr>
      <w:r>
        <w:rPr>
          <w:rFonts w:ascii="Times New Roman" w:hAnsi="Times New Roman"/>
          <w:color w:val="000000"/>
          <w:sz w:val="20"/>
        </w:rPr>
        <w:t>In October 2019, REGENXBIO exercised the Option and paid us an option fee equal to $2.0 million less $0.5 million received under a prior technology access agreement. Under the license agreement, REGENXBIO paid us $3.0 million in connection with a development milestone and agreed to additional payments to us of up to an aggregate of $31.0 million upon the achievement of specified development milestones and up to $102.0 million in sales-based milestone payments, as well as mid-single digit royalties on net sales of products using the SCS Microinjector during the royalty term. Our rights to these royalties and milestone payments have been sold pursuant to the terms and conditions of the Purchase and Sale Agreement described below in "</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REGENXBIO will be responsible for all development, regulatory and commercialization activities for their gene therapy product candidates. We will be responsible for supplying the SCS Microinjector in support of REGENXBIO’s preclinical studies, clinical studies and commercial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REGENXBIO is currently conducting two multi-center, open-label, randomized, controlled, dose-escalation Phase 2 clinical trials evaluating the efficacy, safety and tolerability of suprachoroidal delivery of ABBV-RGX-314 using our SCS Microinjector technology: (1) a Phase 2 trial entitled AAVIATE for the treatment of wet AMD; and (2) a second Phase 2 trial entitled ALTITUDE for the treatment of diabetic retinopathy, or DR. In November 2023, REGENXBIO presented data from the ALTITUDE trial showing that, at one year, dose level 2 in non-proliferative DR patients prevented disease progression as measured by the Early Treatment Diabetic Retinopathy Study-Diabetic Retinopathy Severity Scale. In January 2024, REGENXBIO presented data from the AAVIATE trial demonstrating that, at six months, patients treated with ABBV-RGX-314 continue to demonstrate stable vision and retinal anatomy while a meaningful reduction in anti-VEGF treatment burden was observed. REGENXBIO expects to provide program updates for the ALTITUDE trial in the second quarter of this year and for the AAVIATE trial in mid-2024.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Ocular Oncology</w:t>
      </w:r>
    </w:p>
    <w:p>
      <w:pPr>
        <w:pStyle w:val="TextBody"/>
        <w:bidi w:val="0"/>
        <w:jc w:val="left"/>
        <w:rPr>
          <w:rFonts w:ascii="Times New Roman" w:hAnsi="Times New Roman"/>
          <w:color w:val="000000"/>
          <w:sz w:val="20"/>
        </w:rPr>
      </w:pPr>
      <w:r>
        <w:rPr>
          <w:rFonts w:ascii="Times New Roman" w:hAnsi="Times New Roman"/>
          <w:color w:val="000000"/>
          <w:sz w:val="20"/>
        </w:rPr>
        <w:t xml:space="preserve">Ocular cancers are a group of rare, life-threatening conditions that affect one or both eyes. The main indications include choroidal melanoma, choroidal metastases, cancers of the ocular surface and retinoblastoma, among others. Diagnosing and treating these cancers early is important because they have the potential to spread both within the eye and to other organs. The risk for ocular cancer increases with age and increases significantly after the age of 50. For cancers that occur inside the eye (e.g., choroidal melanoma), the typical treatment is radiotherapy in the form of plaque brachytherapy and proton beam therapy, but these treatments are highly invasive and result in major vision loss and other comorbidities for many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Choroidal melanoma is the most common intraocular cancer in adults, with an incidence of approximately 11,000 patients per year in the United States and Europe. This comprises approximately 90% of all cases of uveal melanoma, consisting of melanomas in the choroid, ciliary body and iris, which are collectively referred to as the uvea. It is estimated that 96% of patients are diagnosed early without clinical evidence of metastatic disease. There are approximately 2,000 new cases treated each year in the United States and 1,600 new cases treated each year in Europe. However, despite the current treatments with radiotherapy, the long-term prognosis is poor with death occurring in more than 50% of cases. There are no FDA-approved therapies for choroidal melanoma. There is a need for treatment of early-stage disease which includes small melanomas and indeterminate lesions representing approximately 9,000 patients in the United States and Europe.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Aura Biosciences, Inc.</w:t>
      </w:r>
    </w:p>
    <w:p>
      <w:pPr>
        <w:pStyle w:val="TextBody"/>
        <w:bidi w:val="0"/>
        <w:spacing w:before="120" w:after="283"/>
        <w:jc w:val="left"/>
        <w:rPr>
          <w:rFonts w:ascii="Times New Roman" w:hAnsi="Times New Roman"/>
          <w:sz w:val="20"/>
        </w:rPr>
      </w:pPr>
      <w:r>
        <w:rPr>
          <w:rFonts w:ascii="Times New Roman" w:hAnsi="Times New Roman"/>
          <w:color w:val="000000"/>
          <w:sz w:val="20"/>
        </w:rPr>
        <w:t>On July 9, 2019, we entered into a worldwide licensing agreement with Aura Biosciences, Inc., or Aura, for the use of our SCS Microinjector to deliver Aura’s proprietary drug candidates into the SCS for the potential treatment of certain ocular cancers, including choroidal melanoma. Our SCS Microinjector may offer a non-surgical alternative to intravitreal delivery of Aura’s oncology drug candidates, and we believe suprachoroidal administration may further enhance the value proposition of choroidal melanoma by potentially improving safety and expanding access. Pursuant to the licensing agreement, we have received an aggregate of $1.6 million in connection with upfront license fees and development milestones. We are eligible to receive up to an additional $19.5 million in payments related to pre-specified development and regulatory milestones, as well as low to mid-single digit royalties on net sales that utilize the SCS Microinjector. Our rights to these royalties and milestone payments have been sold pursuant to the terms and conditions of the Purchase and Sale Agreement described below in "</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Aura is utilizing our SCS Microinjector to deliver their viral like drug conjugate, bel-sar, for the treatment of choroidal melanoma. In November 2023, Aura reported positive clinical safety and efficacy updates from its ongoing Phase 2 clinical trial with suprachoroidal administration. The results, with 90% of patients at twelve months of follow-up who received three cycles of therapy in Cohorts 5 and 6 and who match the criteria for the planned global Phase 3 trial, showed a tumor control rate of 80% and the visual acuity preservation rate was 90%. In December 2023, Aura announced the first patient dosed in CoMpass, their global Phase 3 clinical trial.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BioCryst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 2023, we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below in "</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BioCryst will be responsible for all development, regulatory and commercialization activities for avoralstat. We are responsible for supplying SCS Microinjectors to meet BioCryst’s reasonable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BioCryst License Agreement, unless earlier terminated, will expire (a) on a country-by-country basis upon the expiration of the royalty term in such country or (b) in its entirety upon the expiration of all payment obligations of BioCryst under the BioCryst License Agreement in all countries pursuant to clause (a). Each party has the right terminate the BioCryst License Agreement (i) upon a material breach of the BioCryst License Agreement by the other party, subject to a specified cure period and specified exceptions, or (ii) if the other party encounters bankruptcy or insolvency. We may terminate the BioCryst License Agreement if BioCryst or any of its sublicensees, or a Sublicensee commences a legal action challenging the validity, enforceability or scope of any of the licensed patents, provided that with respect to any such action initiated by a Sublicensee, or Sublicensee Action, we may terminate the BioCryst License Agreement if the Sublicensee Action is not terminated within a specified period of time following BioCryst’s receipt of written notice from us or if BioCryst does not terminate the applicable sublicense, in each case within a specified period of time. BioCryst may terminate the BioCryst License Agreement (i) immediately upon written notice to us if, after exercising commercially reasonable efforts, BioCryst determines in good faith that it is not advisable to continue development or commercialization of avoralstat as a result of a material safety issue and (ii) in its entirety or in part on a country-by-country basis, for any or no reason, upon prior written notice to us, provided that in the event of such a termination, BioCryst shall not, for a period of two years from the date of such a termination, initiate in the territory subject to the termination a Phase 3 clinical trial in which avoralstat is administered to the suprachoroidal space using a device other than the SCS Microinjector.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us and Aura Biosciences, Inc., or the Aura License Agreement, the REGENXBIO Option and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 Agreement, REGENXBIO Option and License Agreement, our license agreement with Emory University and The Georgia Tech Research Corporation and related intellectual property rights to Royalty Sub.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which, was released to HCR pursuant to the Letter Agreement described below. The terms of the Purchase and Sale Agreement also provide for an additional $20 million milestone payment to Royalty Sub upon attainment of a second pre-specified sales milestone related to 2024 XIPERE sales, or the Second Milestone Event.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or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or the Alternative Cap. In the event of a change in control, acquiror will have the option to make a payment to HCR of the Initial Cap or the Alternative Cap, depending on which is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initial payment) equal to the Alternative Cap. After the Purchase and Sale Agreement expires, all rights to receive the Royalties return to Royalty Sub.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2023, we, through Royalty Sub, entered into a letter agreement, or the Letter Agreement, with HCR and HCR Clearside SPV, LLC (as assignee of HCR Collateral Management, LLC), or Agent, amending the Purchase and Sale Agreement.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any manufacturing facilities. We utilize contract manufacturing organizations, or CMOs, to formulate and produce our drug candidates and to produce our SCS Microinjector. We procure active pharmaceutical ingredients for our drugs from third-party suppliers. We expect to continue to utilize third-party manufacturers to produce quantities of our drug candidates and the SCS Microinjector.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regulations promulgated by the FDA, confidentiality and other customary matters for an agreement of this nature. We may enter into commercial supply agreements with our other suppliers.</w:t>
      </w:r>
    </w:p>
    <w:p>
      <w:pPr>
        <w:pStyle w:val="TextBody"/>
        <w:bidi w:val="0"/>
        <w:spacing w:before="360" w:after="120"/>
        <w:jc w:val="left"/>
        <w:rPr>
          <w:rFonts w:ascii="Times New Roman" w:hAnsi="Times New Roman"/>
          <w:sz w:val="20"/>
        </w:rPr>
      </w:pPr>
      <w:r>
        <w:rPr>
          <w:rFonts w:ascii="Times New Roman" w:hAnsi="Times New Roman"/>
          <w:b/>
          <w:color w:val="000000"/>
          <w:sz w:val="20"/>
        </w:rPr>
        <w:t>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exclusive license agreements for the commercialization and development of XIPERE with Bausch + Lomb in the United States and Canada and with Arctic Vision in China, Hong Kong, Macau, Taiwan, South Korea, India, the ASEAN Countries, Australia and New Zealand. We may enter into distribution or licensing arrangements for commercialization rights for other regions. We have also entered into an exclusive license agreement for the use of our SCS Microinjector with BioCryst. If any of our future product candidates, including CLS-AX, are approved by the applicable regulatory authorities, we may either commercialize those product candidates ourselves or through license or collaboration agreements with third parties.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companies, specialty pharmaceutical and biotechnology companies, government agencies and public, and private research and academic institutions. Any product candidate that we successfully develop and commercialize will compete with existing therapies and new therapies that may become available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XIPERE faces competition from other commercially available forms of TA and other topical, injectable and implantable corticosteroids, although none are approved for the indication of macular edema associated with uveitis. Bristol-Myers Squibb markets TA, under the brand name Kenalog, for which a number of generic equivalents are currently available. Kenalog is indicated only for intramuscular or intraarticular injection; however, it is used off-label for intraocular inflammation using intravitreal and periocular administration. In addition, Alcon’s injectable TA, Triesence, is approved in the United States for the treatment of uveitis and other ocular inflammatory conditions unresponsive to topical corticosteroids, but it is not indicated for the treatment of macular edema associated with uveitis. Ozurdex, marketed by Allergan, is a bio-erodible, extended-release implant that delivers the corticosteroid and dexamethasone, and is approved for the treatment of non-infectious uveitis affecting the posterior segment of the eye and for macular edema due to retinal vein occlusion, or RVO, in both the United States and in the European Union. Ozurdex is also approved in the United States for the treatment of diabetic macular edema, or DME. Retisert and Yutiq, both intravitreal implants of fluocinolone acetonide, are marketed by Bausch and Alimera, respectively, and are approved in the United States for the treatment of chronic non-infectious uveitis affecting the posterior segment of the eye. In addition, Oxular is developing OXU-001 which is dexamethasone delivered via the Oxulumis suprachoroidal device for the treatment of DME. It is possible physicians may use OXU-001 off label to treat macular edema associated with uveitis once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Genentech’s products, Regeneron’s anti-VEGF product, Eylea 2 mg and 8 mg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future competition may emerge from biosimilar anti-VEGF products as they are approved and enter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Ocular drug candidates being investigated for treatment of wet AMD may also represent potential competition for CLS-AX. Ocular Therapeutics and Eyepoint are companies currently investigating TKIs for ocular use in late-stage clinical trials. We expect other established companies will seek to develop new products in the ocular space with the goal of superior efficacy and duration over the current standard of care.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REGENXBIO, Adverum, and 4D Molecular Therapeutics are currently conducting mid to late-stage clinical trials with various ocular gene therapies for the treatment of wet AMD. These gene-based treatments could potentially compete with CLS-AX due to their potential to be long-acting treatments.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SCS Microinjector faces competition from other devices being developed to access ocular posterior tissues via the SCS. Oxular Limited and Everads both have developed competing products and are in various stages of early-stage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large and established companies, as well as smaller or early-stage companies could represent challenges in the competitive space. Larger established companies may have greater resources such as greater financial resources, deeper expertise and personnel in nonclinical development, clinical development, manufacturing and regulatory sectors. Smaller or early-stage companies could pose a challenge competitively through collaborative arrangements with large and established companies. Lastly, both small and large companies will compete in areas such as recruiting and retaining qualified scientific and management personnel and establishing clinical trial sites and patient recruitment for competing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key competitive factors affecting the potential success of our product candidates are likely to be the efficacy, safety, method of administration, convenience, price and the availability of coverage and reimbursement from government and other third-party payors. Additionally, our commercial opportunity could be reduced or eliminated if our competitors develop and commercialize drugs that are safer, more effective, more convenient or are less expensive than any drugs we develop. The timing of competitors’ regulatory approval and patent protection could also impact commercial opportunities. Competitors receiving approval prior to us could result in stronger market positioning and/or obtaining FDA market exclusivity. Competitors’ patent protection could potentially delay FDA approval of our product candidates for up to 30 months, as well as subject us to potential patent litigation that might arise beyond the 30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Patents and patent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estate, on a worldwide basis, includes 28 granted U.S. patents broadly directed to devices and methods of administering drugs into the SCS by injection, including one design patent. In addition, our patent estate includes 21 patent applications pending in the United States, 88 issued foreign patents, 2 pending international PCT applications and 39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8 issued U.S. patents, 4 pending U.S. applications, and 23 of the issued foreign patents in major international markets, each relating to devices or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if issued, between 2027 and 2042, without taking into account possible patent term adjustments or extensions.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protected against genericization through numerous patents. In the case of XIPERE injected into the SCS, an applicant who files a paragraph 4 Abbreviated New Drug Application, or ANDA, or 505(b)(2) NDA certifying they may circumvent our patents must also demonstrate comparability of the proposed drug, which we believe may require a clinical trial in macular edema associated with uveitis, against our product, unless a biowaiver is obtained.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patent filings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Emory and Georgia Tech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license agreement, or the Georgia Tech License Agreement, with Emory University, or Emory, and the Georgia Tech Research Corporation, or GTRC and together with Emory, the Licensor,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upfront and milestone payments of $65,000 in the aggregate made to date, we made a $75,000 payment related to a milestone that was achieved in December 2021 for the commercialization of a drug developed using the licensed patents. On July 1, 2018 and 2019, we paid Emory and GTRC $75,000 and $50,000, respectively, to extend the date by which we may achieve the commercialization milestone. Additionally, we are currently paying a low single-digit royalty on any worldwide net product sales related to the licensed patents, with minimum annual royalties starting at $15,000 per year after commercialization. The minimum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annual royalty increases each year after the first commercial sale, up to a maximum amount of $100,000 per year in the sixth calendar year and in subsequent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31, 2024, or the Amendment Execution Date, we and the Licensor entered into an amendment, or the Amendment, to the Georgia Tech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Amendment, the parties agreed to reduce the Sublicense Percentage (as defined in the Georgia Tech License Agreement) from a low double digit percentage to a high single digit percentage that we will pay the Licensor applicable to any fees or payments paid to us by any Sublicensee (as defined in the Georgia Tech License Agreement) of the Licensed Patents and/or Licensed Technology (each as defined in the Georgia Tech License Agreement), on or after July 1, 2023,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after July 1, 2023 but prior to January 1, 2025, the payment to Licensor of any such Sublicensee Percentage is due to Licensor by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parties agreed to a revised annual license maintenance fee due each year, or the Maintenance Fee, starting in 2023 through 2028, as follows: $250,000 for 2023 through 2025, $350,000 for 2026, $400,000 for 2027 and $500,000 for 2028. We paid the Maintenance Fee for 2023 in February 2024. The remaining annual Maintenance Fee payments are due on October 1st of each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terms of the Georgia Tech License Agreement, including the low single digit royalty rate paid to the Licensor by us on sales of Licensed Products, were unchanged by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solely responsible for the development and commercialization of products related to the licensed patients. We are obligated to provide Emory and GTRC a written report detailing our activities related to the development and commercialization of products twice a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the Georgia Tech License Agreement will expire upon the expiration of the last to expire of the licensed patents. We have the right to terminate the Georgia Tech License Agreement at any time upon 60 days’ written notice to Emory and GTRC. Emory and GTRC may also terminate the Georgia Tech License Agreement in the event of a material breach by us. The Georgia Tech License Agreement will immediately terminate if we challenge the validity or enforceability of any of the licensed patents in a court or other governmental agency of competent jurisdiction. </w:t>
      </w:r>
    </w:p>
    <w:p>
      <w:pPr>
        <w:pStyle w:val="TextBody"/>
        <w:bidi w:val="0"/>
        <w:spacing w:before="360" w:after="283"/>
        <w:jc w:val="left"/>
        <w:rPr>
          <w:rFonts w:ascii="Times New Roman" w:hAnsi="Times New Roman"/>
          <w:sz w:val="20"/>
        </w:rPr>
      </w:pPr>
      <w:r>
        <w:rPr>
          <w:rFonts w:ascii="Times New Roman" w:hAnsi="Times New Roman"/>
          <w:b/>
          <w:i/>
          <w:color w:val="000000"/>
          <w:sz w:val="20"/>
        </w:rPr>
        <w:t>Trademarks, trade secrets and know-how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trademark portfolio currently consists of two registered trademarks in Australia and Korea, two registered trademarks in Russia, two registered trademarks in Singapore, six registered trademarks in Brazil, five registered and one pending application in Canada, five registered trademarks, one pending and one unfiled trademarks in China, six registered trademarks in the European Union, two registered trademarks in each of India and New Zealand, one registered trademarks in Japan, three registered, one pending and two unfiled applications in Israel, eight registered trademarks and one pending in Mexico, four registered and three pending applications in South Africa, six registered trademarks and four pending applications in the United States and six registered trademarks in the United Kingdom. We also have three international registrations: the first with registered protection in the European Union, India, Japan, New Zealand, Korea and Singapore; the second with registered protection in Australia, China, European Union, India, Israel, Japan, Korea, Mexico, New Zealand, Russia, and Singapore; and the third with extensions of protection pending in Australia, Brazil, Canada, Japan and Mexico.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FDA regulates drug and device products under the Food, Drug and Cosmetic Act, or FDCA, and its implementing regulations. This includes combination products where a drug and a device are used 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case of our product candidates, the primary mode of action is attributable to the drug component of the product, which means that the FDA’s Center for Drug Evaluation and Research, has primary jurisdiction over the premarket development, review and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laboratory tests and animal tests conducted under good laboratory practice;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submission to the FDA of an IND application for human clinical testing, which must become effective before human clinical trials commence;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and well-controlled human clinical trials to establish the safety and efficacy of the product and conducted in accordance with Good Clinical Practices, or GCP;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submission to the FDA of an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acceptance, review and approval of the NDA, which might include an Advisory Committee review;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facilities at which the product is made to assess compliance with current Good Manufacturing Practices, or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independent institutional review board, or IRB, may nevertheless initiate a clinical hold after the 30 days if, for example, significant health risks arise.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each clinical trial must be reviewed and approved by an IRB at each of the sites at which the trial will be conducted. The IRB will consider, among other things, ethical factors, the safety of human subjects and the possible liability of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typically conducted in three sequential phases prior to approval, but the phases may overlap. These phases generally include the following: </w:t>
      </w:r>
    </w:p>
    <w:p>
      <w:pPr>
        <w:pStyle w:val="TextBody"/>
        <w:bidi w:val="0"/>
        <w:spacing w:before="240" w:after="283"/>
        <w:jc w:val="left"/>
        <w:rPr>
          <w:rFonts w:ascii="Times New Roman" w:hAnsi="Times New Roman"/>
          <w:sz w:val="20"/>
        </w:rPr>
      </w:pPr>
      <w:r>
        <w:rPr>
          <w:rFonts w:ascii="Times New Roman" w:hAnsi="Times New Roman"/>
          <w:i/>
          <w:color w:val="000000"/>
          <w:sz w:val="20"/>
        </w:rPr>
        <w:t>Phase 1.</w:t>
      </w:r>
      <w:r>
        <w:rPr>
          <w:rFonts w:ascii="Times New Roman" w:hAnsi="Times New Roman"/>
          <w:color w:val="000000"/>
          <w:sz w:val="20"/>
        </w:rPr>
        <w:t xml:space="preserve"> Phase 1 clinical trials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 </w:t>
      </w:r>
    </w:p>
    <w:p>
      <w:pPr>
        <w:pStyle w:val="TextBody"/>
        <w:bidi w:val="0"/>
        <w:spacing w:before="240" w:after="283"/>
        <w:jc w:val="left"/>
        <w:rPr>
          <w:rFonts w:ascii="Times New Roman" w:hAnsi="Times New Roman"/>
          <w:sz w:val="20"/>
        </w:rPr>
      </w:pPr>
      <w:r>
        <w:rPr>
          <w:rFonts w:ascii="Times New Roman" w:hAnsi="Times New Roman"/>
          <w:i/>
          <w:color w:val="000000"/>
          <w:sz w:val="20"/>
        </w:rPr>
        <w:t>Phase 2.</w:t>
      </w:r>
      <w:r>
        <w:rPr>
          <w:rFonts w:ascii="Times New Roman" w:hAnsi="Times New Roman"/>
          <w:color w:val="000000"/>
          <w:sz w:val="20"/>
        </w:rPr>
        <w:t xml:space="preserve"> Phase 2 clinical trials usually involve studies in a limited patient population to (1) evaluate the efficacy of the product candidate for specific indications, (2) determine dosage tolerance and optimal dosage and (3) identify possible adverse effects and safety risks. </w:t>
      </w:r>
    </w:p>
    <w:p>
      <w:pPr>
        <w:pStyle w:val="TextBody"/>
        <w:bidi w:val="0"/>
        <w:spacing w:before="240" w:after="283"/>
        <w:jc w:val="left"/>
        <w:rPr>
          <w:rFonts w:ascii="Times New Roman" w:hAnsi="Times New Roman"/>
          <w:sz w:val="20"/>
        </w:rPr>
      </w:pPr>
      <w:r>
        <w:rPr>
          <w:rFonts w:ascii="Times New Roman" w:hAnsi="Times New Roman"/>
          <w:i/>
          <w:color w:val="000000"/>
          <w:sz w:val="20"/>
        </w:rPr>
        <w:t>Phase 3.</w:t>
      </w:r>
      <w:r>
        <w:rPr>
          <w:rFonts w:ascii="Times New Roman" w:hAnsi="Times New Roman"/>
          <w:color w:val="000000"/>
          <w:sz w:val="20"/>
        </w:rPr>
        <w:t xml:space="preserve"> If a product candidate is found to be potentially effective and to have an acceptable safety profile in Phase 2 clinical trials, the clinical trial program will be expanded to Phase 3 clinical trials to further demonstrate clinical efficacy, optimal dosage and safety within an expanded patient population at geographically dispersed clinical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FDA has substantial discretion in the approval process and may refuse to accept any application or decide that the data is insufficient for approval and require additional preclinical, clinical or other studies. </w:t>
      </w:r>
    </w:p>
    <w:p>
      <w:pPr>
        <w:pStyle w:val="TextBody"/>
        <w:bidi w:val="0"/>
        <w:spacing w:before="360" w:after="283"/>
        <w:jc w:val="left"/>
        <w:rPr>
          <w:rFonts w:ascii="Times New Roman" w:hAnsi="Times New Roman"/>
          <w:sz w:val="20"/>
        </w:rPr>
      </w:pPr>
      <w:r>
        <w:rPr>
          <w:rFonts w:ascii="Times New Roman" w:hAnsi="Times New Roman"/>
          <w:b/>
          <w:i/>
          <w:color w:val="000000"/>
          <w:sz w:val="20"/>
        </w:rPr>
        <w:t>Review of application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The FDA will issue either an approval of the NDA or a complete response letter, or CRL, detailing the deficiencies and information required for reconsideration of the application.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studies or clinical trials to assess new safety risks; or imposition of distribution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may be promoted only for the approved indications and in accordance with the provisions of the approved label.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Hatch-Waxman amendments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our regulatory strategies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 </w:t>
      </w:r>
    </w:p>
    <w:p>
      <w:pPr>
        <w:pStyle w:val="TextBody"/>
        <w:bidi w:val="0"/>
        <w:spacing w:before="360" w:after="283"/>
        <w:jc w:val="left"/>
        <w:rPr>
          <w:rFonts w:ascii="Times New Roman" w:hAnsi="Times New Roman"/>
          <w:sz w:val="20"/>
        </w:rPr>
      </w:pPr>
      <w:r>
        <w:rPr>
          <w:rFonts w:ascii="Times New Roman" w:hAnsi="Times New Roman"/>
          <w:i/>
          <w:color w:val="000000"/>
          <w:sz w:val="20"/>
        </w:rPr>
        <w:t>Orange Book listing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is favorable to the applicant. Even if the 45 days expire, a patent infringement lawsuit can be brought and could delay market entry, but it would not extend the FDA-related 30-month stay of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ANDA or 505(b)(2) application also will not be approved until any applicable non-patent exclusivity listed in the Orange Book for the branded reference drug has expired as described in further detail below. </w:t>
      </w:r>
    </w:p>
    <w:p>
      <w:pPr>
        <w:pStyle w:val="TextBody"/>
        <w:bidi w:val="0"/>
        <w:spacing w:before="360" w:after="283"/>
        <w:jc w:val="left"/>
        <w:rPr>
          <w:rFonts w:ascii="Times New Roman" w:hAnsi="Times New Roman"/>
          <w:sz w:val="20"/>
        </w:rPr>
      </w:pPr>
      <w:r>
        <w:rPr>
          <w:rFonts w:ascii="Times New Roman" w:hAnsi="Times New Roman"/>
          <w:i/>
          <w:color w:val="000000"/>
          <w:sz w:val="20"/>
        </w:rPr>
        <w:t>Non-patent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exclusivity, the holder of the NDA for the listed drug may be entitled to a period of non-patent exclusivity, during which the FDA cannot approve an ANDA or 505(b)(2) application that relies on the listed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 </w:t>
      </w:r>
    </w:p>
    <w:p>
      <w:pPr>
        <w:pStyle w:val="TextBody"/>
        <w:bidi w:val="0"/>
        <w:spacing w:before="360" w:after="283"/>
        <w:jc w:val="left"/>
        <w:rPr>
          <w:rFonts w:ascii="Times New Roman" w:hAnsi="Times New Roman"/>
          <w:sz w:val="20"/>
        </w:rPr>
      </w:pPr>
      <w:r>
        <w:rPr>
          <w:rFonts w:ascii="Times New Roman" w:hAnsi="Times New Roman"/>
          <w:b/>
          <w:i/>
          <w:color w:val="000000"/>
          <w:sz w:val="20"/>
        </w:rPr>
        <w:t>Orphan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orphan drug designation for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w:t>
      </w:r>
    </w:p>
    <w:p>
      <w:pPr>
        <w:pStyle w:val="TextBody"/>
        <w:bidi w:val="0"/>
        <w:spacing w:before="360" w:after="283"/>
        <w:jc w:val="left"/>
        <w:rPr>
          <w:rFonts w:ascii="Times New Roman" w:hAnsi="Times New Roman"/>
          <w:sz w:val="20"/>
        </w:rPr>
      </w:pPr>
      <w:r>
        <w:rPr>
          <w:rFonts w:ascii="Times New Roman" w:hAnsi="Times New Roman"/>
          <w:b/>
          <w:i/>
          <w:color w:val="000000"/>
          <w:sz w:val="20"/>
        </w:rPr>
        <w:t>Federal and state fraud and abuse, data privacy and security and transparency laws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many states have similar fraud and abuse statutes or regulations that may be broader in scope and may apply regardless of payor, in addition to items and services reimbursed under Medicaid and other state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HIPAA, the U.S. Department of Health and Human Services, or HHS, has issued regulations to protect the privacy and security of protected health information used or disclosed by covered entities including certain health care providers, health plans,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and their subcontractors that use, disclose, access, or otherwise process protected health information.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and various related provincial laws, as well as Canada’s Anti-Spam Legislation, may, in the future, apply to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California has enacted legislation that has been dubbed the first “GDPR-like” law in the United States. Known as the California Consumer Privacy Act, or CCPA, it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or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With the GDPR, CCPA, CPRA, and other state and Federal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physicians (defined to include doctors, dentists, optometrists, podiatrists, and chiropractors), other healthcare professionals (such as physicians assistants and nurse practitioners), and teaching hospitals, as well as ownership and investment interests held by physicians and their family members.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 </w:t>
      </w:r>
    </w:p>
    <w:p>
      <w:pPr>
        <w:pStyle w:val="TextBody"/>
        <w:bidi w:val="0"/>
        <w:spacing w:before="36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physicians who use XIPERE and our other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In November 2023, AMA assigned XIPERE the Category 1 CPT code 67516. We believe the Category 1 code may facilitate better access and adoption of XIPERE and the suprachoroidal injection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strategy will include efforts to engage third-party payors to establish coverage, coding and reimbursement that will facilitate access to XIPERE and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XIPERE and our product candidates are administered and for the drugs themselves. Failure by physicians, hospitals, ambulatory surgery centers and other users of our products to obtain sufficient coverage and adequate reimbursement from third-party payors for the procedures to administer XIPERE and our product candidates or for XIPERE and the product candidates themselves, or adverse changes in third-party payors’ policies would have a material adverse effect on our business, financial condition, results of operations and future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XIPERE and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established a quality payment program, also referred to as the Quality Payment Program. The quality payment program has two tracks, one known as the merit-based incentive payment system for providers in the fee-for service Medicare program, and the advanced alternative payment model for providers in specific care models, such as accountable care organizations. Under both Advanced Alternative Payment Models, or APMs, and Merit-based Incentive Payment System, or MIPS, performance data collected each performance year will affect Medicare payments in later years, including potentially reducing payments. In addition, beginning on January 1, 2023,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will be required to pay quarterly refunds to CMS for discarded amounts of single-dose container and single-use package drugs covered under Medicare Part B. Refunds will be based on the discarded volume above 10% of the total allowed amount, except in unique circumstances as determined by CMS. Any changes in coverage and reimbursement that further restricts coverage of our products or lowers reimbursement for procedures using our products could materially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implementation of the Affordable Care Act has the potential to substantially change healthcare financing and delivery by both governmental and private insurers, and significantly impact the pharmaceutical and medical device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There have been judicial and Congressional challenges to certain aspects of the Affordable Care Act. While Congress has not passed comprehensive repeal legislation, several bills affecting the implementation of certain taxes under the Affordable Care Act have been signed into law. Further, on June 17, 2021, the U.S. Supreme Court dismissed a challenge on procedural grounds that argued the Affordable Care Act is unconstitutional in its entirety because the “individual mandate” was repealed by Congress. Prior to the U.S. Supreme Court ruling, on January 28, 2021, President Biden issued an executive order that initiated a special enrollment period from February 15, 2021 through May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any additional healthcare reform measures of the Biden administration will impact the Affordable Care Act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amendments, will remain in effect until 2032.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 although the Medicare drug price negotiation program is currently subject to legal challenges. It is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360" w:after="283"/>
        <w:jc w:val="left"/>
        <w:rPr>
          <w:rFonts w:ascii="Times New Roman" w:hAnsi="Times New Roman"/>
          <w:sz w:val="20"/>
        </w:rPr>
      </w:pPr>
      <w:r>
        <w:rPr>
          <w:rFonts w:ascii="Times New Roman" w:hAnsi="Times New Roman"/>
          <w:b/>
          <w:i/>
          <w:color w:val="000000"/>
          <w:sz w:val="20"/>
        </w:rPr>
        <w:t>The Foreign Corrupt Practices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recruit people who share our vision to develop technology that provides a ground-breaking impact to medicine and superior care to patients. We are proud of what we do and believe we create an excellent working environment that is inclusive and diverse with meaningful compensation, benefits and wellness programs that continue to facilitate the attraction, retention and motivation of talented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had 30 employees, all of whom were full-time and were located in the United States. None of our employees are represented by a labor union or covered by a collective bargaining agreement. We consider our relationship with our employees to be good.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under the laws of the State of Delaware in May 2011. Our principal executive offices are located at 900 North Point Parkway, Suite 200, Alpharetta, Georgia 30005. Our telephone number is (678) 270-3631.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hAnsi="Times New Roman"/>
          <w:sz w:val="20"/>
        </w:rPr>
        <w:t>www.sec.gov</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480" w:after="283"/>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Capital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losses since our inception. We expect to incur losses over the next several years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incurred a net loss of $32.5 million and $32.9 million, respectively, in 2023 and 2022. We expect to incur significant expenses and operating losses over the next several years. Our financial results may fluctuate significantly from quarter to quarter and year to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devoted substantially all of our financial resources and efforts to research and development, including preclinical studies and clinical trials. We anticipate that our expenses will increase substantially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and complete our ongoing and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discover, research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additional partnerships for the development and commercialization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manufacturing and scientific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enable us to fund our operating expenses and capital expenditure requirements into the third quarter of 2025. However, we will need to obtain substantial additional funding in connection with our continuing operations beyond the third quarter of 2025, including additional funding to complete clinical development of CLS-AX.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results of our ongoing, planned and future clinical trial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preclinical development, laboratory testing and clinical trials for our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other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and intend to commercialize ourselves;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pursuant to our license and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 if any, received from commercial sales of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testing and clinical trials is a time-consuming, expensive and uncertain process that takes years to complete, and we may never generate the necessary data or results required to obtain regulatory approval of our product candidates and achieve product sales. In addition, XIPERE and our other product candidates, if approved, may not achieve commercial success.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a combination of equity offerings, debt financings and potential collaboration, license and development agreements. For example, in February 2024, we completed a registered direct offering of 11,111,111 shares of common stock and accompanying warrants to purchase 11,111,111 shares of common stock for gross proceeds of approximately $15.0 million, before deducting placement agent fees and estimated offering expenses. We do not currently have any committed external source of funds,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be required to grant licenses on terms that may not be favorable to or relinquish valuable rights to our technologies, research programs, product candidates or future revenue streams. For example, we, through our wholly-owned subsidiary, sold our rights to receive certain royalty and milestone payments under the Arctic Vision License Agreement, Bausch License Agreement, the Aura License Agreement, the REGENXBIO Option and License Agreement and any out-license agreements for, or related to, XIPERE or our SCS Microinjector technology to be used in connection with compounds or products of any third parties in exchange for up to $65 million.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 </w:t>
      </w:r>
    </w:p>
    <w:p>
      <w:pPr>
        <w:pStyle w:val="TextBody"/>
        <w:bidi w:val="0"/>
        <w:jc w:val="both"/>
        <w:rPr>
          <w:rFonts w:ascii="Times New Roman" w:hAnsi="Times New Roman"/>
          <w:b/>
          <w:i/>
          <w:color w:val="000000"/>
          <w:sz w:val="20"/>
        </w:rPr>
      </w:pPr>
      <w:r>
        <w:rPr>
          <w:rFonts w:ascii="Times New Roman" w:hAnsi="Times New Roman"/>
          <w:b/>
          <w:i/>
          <w:color w:val="000000"/>
          <w:sz w:val="20"/>
        </w:rPr>
        <w:t>Our agreements with HCR contain various covenants and other provisions, which, if violated, could materially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through Royalty Sub, entered into the Purchase and Sale Agreement, with HCR pursuant to which we sold our rights to royalty and milestone payments due to us from XIPERE and certain license agreements related to our SCS Microinjector, or the Royalties, subject to a cap of 2.5 times the total purchase price paid by HCR under the Purchase and Sale Agreement, which cap can be increased to 3.4 times under certain circumstances. Under the terms of the Purchase and Sale Agreement, Royalty Sub received an initial payment of $32.5 million, less certain expenses. The terms of the Purchase and Sale Agreement also provide for an additional $20 million milestone payment to Royalty Sub upon attainment of a second pre-specified sales milestone related to 2024 XIPERE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Purchase and Sale Agreement, we entered into a Contribution and Servicing Agreement with Royalty Sub, pursuant to which we assigned the Arctic Vision License Agreement, Bausch License Agreement, Aura License Agreement, REGENXBIO Option and License Agreement, our license agreement with Emory University and The Georgia Tech Research Corporation and related intellectual property rights, or collectively the Contributed Assets, to Royalty Sub. The Contribution and Servicing Agreement contains various representations and warranties, covenants, indemnification obligations and other provisions related to the contribution of the Contributed Assets and our maintenance and servicing obligations with respect to the same.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Purchase and Sale Agreement, we also entered into a Pledge and Security Agreement with HCR. The Pledge and Security Agreement contains various representations, warranties and covenants, and includes a limited recourse guaranty of Royalty Sub’s obligations under the Purchase and Sale Agreement which is secured by the pledge in favor of HCR all of the capital stock of Royalty Sub. HCR is entitled to foreclose on the capital stock of Royalty Sub following the occurrence of certain remedies events, including, without limitation, a bankruptcy of us, our failure of to perform our obligations under the Contribution and Servicing Agreement or in the event of a change of control of us, any failure to make the payment required under Section 2.3 of the Purchase and Sale Agreement within the time period required thereunder. Such foreclosure, if it were to occur, could have a material adverse effect on our financial condition as HCR, by virtue of owning Royalty Sub, would own the Royalties and the Contributed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adversely affected by economic downturns, inflation, increases in interest rates, natural disasters, public health crises, political crises, geopolitical events, such as the conflicts in Ukraine and the Middle East, or other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In 2023, the Federal Reserve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hostilities in Russia, Ukraine and the Middle East have created extreme volatility in the global capital markets and is expected to have further global economic consequences, including disruptions of the global supply chain and energy markets. Any such volatility and disruptions may adversely affect our or our partners’ business.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clinical trials costs and labor and employee benefit costs.</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36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efforts are focused on the development of product candidates for treatment of eye disease through suprachoroidal injection and partnering with companies who can leverage our SCS Microinjector to deliver their ophthalmic product candidates to the SCS. Suprachoroidal injection is a novel approach and may fail to achieve and sustain market acceptance.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Injecting drugs into the SCS is a novel approach for ophthalmic therapies, and there is no guarantee this approach will provide adequate patient benefit or be accepted by physicians, patients or third-party payors. We have also licensed our SCS Microinjector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to third parties to deliver their proprietary drug candidates into the SCS for the potential treatment of certain ocular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FDA approved XIPERE for suprachoroidal use for the treatment of macular edema associated with uveitis, we cannot guarantee that suprachoroidal injection of other drugs will prove in ongoing and future clinical trials to be a safe or effective approach for treating eye diseases in humans, nor can we ensure that such other drugs will achieve regulatory approval, even if the clinical trials are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novelty of suprachoroidal injection may make it difficult to demonstrate to physicians and third-party payors that suprachoroidal injection of drugs is an appropriate approach for treating eye diseases and provides advantages compared to the current standards of care. Further, if we or our commercialization and collaboration partners are not successful in conveying to physicians, patients and third-party payors that the suprachoroidal administration of drugs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drugs. Additionally, in some cases, drugs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licensing partners may require that we modify our SCS Microinjector to deliver their product candidates, and we may be unable to do so.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partnering with companies who can leverage our SCS Microinjector to deliver their ophthalmic product candidates to the SCS.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after we have satisfied our obligations under the Purchase and Sale Agreement, which could significantly harm our financial position.</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regulatory approval for, and commercialize either on our own or with a third party, CLS-AX or our other product candidates, or if we experience significant delays in doing so,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preclinical studies and requisite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performing preclinical studies and clinical trials in compliance with FDA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import sufficient quantity of product for trials or potential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marketing approvals with labeling for sufficiently broad patient populations and indications, without unduly restrictive distribution limitations or safety warnings, such as black box warnings or a risk evaluation and mitigation strategy, or REMS,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trademark and trade secret protection and regulatory exclusivity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or establishing, commercial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products,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training of physicians in the proper use of our SCS Microinjector;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market our products for use with our SCS Microinjector without a requirement from the FDA that we obtain a separate medical device authorization;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therapies and of the concept of suprachoroidal injection of drugs, if and when approved, by physicians, patients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effectively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drugs and our SCS Microinjector following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commercialize our product candidates, which would materially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Data from our clinical trials that we announce or publish from time to time may change as more patient data become available, and such data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publish data from our clinical trials.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involves a lengthy and expensive process with an uncertain outcome. We may incur additional costs or experience delays in completing, or ultimately be unable to complete, the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failure for our product candidates is high. It is impossible to predict when or if CLS-AX or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our ability to receive marketing approval for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clinical trial contracts or clinical trial protocols with prospective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including failure to demonstrate statistical significance, and we may decide, or regulators may require us, to conduct additional clinical trials or abandon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investigators, regulators or institutional review boards to suspend or terminate the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our ODYSSEY trial was delayed due to the issuance by FDA of draft guidance, requiring us to reassess our original protocol design and we subsequently decided to amend the protocol to have aflibercept as the comparator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such as black box warnings or a REMS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additional post-marketing testing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drugs approved to treat the diseases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efforts to facilitate timely enrollment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 </w:t>
      </w:r>
    </w:p>
    <w:p>
      <w:pPr>
        <w:pStyle w:val="TextBody"/>
        <w:bidi w:val="0"/>
        <w:spacing w:before="360" w:after="283"/>
        <w:jc w:val="left"/>
        <w:rPr>
          <w:rFonts w:ascii="Times New Roman" w:hAnsi="Times New Roman"/>
          <w:sz w:val="20"/>
        </w:rPr>
      </w:pPr>
      <w:r>
        <w:rPr>
          <w:rFonts w:ascii="Times New Roman" w:hAnsi="Times New Roman"/>
          <w:b/>
          <w:i/>
          <w:color w:val="000000"/>
          <w:sz w:val="20"/>
        </w:rPr>
        <w:t>If serious adverse or unacceptable side effects are identified during the development of our product candidates, we may need to abandon or limit our development of some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early-stage testing have later been found to cause side effects that prevented further development of the product candidate. In addition, in some cases, the FDA could issue a clinical hold to stop the study.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granted an exclusive license to Bausch for the commercialization and development of XIPERE in the United States and Canada. After we have satisfied our obligations under the Purchase and Sale Agreement, if we are unable to maintain our partnership with Bausch, or if Bausch fails to successfully commercialize XIPERE, our business and prospects will be materially harmed.</w:t>
      </w:r>
    </w:p>
    <w:p>
      <w:pPr>
        <w:pStyle w:val="TextBody"/>
        <w:bidi w:val="0"/>
        <w:spacing w:before="120" w:after="283"/>
        <w:jc w:val="left"/>
        <w:rPr>
          <w:rFonts w:ascii="Times New Roman" w:hAnsi="Times New Roman"/>
          <w:sz w:val="20"/>
        </w:rPr>
      </w:pPr>
      <w:r>
        <w:rPr>
          <w:rFonts w:ascii="Times New Roman" w:hAnsi="Times New Roman"/>
          <w:color w:val="000000"/>
          <w:sz w:val="20"/>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We will not retain these royalties and milestone payments until our obligations under the Purchase and Sale Agreement described above in “Business</w:t>
      </w:r>
      <w:r>
        <w:rPr>
          <w:rFonts w:ascii="Times New Roman" w:hAnsi="Times New Roman"/>
          <w:color w:val="202124"/>
          <w:sz w:val="20"/>
        </w:rPr>
        <w:t>—</w:t>
      </w:r>
      <w:r>
        <w:rPr>
          <w:rFonts w:ascii="Times New Roman" w:hAnsi="Times New Roman"/>
          <w:color w:val="000000"/>
          <w:sz w:val="20"/>
        </w:rPr>
        <w:t>Royalty Purchase and Sale Agreement” are satisfied. The successful or timely achievement of many of these milestones is outside of our control because the relevant activities will be conducted by Bausch or third parties engaged by Bausch, including manufacturers and suppliers. We expect to depend to a large degree on the payments from Bausch after we have satisfied our obligations under the Purchase and Sale Agreement as well as payments from future potential commercialization partners in order to fund our operations, and a failure to receive such payments may cause us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reduce or terminate certain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the raising of additional funds through equity or convertible debt financings that could be dilutive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funds by entering into agreements that require us to assign rights to technologies or products that we would have otherwise retained;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 into new arrangements that may be less favorable than those we would have obtained under different circumstances;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 strategic transactions or engaging in a joint venture with a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and intend to continue to enter into, agreements with third-party collaborators for the development and commercialization of XIPERE and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XIPERE and our product candidates would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refuse to perform clinical trials or other obligations required for approval in a particular jurisdiction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regulatory submissions may be denied by the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of our product candidates that achieve regulatory approval may not commit sufficient resources to the marketing and distribution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for the convenience of the collaborator and, if terminated, we could be required to raise additional capital to pursue further development or commercialization of the applicable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clinical trials for our product candidates, and those third parties may not perform satisfactorily, including failing to meet deadlines for the completion of such trials or failing to comply with applicable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our current or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have our own manufacturing capabilities and rely on third parties to produce clinical and commercial supplies of our current product candidates and our SCS Microinjector. This reliance on third parties increases the risk that we will not have sufficient quantities of our drug products and our SCS Microinjector,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or personnel. We currently procure the active pharmaceutical ingredient of our product candidates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for any of our product candidates that receive marketing approval. This reliance on third parties increases the risk that we will not have sufficient quantities of our drug products including our SCS Microinjector or such quantities at an acceptable cost or quality, which could delay, prevent or impair our ability to timely conduct our clinical trials or our other development or commercialization efforts. In addition, we may be unable to establish any agreements with third-party manufacturers or collaborators or to do so on acceptable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Reliance on third-party manufacturers or collaborators entails additional risks,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including our proprietary drug formulations packaged together with our SCS Microinjector, are subject to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may compromise our future profit margins and/or our commercialization partner's ability to commercialize any product candidates that receive marketing approval on a timely and competitive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establish additional collaborations, we may have to alter some of our future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establish sales and distribution capabilities for our product candidates for which we do not out-license commercialization rights,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our drugs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an adequate number of physicians as to the benefits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drugs to be offered by sales personnel, which may put us at a competitive disadvantage compared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XIPERE and any of our product candidates that receive marketing approval,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XIPERE and any of our product candidates that receive marketing approval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XIPERE or our product candidates do not achieve an adequate level of market acceptance, we may not generate significant product revenue and we may not become profitable. The degree of market acceptance of XIPERE and our product candidates,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offer our drugs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healthcare community and patients to adopt new technologies and our novel approach of SCS injection of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uveitis and retina specialists to expend the time necessary to receive proper training on injecting drugs into the SCS using our SCS Microinjector;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manufacture our products in sufficient quantities and yields;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provided by us or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third-party payor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our drugs together with other medications.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also are aware of companies that are developing suprachoroidal injectors which may compete with our SCS Microinjector.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XIPERE, we face competition from other commercially available forms of TA and other injectable and implantable corticosteroids. Bristol-Myers Squibb markets TA under the brand name Kenalog, for which a number of generic equivalents are currently available. Kenalog is indicated only for intramuscular or intraarticular injection; however, it is commonly used off-label for intraocular inflammation using intravitreal and periocular administration. In addition, Alcon’s injectable TA, Triesence, is approved in the United States for the treatment of uveitis and other ocular inflammatory conditions unresponsive to topical corticosteroids, although it is not indicated for the treatment of macular edema associated with uveitis.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Ozurdex is also approved in the United States for the treatment of DME. Retisert and Yutiq, both intravitreal implants of fluocinolone acetonide, are marketed by Bausch and Alimera, respectively, and are approved in the United Sates for the treatment of chronic non-infectious uveitis affecting the posterior segment of the eye.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 In addition to Genentech’s products, Regeneron’s anti-VEGF product, Eylea 2 mg and 8 mg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Novartis’ Beovu was approved in 2019 for the treatment of wet AMD in the United States and in 2020 in Europe.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Ocular drug candidates being investigated for treatment of wet AMD may also represent potential competition for CLS-AX. Ocular Therapeutics and Eyepoint are companies currently investigating TKIs for ocular use in late-stage clinical trials. We expect other established companies will seek to develop new products in the ocular space with the goal of superior efficacy and duration over the current standard of care.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REGENXBIO, Adverum, and 4D Molecular Therapeutics are currently conducting mid to late-stage clinical trials with various ocular gene therapies for the treatment of wet AMD. These gene-based treatments could potentially compete with CLS-AX due to their potential to be long acting treatments.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SCS Microinjector faces competition from other devices being developed to access ocular posterior tissues via the SCS. Oxular Limited and Everads both have developed competing products and are in various stages of early-stage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XIPERE and our product candidates may be subject to unfavorable pricing regulations, third-party coverage and reimbursement policies or healthcare reform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ability to commercialize XIPERE and any of our product candidates successfully will depend, in part, on the extent to which coverage and adequate reimbursement for XIPERE and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XIPERE and any other product candidates for which marketing approval is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XIPERE and our other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from time to time, typically on an annual basis, payment amounts are updated and revised by third-party payors. Because we expect that customers who use XIPERE and our other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Under both APMs and MIPS, performance data collected each performance year will affect Medicare payments in later years, including potentially reducing payments.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physicians who use XIPERE and our other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In November 2023, AMA assigned XIPERE the Category 1 CPT code 67516. We believe the Category 1 code may facilitate better access and adoption of XIPERE and the suprachoroidal injection method. Additionally, there is no guarantee that these billing codes or the payment amounts, if any, associated with such codes will be sufficient to successfully commercialize any approved product and, even if adequate payment amounts are obtained, they could change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Additionally, coverage policies and reimbursement rates may change at any time. For example, beginning on January 1, 2023, certain manufacturers will be required to pay quarterly refunds to CMS for discarded amounts of single-dose container and single-use package drugs covered under Medicare Part B. Refunds will be based on the discarded volume above 10% of the total allowed amount, except in unique circumstances, as determined by CMS.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 Further, any changes in coverage and reimbursement that further restricts coverage of our products or lowers reimbursement for procedures using our products could materially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XIPERE and one or more product candidates, even if our other product candidates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XIPERE and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XIPERE and our other product candidates profitably if they are approved for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sale of XIPERE as well as the testing of our product candidates in human clinical trials.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paid to trial participants or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inability to commercialize any drugs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 or 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will likely be introduced by the end of 2023, which would significantly impact European patents,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significantly harm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our obligations under our existing intellectual property licenses with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need to license additional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intellectual property that we have in-licensed may have been discovered through a government funded program and may be subject to certain federal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Approval of Our Product Candidates and Other Legal Compliance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not able to obtain, or if there are delays in obtaining, required regulatory approvals, we and our collaborators will not be able to commercialize our product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expect to rely on third-party CROs to assist us in preparing some or all aspects of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certain of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pStyle w:val="TextBody"/>
        <w:bidi w:val="0"/>
        <w:spacing w:before="360" w:after="283"/>
        <w:jc w:val="left"/>
        <w:rPr>
          <w:rFonts w:ascii="Times New Roman" w:hAnsi="Times New Roman"/>
          <w:sz w:val="20"/>
        </w:rPr>
      </w:pPr>
      <w:r>
        <w:rPr>
          <w:rFonts w:ascii="Times New Roman" w:hAnsi="Times New Roman"/>
          <w:b/>
          <w:i/>
          <w:color w:val="000000"/>
          <w:sz w:val="20"/>
        </w:rPr>
        <w:t>Additional time may be required to obtain regulatory approval for our product candidates because of the complexity involved with co-packaging a drug-device combination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require coordination within the FDA and similar foreign regulatory agencies for review of the drug along with the SCS Microinjector.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commercialization of our product candidates. Additionally, other jurisdictions may have additional requirements for any drug and device combination, which may cause delays in product approval.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obtain marketing approval in international jurisdictions would prevent our product candidates from being marketed abroad.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marketing our product candidates internationally could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regulatory approval for our product candidates outside of the United States and, accordingly, we expect that we will be subject to additional risks related to operating in foreign countries if we obtain the necessary approvals,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regulatory requirements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so-called parallel importing, which is what happens when a local seller, faced with high or higher local prices, opts to import goods from a foreign market with low or lower prices rather than buying them locally;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price and exchange controls and other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taxes, including withholding of payroll 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Foreign Corrupt Practices Act of 1977 or comparable foreign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risks associated with our international operations may compromise our ability to achieve or maintain profitability.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drugs, including device malfunctions, manufacturers or manufacturing processes, or failure to comply with regulatory requirements, may have negative consequences,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drugs,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drug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or withdrawal of the drugs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holds;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alerts;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though we have received orphan drug designation in the European Union for the treatment of non-infectious uveitis, we may not be able to obtain orphan drug marketing exclusivity for this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CROs, consultants, commercial partners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agreement to resolve allegations of non-compliance with these laws, and curtailment or restructuring of our operations, any of which could adversely affect our ability to operate.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(including privacy and cybersecurity laws and regulations) that may affect our ability to operate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Insurance Portability and Accountability Act, or 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2019,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Section 6002 of the Patient Protection and Affordable Care Act, as amended by the Health Care and Education Reconciliation Act of 2010, or collectively, the Affordable Care Act, imposed annual reporting requirements for certain manufacturers of drugs, devices, biologics and medical supplies for certain payments and “transfers of value” provided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pPr>
      <w:r>
        <w:rPr>
          <w:rFonts w:ascii="Times New Roman" w:hAnsi="Times New Roman"/>
          <w:color w:val="000000"/>
          <w:sz w:val="20"/>
        </w:rPr>
        <w:t>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data privacy regulations, such as the CCPA, which creates new individual privacy rights for consumers and places increased privacy and security obligations on entities handling personal data of consumers or households. The CCPA requires covered companies to provide new disclosures to California consumers, provides such consumers new ways to opt-out of certain sales of personal information, and allows for a new cause of action for data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U.S. data privacy regulations, such as the California Privacy Rights Act of 2020, or CPRA, which establishes a new California Privacy Protection Agency to implement and enforce the CPRA. Other states, such as Virginia, Colorado, Utah, and Connecticut have also passed comprehensive privacy laws that have or will go into effect during 2023, and similar laws are being considered in several other states, as well as at the federal and local levels. While these new state laws, like the CCPA, also exempt some data processed in the context of clinical trials, these developments further complicate compliance efforts, and increase legal risk and compliance costs for us, the third parties upon whom we rely.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data privacy regulations, such as the General Data Protection Regulation (2016/679), or GDPR, which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including a private right of action. Also under the EU GDPR, companies may face temporary or definitive bans on data processing and other corrective actions. Other such foreign data privacy obligations include the EU GDPR as it forms part of United Kingdom, or UK, law by virtue of section 3 of the European Union (Withdrawal) Act 2018, or UK GDPR;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obtain marketing approval of and commercialize our product candidates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Affordable Care Act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judicial and congressional challenges to certain aspects of the Affordable Care Act. On June 17, 2021 the U.S. Supreme Court dismissed a challenge on procedural grounds that argued the Affordable Care Act is unconstitutional in its entirety because the “individual mandate” was repealed by Congress. Further, prior to the U.S. Supreme Court ruling, on January 28, 2021, President Biden issued an executive order to initiate a special enrollment period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The Affordable Care Act may be subject to additional judicial or Congressional challenges in the future.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how any additional healthcare reform measures of the Biden administration will impact the Affordable Care Act and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These changes included aggregate reductions to Medicare payments to providers of up to 2% per fiscal year, which went into effect in April 2013 and, due to subsequent legislative amendments, will stay in effect through 2032, unless additional Congressional action is taken.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reductions in Medicare and other healthcare funding, which could negatively impact customers for our product candidates, if approved,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the United States tend to impose strict price controls, which may affect our revenue,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trading price of the shares of our common stock may be volatile, and purchasers of our common stock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has been and may continue to be volatile. The stock market in general and the market for biopharmaceutical companies in particular have experienced extreme volatility that has often been unrelated or disproportionate to the operating performance of particular companies. Broad market and industry factors, including potentially worsening economic conditions, inflation and other adverse effects or developments may negatively affect the market price of our common stock, regardless of our actual operating performance. As a result of this volatility, investors may not be able to sell their common stock at or above the price paid for the shares.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financial estimates by us or by any securities analysts who might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or trends in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market price and volume fluctuations of comparable companies and, in particular, those that operate in the biopharmaceutical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or divestitures;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investigations or regulatory scrutiny of our operations or lawsuits filed against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including sales by our directors and officers or specific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political and 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The issuance of additional stock and other equity-linked securities in connection with financings, acquisitions, investments, our stock incentive plans or otherwise will dilute all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compliance with applicable rules and regulations, we may issue our shares of common stock or securities convertible into our common stock from time to time in connection with a financing, acquisition, investment, our stock incentive plans or otherwise. For example, we, among other things, issued warrants to purchase 11,111,111 shares of common stock to certain investors in a registered direct offering. As of March 5, 2024, we had outstanding warrants to purchase an aggregate of 11,111,111 shares of common stock. The exercise of our outstanding warrants could result in significant dilution to existing stockholders, adversely affect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and impair our ability to raise capital through the sale of additional equity securities. Any such issuance could result in substantial dilution to our existing stockholders and cause the trading price of our common stock to decline.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2023, we received a letter from Nasdaq, notifying us that, for the previous 30 consecutive business day periods prior to the date of the letter, the closing bid price for our common stock was below $1.00. In accordance with Nasdaq Listing Rule 5810(c)(3)(A) we were provided an initial period of 180 calendar days, or until March 25, 2024, to regain compliance with Nasdaq’s bid price requirement. On December 12, 2023, as a result of our common stock trading over $1.00 for 10 consecutive business days, we received a notice from the Nasdaq Listing Qualifications Office indicating that we regained compliance with the minimum bid price requirement under Nasdaq Listing Rule 5450(a)(1).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a significant number of our shares are sold into the market, it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charter documents also contain other provisions that could have an anti-takeover effect,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only one of our three classes of directors are elected each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are not entitled to remove directors other than by a 66</w:t>
      </w:r>
      <w:r>
        <w:rPr>
          <w:color w:val="000000"/>
        </w:rPr>
        <w:t xml:space="preserve"> </w:t>
      </w:r>
      <w:r>
        <w:rPr>
          <w:rFonts w:ascii="Times New Roman" w:hAnsi="Times New Roman"/>
          <w:color w:val="000000"/>
          <w:sz w:val="13"/>
        </w:rPr>
        <w:t>2</w:t>
      </w:r>
      <w:r>
        <w:rPr>
          <w:color w:val="000000"/>
        </w:rPr>
        <w:t>⁄</w:t>
      </w:r>
      <w:r>
        <w:rPr>
          <w:rFonts w:ascii="Times New Roman" w:hAnsi="Times New Roman"/>
          <w:color w:val="000000"/>
          <w:sz w:val="13"/>
        </w:rPr>
        <w:t>3</w:t>
      </w:r>
      <w:r>
        <w:rPr>
          <w:rFonts w:ascii="Times New Roman" w:hAnsi="Times New Roman"/>
          <w:color w:val="000000"/>
          <w:sz w:val="20"/>
        </w:rPr>
        <w:t xml:space="preserve">% vote and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are not permitted to take actions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cannot call a special meeting of stockholders;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must give advance notice to nominate directors or submit proposals for consideration at stockholder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subject to the anti-takeover provisions of Section 203 of the Delaware General Corporation Law, which regulates corporate acquisitions by prohibiting Delaware corporations from engaging in specified business combinations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 “smaller reporting company” and as a result of the reduced disclosure and governance requirements applicable to smaller reporting companies, our common stock may be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 In addition, as a smaller reporting company and non-accelerated filer, we are not required to comply with the auditor attestation requirements of Section 404 of the Sarbanes-Oxley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our cash in ways with which investors do not agree.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broad discretion over the use of our cash and cash equivalents. Investors may not agree with our decisions, and our use of our cash may not yield any return on investment. Our failure to apply our resources effectively could compromise our ability to pursue our growth strategy. Investors will not have the opportunity to influence our decisions on how to use our cash and cash equivalents.</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do not anticipate paying any cash dividends on our common stock in the foreseeable future, capital appreciation, if any, will be the sole source of gains and investors may never receive a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should not rely on an investment in our common stock to provide dividend income. We have not declared or paid cash dividends on our common stock to date. We currently intend to retain our future earnings, if any, to fund the development and growth of our business. In addition, our prior loan agreement prohibited us from paying dividends without the consent of the lenders under the agreement, and we expect that the terms of any future debt agreements would likewise preclude us from paying dividends. As a result, capital appreciation, if any, of our common stock will be investors’ sole source of gain for the foreseeable future. Investors seeking cash dividends should not purchase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collect, receive, store, process, generate, use, transfer, disclose, and share proprietary, confidential, and sensitive data, including personal data (such as health-related data), intellectual property, and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Cyberattacks, malicious internet-based activity, and online and offline fraud are prevalent and continue to increase. These threats are becoming increasingly difficult to detect and threaten the confidentiality, integrity, and availability of our sensitive information and information technology systems, and those of the third parties upon which we rely. These threats come from a variety of sources. In addition to traditional computer “hackers,” threat actors, personnel (such as through theft or misuse), sophisticated nation-states, and nation-state-supported actors now engage in attacks.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addition, supply-chain attacks have increased in frequency and severity, and we cannot guarantee that third parties’ infrastructure in our supply chain or our third-party partners’ supply chains have not been compromised. </w:t>
      </w:r>
      <w:r>
        <w:rPr>
          <w:rFonts w:ascii="Times New Roman" w:hAnsi="Times New Roman"/>
          <w:color w:val="000000"/>
          <w:sz w:val="20"/>
        </w:rPr>
        <w:t>While we have implemented security measures designed to protect against security incidents, there can be no assurance that these measures will be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or any personal data for which we are responsible, we could incur significant unexpected losses, expenses and liabilities, we could face litigation or suffer reputational harm and the further development of our product candidates could be delayed. Our contracts may not contain limitations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2017 comprehensive tax reform bill, as modified by the CARES Act, the Inflation Reduction Act, and possible future changes in tax laws or regulations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2017, President Trump signed into law the Tax Act, which significantly revised the Internal Revenue Code of 1986, as amended, or the Code. In March 2020, the Tax Act was modified in certain respects by the Coronavirus Aid, Relief, and Economic Security (CARES) Act. More recently, the Inflation Reduction Inflation of 2022, or the IRA, was enacted which includes provisions that impact the U.S. federal income taxation of corporations, including imposing a minimum tax on the book income of certain large corporations and an excise tax on certain corporate stock repurchases that would be imposed on the corporation repurchasing such stock. Future guidance from the U.S. Internal Revenue Service and other tax authorities with respect to the Tax Act, as modified by the CARES Act, and the IRA, may affect us, and certain aspects of the Tax Act, CARES Act and IRA could be repealed or modified in future legislation. Changes in corporate tax rates, the realization of net deferred tax assets relating to our U.S. operations, the taxation of foreign earnings, and the deductibility of expenses under the Tax Act, the CARES Act, the IRA,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Act, the CARES Act, the IRA, or any newly enacted federal tax legislation.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effective tax rate may fluctuate, and we may incur obligations in tax jurisdictions in excess of accrued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360" w:after="283"/>
        <w:jc w:val="left"/>
        <w:rPr>
          <w:rFonts w:ascii="Times New Roman" w:hAnsi="Times New Roman"/>
          <w:sz w:val="20"/>
        </w:rPr>
      </w:pPr>
      <w:r>
        <w:rPr>
          <w:rFonts w:ascii="Times New Roman" w:hAnsi="Times New Roman"/>
          <w:b/>
          <w:i/>
          <w:color w:val="000000"/>
          <w:sz w:val="20"/>
        </w:rPr>
        <w:t>We plan to use potential future operating losses and our federal and state NOL carryforwards to offset future taxable income, if any. However, our ability to use existing NOL carryforwards could be limited as a result of issuances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approximately $225.9 million of federal and $89.3 million of state net operating loss, or NOL, carryforwards. If not utilized, the portion of these federal NOL carryforwards arising in tax years beginning before 2018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 to expire at various dates beginning in 2034, and these state NOL carryforwards will begin to expire at various dates beginning in 2027. Under the Tax Act, as modified by the CARES Act, federal NOLs incurred in taxable years beginning in 2018 and in later years may be carried forward indefinitely, but the deductibility of such federal NOLs is limited for taxable years beginning after 2020 to 80% of taxable income. Certain states have conformed to the federal NOL rules included in the Tax Act and CARES Act. However, under Section 382 of the Code of 1986, as interpreted by the U.S. Internal Revenue Service, the amount of benefits from our NOL carryforwards may be impaired or limited if we incur ownership changes. The completion of our IPO, follow-on public offerings, private placements and other transactions that have occurred, and future offerings of our securities have triggered, and may in the future trigger additional, ownership changes. We have determined that three such ownership changes have occurred in the past. We have determined that $38,000 and $2,000 of our deferred tax assets related to federal NOL and R&amp;D credits, respectively, will expire due to Section 382.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we will need to raise substantial additional funding to finance our operations, we may undergo ownership changes in the future. Any such additional limitations may significantly reduce the value of our NOL carryforwards before they expire, which could result in greater tax liabilities than we would incur in the absence of such limitations. At the state level, there may be periods during which the use of net operating loss carryforwards is suspended or otherwise limited, which could accelerate or permanently increase state taxes owed.</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Because we are a smaller reporting company and a non-accelerated filer, we are not required to comply with the auditor attestation requirements of Section 404 of the Sarbanes-Oxley Act. However,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and demands upon management as a result of being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listed in the United States, we incur significant legal, accounting and other costs, which we expect to increase if we cease to be a smaller reporting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Climate change, extreme weather events, earthquakes and other natural disasters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extreme weather events and changing weather patterns such as storms, flooding, droughts, fires and temperature changes have become more common. As a result, we are potentially exposed to varying natural disaster or extreme weather risks such as hurricanes, tornadoes, fires, droughts or floods, or other events that may result from the impact of climate change on the environment, such as sea level rise. The potential impacts of climate change may also include increased operating costs associated with additional regulatory requirements and investments in reducing energy, water use and greenhouse gas emissions.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global economic conditions and geopolitical tensions could have a negative effect on our business, results of operations and financial condition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concerns about the global economic outlook have adversely affected market and business conditions in general. Macroeconomic weakness and uncertainty could make it more difficult for us or the licensing partners on whom we depend to commercialize XIPERE to manage our respective operations. Geopolitical tensions, such as Russia’s recent incursion into Ukraine, ongoing conflicts between the United States and China, tariff and trade policy changes, economic sanctions and increasing potential of conflict involving countries in Asia, including countries that are part of the Arctic Territory under our license agreement with Arctic Vision, create uncertainty for us and for global commerce generally. Sustained or worsening of global economic conditions and increasing geopolitical tensions may increase our cost of doing business, limit our ability to access capital, disrupt our supply chain operations or the supply chain operations of our licensing partners and intensify pricing pressures. Any or all of these factors could negatively affect our business, financial condition and result of operations.</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7" w:name="item_2_properties"/>
      <w:bookmarkEnd w:id="7"/>
      <w:r>
        <w:rPr>
          <w:rFonts w:ascii="Times New Roman" w:hAnsi="Times New Roman"/>
          <w:b/>
          <w:color w:val="000000"/>
          <w:sz w:val="20"/>
        </w:rPr>
        <w:t xml:space="preserve">ITEM 1C. </w:t>
      </w:r>
      <w:bookmarkStart w:id="8" w:name="item_1c_cybersecurity"/>
      <w:bookmarkEnd w:id="8"/>
      <w:r>
        <w:rPr>
          <w:rFonts w:ascii="Times New Roman" w:hAnsi="Times New Roman"/>
          <w:b/>
          <w:color w:val="000000"/>
          <w:sz w:val="20"/>
        </w:rPr>
        <w:t>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trials, sensitive third-party data, business plans, transactions, and financial information, or collectively Information Systems and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cybersecurity function, which comprises, in part, our information technology team, helps identify, assess and manage our cybersecurity threats and risks. Our cybersecurity function identifies and assesses risks from cybersecurity threats by monitoring and evaluating our threat environment using various methods including, for example, manual tools, internal or external audits, automated tools, subscribing to and analyzing reports and services that identify cybersecurity threats and threat actors, conducting threat assessments for internal and external threats, conducting scans of the threat environment, evaluating our (and our industry’s) risk profile, using external intelligence feeds, conducting vulnerability assessments to identify vulnerabilities, and evaluating threats reported to us. Depending on the environment, we implement and maintain various technical, physical, and organizational measures and processes designed to manage and mitigate material risks from cybersecurity threats to our Information Systems and Data, including, for example: incident detection and response, an incident response plan, a vendor risk management program, employee training, data encryption, access controls, physical security, network security controls, systems monitoring, cyber insurance, and asset management, tracking,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the Company’s overall risk management processes. For example, the cybersecurity function works with management to prioritize our risk management processes and mitigate cybersecurity threats that are more likely to lead to a material impact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third-party service providers to assist us from time to time to identify, assess, and manage material risks from cybersecurity threats, including for example professional services firms (including legal counsel), threat intel service providers, and cybersecurity software providers. We also use third-party service providers to perform a variety of functions throughout our business, such as hosting companies, application providers, contract research organizations, supply chain resources, and contract manufacturing organizations. We manage cybersecurity risks associated with our use of these providers by conducting audits and risk assessments on certain vendors, requesting and analyzing responses on a security questionnaire, and reviewing relevant reports.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360" w:after="283"/>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The audit committee is responsible for overseeing Company’s cybersecurity risk management processes, including oversight and mitigation of risks from cybersecurity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certain members of management, including our Senior Director of Information Technology, who has over 23-years of experience in IT management (including cybersecurity) and a degree in Computer Information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Senior Director of IT, as part of our overall cybersecurity function, is responsible for hiring appropriate personnel, helping to integrate cybersecurity risk considerations into the Company’s overall risk management strategy, and communicating key priorities to relevant personnel. Our Chief Financial Officer, or CFO, is responsible for approving budgets, helping prepare for cybersecurity incidents, approving cybersecurity processes, and reviewing security assessments and other significant security-related incidents.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response process to cybersecurity incidents is designed to escalate certain incidents to members of management depending on the circumstances, including the CFO. Our CFO and Senior Director of IT work with the Company’s incident response team to help the Company mitigate and remediate cybersecurity incidents of which they are notified. In addition, the Company’s incident response policy includes reporting to the board of directors committee responsible for certain cybersecurity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receives an annual update from our cybersecurity function concerning the Company’s significant cybersecurity threats and risk and the processes the Company has implemented to address them. In addition, they receive timely notifications of significant cybersecurity incidences based on our cybersecurity response plan. The audit committee also has access to various reports, summaries or presentations related to cybersecurity threats, risk and mitigation.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offices occupy approximately 14,000 square feet of office space in Alpharetta, Georgia under a lease with an initial term until November 2026, with a renewal option for one additional three-year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and we are not aware of any pending or threatened legal proceeding against us that we believe could have a material adverse effect on our business, operating results or financial condition. </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bookmarkStart w:id="11" w:name="part_ii"/>
      <w:bookmarkEnd w:id="11"/>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left"/>
        <w:rPr>
          <w:rFonts w:ascii="Times New Roman" w:hAnsi="Times New Roman"/>
          <w:b/>
          <w:color w:val="000000"/>
          <w:sz w:val="20"/>
        </w:rPr>
      </w:pPr>
      <w:bookmarkStart w:id="12" w:name="item_5_market_for_registrant"/>
      <w:bookmarkEnd w:id="12"/>
      <w:r>
        <w:rPr>
          <w:rFonts w:ascii="Times New Roman" w:hAnsi="Times New Roman"/>
          <w:b/>
          <w:color w:val="000000"/>
          <w:sz w:val="20"/>
        </w:rPr>
        <w:t>ITEM 5. MARKET FOR REGISTRANT’S COMMON EQUITY, RELATED STOCKHOLDER MATTERS AND ISSUER PURCHASE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“CLSD.”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dividends on our common stock. We anticipate that we will retain all of our future earnings, if any, for use in the operation and expansion of our business and do not anticipate paying cash dividends in the foreseeable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5, 2024, we had 74,721,139 shares of common stock outstanding held by 7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13" w:name="item_6_reserved"/>
      <w:bookmarkEnd w:id="13"/>
      <w:r>
        <w:rPr>
          <w:rFonts w:ascii="Times New Roman" w:hAnsi="Times New Roman"/>
          <w:b/>
          <w:color w:val="000000"/>
          <w:sz w:val="20"/>
        </w:rPr>
        <w:t>ITEM 6. [</w:t>
      </w:r>
      <w:bookmarkStart w:id="14" w:name="item_6_selected_financial_data"/>
      <w:bookmarkEnd w:id="14"/>
      <w:r>
        <w:rPr>
          <w:rFonts w:ascii="Times New Roman" w:hAnsi="Times New Roman"/>
          <w:b/>
          <w:color w:val="000000"/>
          <w:sz w:val="20"/>
        </w:rPr>
        <w:t>Reserved].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rFonts w:ascii="Times New Roman" w:hAnsi="Times New Roman"/>
          <w:b/>
          <w:color w:val="000000"/>
          <w:sz w:val="20"/>
        </w:rPr>
      </w:pPr>
      <w:bookmarkStart w:id="15" w:name="item_7_mgmt_discussion_analysis"/>
      <w:bookmarkEnd w:id="15"/>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noBreakHyphen/>
        <w:t>looking statements that reflect our plans, estimates, beliefs and expectations that involve risks and uncertainties. Our actual results and the timing of events could differ materially from those discussed in these forward</w:t>
        <w:noBreakHyphen/>
        <w:t>looking statements. Factors that could cause or contribute to these differences include those discussed below and elsewhere in this Annual Report, particularly in Item 1A. “Risk Factors” and “Special Note Regarding Forward</w:t>
        <w:noBreakHyphen/>
        <w:t>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revolutionizing the delivery of therapies to the back of the eye through the suprachoroidal space, or SCS. Our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suprachoroidal injection technology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operations to date have been limited to organizing and staffing our company, raising capital, conducting preclinical studies and clinical trials and undertaking other research and development initiatives. To date, we have only generated revenue through upfront payments and milestone payments related to license agreements and other revenue generated from collaboration agreements. We have primarily financed our operations through public offerings and private placements of our equity securities, issuances of convertible promissory notes and loan agreements. As of December 31, 2023, we had an accumulated deficit of $320.9 million. We recorded net losses of $32.5 million and $32.9 million for the years ended December 31, 2023 and 2022, respectively, and net income of $0.4 million for the year ended December 31, 2021.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therapeutics to utilize with our SCS Microinjector.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and increasing operating losses at least for the next several years. We do not expect to generate significant product or license and other revenue unless and until XIPERE is successfully commercialized by its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2024 as a result of our ongoing Phase 2b clinical trial of CLS-AX as well as continuing our pipeline development.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we expect to have sufficient resources to fund our planned operations into the third quarter of 2025. We will require additional capital in order to complete clinical development of CLS-AX.</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the sale of XIPERE and we do not expect to generate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continue to seek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focused on our development programs. Research and development expenses consist primarily of costs incurred for the research and development of our preclinical and clinical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as well as contract manufacturing organizations and consultants that conduct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activities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our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research and development expenses by type of activity for the years ended December 31, 2023, 2022 and 2021.</w:t>
      </w:r>
    </w:p>
    <w:tbl>
      <w:tblPr>
        <w:tblW w:w="7203" w:type="dxa"/>
        <w:jc w:val="left"/>
        <w:tblInd w:w="0" w:type="dxa"/>
        <w:tblLayout w:type="fixed"/>
        <w:tblCellMar>
          <w:top w:w="28" w:type="dxa"/>
          <w:left w:w="28" w:type="dxa"/>
          <w:bottom w:w="28" w:type="dxa"/>
          <w:right w:w="28" w:type="dxa"/>
        </w:tblCellMar>
      </w:tblPr>
      <w:tblGrid>
        <w:gridCol w:w="3521"/>
        <w:gridCol w:w="146"/>
        <w:gridCol w:w="211"/>
        <w:gridCol w:w="676"/>
        <w:gridCol w:w="146"/>
        <w:gridCol w:w="146"/>
        <w:gridCol w:w="211"/>
        <w:gridCol w:w="676"/>
        <w:gridCol w:w="146"/>
        <w:gridCol w:w="146"/>
        <w:gridCol w:w="211"/>
        <w:gridCol w:w="676"/>
        <w:gridCol w:w="291"/>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XIPERE (uveitis program)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291" w:type="dxa"/>
            <w:tcBorders/>
            <w:shd w:fill="CFF0FC"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CLS-AX (wet AMD program)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program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291" w:type="dxa"/>
            <w:tcBorders/>
            <w:shd w:fill="CFF0FC"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upon changes in the clinical trial protocol or scope of work to be performed, we would modify our estimates of accrued expenses accordingly on a prospective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duration, costs and timing of clinical trials and development of our product candidates will depend on a variety of factors that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process development, scale-up and manufacturing of our product candidates including the SCS Microinjector for clinical trials and for requirements associated with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 and any requirement for extension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or other studies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follow-up;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profiles of the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consists of the gain on the extinguishment of the Paycheck Protection Program, or PPP, Loan and accrued interest and interest income earned on our cash and cash equivalents. Interest income is not currently significant to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Non-cash Interest Expense on Liability Related to the Sales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interest expense on liability related to the sales of future royalties consists of imputed interest on the carrying value of the liability and the amortization of the related issuance costs.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royalty financing obligation,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revenue from our contracts with customers under Financial Accounting Standards Board, or FASB, Accounting Standards Codification, or ASC, Topic 606, Revenue from Contracts with Customers, or ASC 606.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 (2) 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accounting for our revenue arrangements, we develop assumptions that require judgment such as the estimate of the stand-alone selling price for each performance obligation identified in the contract.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Licenses of intellectual property: </w:t>
      </w:r>
      <w:r>
        <w:rPr>
          <w:rFonts w:ascii="Times New Roman" w:hAnsi="Times New Roman"/>
          <w:color w:val="000000"/>
          <w:sz w:val="20"/>
        </w:rPr>
        <w:t>If the license to our intellectual property is determined to be distinct from the other performance obligations identified in the arrangement, we recognize revenue allocated to the license 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Payments:</w:t>
      </w:r>
      <w:r>
        <w:rPr>
          <w:rFonts w:ascii="Times New Roman" w:hAnsi="Times New Roman"/>
          <w:color w:val="000000"/>
          <w:sz w:val="20"/>
        </w:rPr>
        <w:t xml:space="preserve"> At the inception of each arrangement that includes development, commercialization, and regulatory milestone payments, we evaluate whether the achievement of the milestones is considered probable 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 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Manufacturing Supply Services: </w:t>
      </w:r>
      <w:r>
        <w:rPr>
          <w:rFonts w:ascii="Times New Roman" w:hAnsi="Times New Roman"/>
          <w:color w:val="000000"/>
          <w:sz w:val="20"/>
        </w:rPr>
        <w:t xml:space="preserve">Arrangements that include a promise for future supply of drug substance or drug product for either clinical development or commercial supply at the customer’s discretion are generally considered options. </w:t>
      </w:r>
      <w:r>
        <w:rPr>
          <w:rFonts w:ascii="Times New Roman" w:hAnsi="Times New Roman"/>
          <w:color w:val="212529"/>
          <w:sz w:val="20"/>
        </w:rPr>
        <w:t xml:space="preserve">The arrangements may also include assistance and oversight of the customer’s use of the drug substance or drug product. </w:t>
      </w:r>
      <w:r>
        <w:rPr>
          <w:rFonts w:ascii="Times New Roman" w:hAnsi="Times New Roman"/>
          <w:color w:val="000000"/>
          <w:sz w:val="20"/>
        </w:rPr>
        <w:t xml:space="preserve">We assess if these options provide a material right to the licensee and if so, they are accounted for as separate performance obligations at the outset of the arrangement. </w:t>
      </w:r>
    </w:p>
    <w:p>
      <w:pPr>
        <w:pStyle w:val="TextBody"/>
        <w:bidi w:val="0"/>
        <w:spacing w:before="240" w:after="283"/>
        <w:jc w:val="left"/>
        <w:rPr>
          <w:rFonts w:ascii="Times New Roman" w:hAnsi="Times New Roman"/>
          <w:sz w:val="20"/>
        </w:rPr>
      </w:pPr>
      <w:r>
        <w:rPr>
          <w:rFonts w:ascii="Times New Roman" w:hAnsi="Times New Roman"/>
          <w:i/>
          <w:color w:val="000000"/>
          <w:sz w:val="20"/>
        </w:rPr>
        <w:t>Royalties:</w:t>
      </w:r>
      <w:r>
        <w:rPr>
          <w:rFonts w:ascii="Times New Roman" w:hAnsi="Times New Roman"/>
          <w:color w:val="000000"/>
          <w:sz w:val="20"/>
        </w:rPr>
        <w:t xml:space="preserve"> 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related to share-based awards granted to employees, directors and consultants is measured based on the estimated fair value of the award at the grant date. We estimate the fair value of stock options using a Black-Scholes option pricing model.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 the awards. All share-based compensation costs are recorded in general and administrative or research and development costs in the statements of operations based upon the underlying employees’ roles.</w:t>
      </w:r>
    </w:p>
    <w:p>
      <w:pPr>
        <w:pStyle w:val="TextBody"/>
        <w:bidi w:val="0"/>
        <w:spacing w:before="360" w:after="283"/>
        <w:jc w:val="left"/>
        <w:rPr>
          <w:rFonts w:ascii="Times New Roman" w:hAnsi="Times New Roman"/>
          <w:sz w:val="20"/>
        </w:rPr>
      </w:pPr>
      <w:r>
        <w:rPr>
          <w:rFonts w:ascii="Times New Roman" w:hAnsi="Times New Roman"/>
          <w:b/>
          <w:i/>
          <w:color w:val="000000"/>
          <w:sz w:val="20"/>
        </w:rPr>
        <w:t>Significant factors, assumptions and methodologies used in determining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the fair value of stock options at the grant date using Black-Scholes option pricing model with the following assumptions: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Fair value of our common stock. </w:t>
      </w:r>
      <w:r>
        <w:rPr>
          <w:rFonts w:ascii="Times New Roman" w:hAnsi="Times New Roman"/>
          <w:color w:val="000000"/>
          <w:sz w:val="20"/>
        </w:rPr>
        <w:t>We estimate the fair value of our common stock by reference to the closing price of our common stock on The Nasdaq Global Market on the date of grant.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Volatility. </w:t>
      </w:r>
      <w:r>
        <w:rPr>
          <w:rFonts w:ascii="Times New Roman" w:hAnsi="Times New Roman"/>
          <w:color w:val="000000"/>
          <w:sz w:val="20"/>
        </w:rPr>
        <w:t>We calculate expected volatility based on the historical volatility of our common stock.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color w:val="000000"/>
        </w:rPr>
        <w:t xml:space="preserve"> </w:t>
      </w:r>
      <w:r>
        <w:rPr>
          <w:rFonts w:ascii="Times New Roman" w:hAnsi="Times New Roman"/>
          <w:color w:val="000000"/>
          <w:sz w:val="20"/>
        </w:rPr>
        <w:t xml:space="preserve">In the years ended December 31, 2023 and 2022, we used historical data to calculate the expected term. In the year ended December 31, 2021, we used the simplified method as prescribed by the SEC Staff Accounting Bulletin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pPr>
      <w:r>
        <w:rPr>
          <w:rFonts w:ascii="Times New Roman" w:hAnsi="Times New Roman"/>
          <w:color w:val="000000"/>
          <w:sz w:val="20"/>
        </w:rPr>
        <w:t xml:space="preserve">No. 107, </w:t>
      </w:r>
      <w:r>
        <w:rPr>
          <w:rFonts w:ascii="Times New Roman" w:hAnsi="Times New Roman"/>
          <w:i/>
          <w:color w:val="000000"/>
          <w:sz w:val="20"/>
        </w:rPr>
        <w:t>Share-Based Payment</w:t>
      </w:r>
      <w:r>
        <w:rPr>
          <w:rFonts w:ascii="Times New Roman" w:hAnsi="Times New Roman"/>
          <w:color w:val="000000"/>
          <w:sz w:val="20"/>
        </w:rPr>
        <w:t>, as we did not have sufficient historical exercise and post-vesting termination data to provide a reasonable basis upon which to estimate the expected term of stock options granted to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rate.</w:t>
      </w:r>
      <w:r>
        <w:rPr>
          <w:color w:val="000000"/>
        </w:rPr>
        <w:t xml:space="preserve"> </w:t>
      </w:r>
      <w:r>
        <w:rPr>
          <w:rFonts w:ascii="Times New Roman" w:hAnsi="Times New Roman"/>
          <w:color w:val="000000"/>
          <w:sz w:val="20"/>
        </w:rPr>
        <w:t>The risk-free interest rate is based on the yields of U.S. Treasury securities with maturities similar to the expected time to liquidity.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Forfeitures. </w:t>
      </w:r>
      <w:r>
        <w:rPr>
          <w:rFonts w:ascii="Times New Roman" w:hAnsi="Times New Roman"/>
          <w:color w:val="000000"/>
          <w:sz w:val="20"/>
        </w:rPr>
        <w:t>Forfeitures are accounted for as they occur.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Dividend yield. </w:t>
      </w:r>
      <w:r>
        <w:rPr>
          <w:rFonts w:ascii="Times New Roman" w:hAnsi="Times New Roman"/>
          <w:color w:val="000000"/>
          <w:sz w:val="20"/>
        </w:rPr>
        <w:t>We have never declared or paid any cash dividends and do not presently plan to pay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Share-based compensation expense related to stock options, the employee stock purchase plan and RSUs aggregated $4.2 million, $4.9 million and $5.1 million for the years ended December 31, 2023, 2022 and 2021,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Related to the Sales of Royalties and Non-Cash 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Purchase and Sale Agreement, we recognized a liability related to the sales of future royalties under ASC 470-10 Debt and ASC 835-30 Interest - Imputation of Interest. The initial funds received by us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over the estimated period the liability will be repaid. We estimate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we will prospectively adjust the effective interest and the related amortization of the liability and related issuance costs.</w:t>
      </w:r>
    </w:p>
    <w:p>
      <w:pPr>
        <w:pStyle w:val="TextBody"/>
        <w:bidi w:val="0"/>
        <w:spacing w:before="360" w:after="283"/>
        <w:jc w:val="left"/>
        <w:rPr>
          <w:rFonts w:ascii="Times New Roman" w:hAnsi="Times New Roman"/>
          <w:sz w:val="20"/>
        </w:rPr>
      </w:pPr>
      <w:r>
        <w:rPr>
          <w:rFonts w:ascii="Times New Roman" w:hAnsi="Times New Roman"/>
          <w:b/>
          <w:i/>
          <w:color w:val="000000"/>
          <w:sz w:val="20"/>
        </w:rPr>
        <w:t>Tax valuation allowance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aggregate deferred tax assets of $47.4 million, primarily related to our net operating losses, as of December 31, 2023, which have been fully offset by a valuation allowance due to uncertainties surrounding our ability to realize these tax benefits. We record a valuation allowance if it is more likely than not that a deferred tax asset will not be realized. We provided a full valuation allowance on our deferred tax assets that primarily consist of cumulative net operating losses, or NOLs, for the period from our inception through December 31, 2023. We incurred a net loss for tax purposes of $7.8 million for the year ended December 31, 2023. Due to our three-year cumulative loss position, history of operating losses and losses expected to be incurred in the foreseeable future, we considered it necessary to provide for a full valuation allowance against our net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deferred tax assets are primarily composed of federal and state tax NOL carryforwards. As of December 31, 2023, we had federal NOL carryforwards of $225.9 million and state NOL carryforwards of $89.3 million available to reduce future taxable income, if any. These federal NOL carryforwards will begin to expire at various dates starting in 2034.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The completion of our IPO, follow-on public offerings, private placements and other transactions that have occurred, and future offerings of our securities have triggered, and may in the future trigger additional, ownership changes. We have determined that three such ownership changes have occurred in the past. We have determined that $38,000 and $2,000 of our deferred tax assets related to federal NOL and R&amp;D credits, respectively, will expire due to Section 382. In addition, if we experience a Section 382 ownership change as a result of future offerings or changes in our stock ownership, some of which changes are outside our control, the tax benefits related to the NOL carryforwards may be further limited or lost.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Years Ended December 31, 2023 and 2022</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following table sets forth our results of operations for the years ended December 31, 2023 and 2022. </w:t>
      </w:r>
    </w:p>
    <w:tbl>
      <w:tblPr>
        <w:tblW w:w="7456"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736"/>
        <w:gridCol w:w="166"/>
        <w:gridCol w:w="146"/>
        <w:gridCol w:w="239"/>
        <w:gridCol w:w="721"/>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Period-to-</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8"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5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w:t>
            </w:r>
          </w:p>
        </w:tc>
        <w:tc>
          <w:tcPr>
            <w:tcW w:w="5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5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In the year ended December 31, 2023 and 2022, we recognized $8.2 million and $1.3 million of revenue associated with our license agreements. License revenue for the year ended December 31, 2023 was primarily a result of the upfront license fee payment of $5.0 million from BioCryst, $1.4 million of milestone payments from Aura and $1.0 million from providing training materials and clinical trial products to our licensees. License revenue for the year ended December 31, 2022 was primarily from providing training materials and clinical trial products to our licensees. </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In the years ended December 31, 2023 and 2022, we recognized $0.4 million and $0.2 million, respectively, in cost of goods sold related to the sales of our SCS Microinjector kits to our licensees.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 increased by $1.2 million, from $19.6 million for the year ended December 31, 2022 to $20.8 million for the year ended December 31, 2023. This increase was primarily due to a $6.8 million increase for the costs of ODYSSEY, a Phase 2b clinical trial of CLS-AX and related manufacturing costs for formulation and production. This was offset by a $2.2 million decrease in costs for OASIS, a Phase 1/2a clinical trial of CLS-AX and the OASIS extension study. Additionally, there was $1.4 million decrease in costs related to our other programs, a $0.2 million decrease in costs related to XIPERE, a $0.7 million decrease in employee related costs and $0.8 million in research and development tax credits received in the current year.</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increased by $0.1 million for the years ended December 31, 2023 and 2022. This increase was primarily a result of a $0.7 million increase in professional fees, partially offset by a $0.2 million decrease in patent related expenses and a $0.3 million decrease for insurance costs.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for the year ended December 31, 2023 and 2022 was primarily comprised of interest income from the cash and cash equivalents. The increase for the year ended December 31, 2023 was due to higher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Non-cash interest expense from liability related to the sales of future royalties</w:t>
      </w:r>
      <w:r>
        <w:rPr>
          <w:rFonts w:ascii="Times New Roman" w:hAnsi="Times New Roman"/>
          <w:color w:val="000000"/>
          <w:sz w:val="20"/>
        </w:rPr>
        <w:t>. Non-cash interest expense for the year ended December 31, 2023 and 2022 was comprised of imputed interest on the liability related to the sales of future royalties and the amortization of the associated issuance costs. The increase was due to a full year of interest expense for the year ended December 31, 2023 versus five months of interest expense for the year ended December 31,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Years Ended December 31, 2022 and 2021</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following table sets forth our results of operations for the years ended December 31, 2022 and 2021. </w:t>
      </w:r>
    </w:p>
    <w:tbl>
      <w:tblPr>
        <w:tblW w:w="7396"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676"/>
        <w:gridCol w:w="166"/>
        <w:gridCol w:w="146"/>
        <w:gridCol w:w="214"/>
        <w:gridCol w:w="746"/>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Period-to-</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8"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In the year ended December 31, 2022 and 2021, we recognized $1.3 million and $29.6 million of revenue associated with our license agreements. License revenue for the year ended December 31, 2022 was primarily from providing training materials and clinical trial products to our licensees. License revenue for the year ended December 31, 2021 was primarily a result of (i) the milestone payments from Bausch that consisted of $5.0 million received upon FDA approval of XIPERE, the recognition of $5.0 million of deferred revenue for the upfront milestone payment and the recognition of a $10.0 million milestone for pre-launch activities and (ii) an aggregate of $8.0 million received from Arctic Vision for FDA approval of XIPERE, territory expansion and certain development milestones. </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In the year ended December 31, 2022, we recognized $0.2 million in cost of goods sold related to the sales of our SCS Microinjector kits to our licensees.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 increased by $1.1 million, from $18.5 million for the year ended December 31, 2021 to $19.6 million for the year ended December 31, 2022. This increase was primarily due to a $0.9 million increase in costs for the CLS-AX program, including costs for OASIS, a Phase 1/2a clinical trial of CLS-AX, the OASIS extension study and the preliminary startup costs of ODYSSEY, a Phase 2b clinical trial of CLS-AX. Additionally, there was a $1.2 million increase in costs related to our other programs and a $0.7 million increase in costs related to an increase in headcount. This is partially offset by a $2.3 million decrease in costs related to XIPERE.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increased by $0.1 million for the years ended December 31, 2022 and 2021. This increase was primarily a result of a $0.4 million increase in patent related expenses and a $0.5 million decrease in costs related to employee benefits.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for the year ended December 31, 2022 was primarily comprised of interest income from the cash and cash equivalents. Other income for the year ended December 31, 2021 was primarily comprised of the gain on the extinguishment of debt from the forgiveness of the PPP Loan and accrued interest.</w:t>
      </w:r>
    </w:p>
    <w:p>
      <w:pPr>
        <w:pStyle w:val="TextBody"/>
        <w:bidi w:val="0"/>
        <w:spacing w:before="240" w:after="283"/>
        <w:jc w:val="left"/>
        <w:rPr>
          <w:rFonts w:ascii="Times New Roman" w:hAnsi="Times New Roman"/>
          <w:sz w:val="20"/>
        </w:rPr>
      </w:pPr>
      <w:r>
        <w:rPr>
          <w:rFonts w:ascii="Times New Roman" w:hAnsi="Times New Roman"/>
          <w:i/>
          <w:color w:val="000000"/>
          <w:sz w:val="20"/>
        </w:rPr>
        <w:t>Non-cash interest expense from liability related to the sales of future royalties</w:t>
      </w:r>
      <w:r>
        <w:rPr>
          <w:rFonts w:ascii="Times New Roman" w:hAnsi="Times New Roman"/>
          <w:color w:val="000000"/>
          <w:sz w:val="20"/>
        </w:rPr>
        <w:t>. Non-cash interest expense for the year ended December 31, 2022 was comprised of imputed interest on the liability related to the sales of future royalties and the amortization of the associated issuance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primarily through the proceeds from public offerings of our common stock, sales of convertible preferred stock and the issuance of long-term debt. As of December 31, 2023, we had cash and cash equivalents of $28.9 million.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 any cash in excess of our immediate requirements primarily with a view to liquidity and capital preservation. As of December 31, 2023, our funds were held in cash and money market funds.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6, 2024, we entered into a securities purchase agreement with institutional investors and an existing stockholder, pursuant to which we issued and sold, in a registered direct offering, or the Registered Direct Offering: (i) an aggregate of 11,111,111 shares of our common stock, or Shares; and (ii) warrants to purchase up to 11,111,111 shares of common stock, 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purchase price of each Share and accompanying Warrant was $1.35. The exercise price for the Warrants is $1.62 per share. The Warrants will be exercisable from August 9, 2024 and will expire on August 9, 2029. The net proceeds to us from the Registered Direct Offering were approximately $13.9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31, 2024, or the Amendment Effective Date, we entered into a fourth amendment to the license agreement, or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on or after July 1, 2023,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after July 1, 2023 but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2026, $400,000 for 2027 and $0.5 million for 2028. We paid the Maintenance Fee for 2023 in February 2024. The remaining annual Maintenance Fee payments are due on October 1st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22, 2023, we, through our wholly owned subsidiary Royalty Sub, entered into a letter agreement, or the Letter Agreement, with HCR and HCR Clearside SPV, LLC (as assignee of HCR Collateral Management, LLC), or the Agent, amending that certain Purchase and Sale Agreement, dated as of August 8, 2022, by and among Royalty Sub, HCR and Agent.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 The First Milestone Payment was to be released to Royalty Sub upon attainment of a pre-specified XIPERE sales milestone if such milestone was achieved by March 31, 2024, or the First Milestone Event, or, at Agent’s option, in the event the First Milestone Event was not achieved.</w:t>
      </w:r>
    </w:p>
    <w:p>
      <w:pPr>
        <w:pStyle w:val="TextBody"/>
        <w:bidi w:val="0"/>
        <w:spacing w:before="240" w:after="283"/>
        <w:jc w:val="left"/>
        <w:rPr>
          <w:rFonts w:ascii="Times New Roman" w:hAnsi="Times New Roman"/>
          <w:sz w:val="20"/>
        </w:rPr>
      </w:pPr>
      <w:r>
        <w:rPr>
          <w:rFonts w:ascii="Times New Roman" w:hAnsi="Times New Roman"/>
          <w:color w:val="000000"/>
          <w:sz w:val="20"/>
        </w:rPr>
        <w:t>On November 1, 2023, we</w:t>
      </w:r>
      <w:r>
        <w:rPr>
          <w:rFonts w:ascii="Times New Roman" w:hAnsi="Times New Roman"/>
          <w:b/>
          <w:i/>
          <w:color w:val="000000"/>
          <w:sz w:val="20"/>
        </w:rPr>
        <w:t>,</w:t>
      </w:r>
      <w:r>
        <w:rPr>
          <w:rFonts w:ascii="Times New Roman" w:hAnsi="Times New Roman"/>
          <w:color w:val="000000"/>
          <w:sz w:val="20"/>
        </w:rPr>
        <w:t xml:space="preserv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 </w:t>
      </w:r>
    </w:p>
    <w:p>
      <w:pPr>
        <w:pStyle w:val="TextBody"/>
        <w:bidi w:val="0"/>
        <w:spacing w:before="240" w:after="283"/>
        <w:jc w:val="left"/>
        <w:rPr>
          <w:rFonts w:ascii="Times New Roman" w:hAnsi="Times New Roman"/>
          <w:sz w:val="20"/>
        </w:rPr>
      </w:pPr>
      <w:r>
        <w:rPr>
          <w:rFonts w:ascii="Times New Roman" w:hAnsi="Times New Roman"/>
          <w:color w:val="000000"/>
          <w:sz w:val="20"/>
        </w:rPr>
        <w:t>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above in "Business</w:t>
      </w:r>
      <w:r>
        <w:rPr>
          <w:rFonts w:ascii="Times New Roman" w:hAnsi="Times New Roman"/>
          <w:color w:val="202124"/>
          <w:sz w:val="20"/>
        </w:rPr>
        <w:t>—</w:t>
      </w:r>
      <w:r>
        <w:rPr>
          <w:rFonts w:ascii="Times New Roman" w:hAnsi="Times New Roman"/>
          <w:color w:val="000000"/>
          <w:sz w:val="20"/>
        </w:rPr>
        <w:t>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terminated our at-the-market sales agreement with Cowen and Company, LLC, or the Prior ATM Agreement. We sold 515,959 shares of its common stock for net proceeds of $0.7 million under the Prior ATM Agreement with Cowen and Company, LLC during the six months ended June 30, 2023, prior to the termination of the Prior ATM Agreement. During the year ended December 31, 2022, we sold 425,460 shares of common stock for net proceeds of $0.6 million under the Prior ATM Agreement. During the year ended December 31, 2021, we sold 2.9 million shares of common stock for net proceeds of $12.2 million under the Prior ATM Agreement.</w:t>
      </w:r>
    </w:p>
    <w:p>
      <w:pPr>
        <w:pStyle w:val="TextBody"/>
        <w:bidi w:val="0"/>
        <w:spacing w:before="240" w:after="283"/>
        <w:jc w:val="left"/>
        <w:rPr>
          <w:rFonts w:ascii="Times New Roman" w:hAnsi="Times New Roman"/>
          <w:sz w:val="20"/>
        </w:rPr>
      </w:pPr>
      <w:r>
        <w:rPr>
          <w:rFonts w:ascii="Times New Roman" w:hAnsi="Times New Roman"/>
          <w:color w:val="000000"/>
          <w:sz w:val="20"/>
        </w:rPr>
        <w:t>In May 2023, we entered into a Controlled Equity Offering</w:t>
      </w:r>
      <w:r>
        <w:rPr>
          <w:rFonts w:ascii="Times New Roman" w:hAnsi="Times New Roman"/>
          <w:color w:val="000000"/>
          <w:sz w:val="13"/>
        </w:rPr>
        <w:t xml:space="preserve">SM </w:t>
      </w:r>
      <w:r>
        <w:rPr>
          <w:rFonts w:ascii="Times New Roman" w:hAnsi="Times New Roman"/>
          <w:color w:val="000000"/>
          <w:sz w:val="20"/>
        </w:rPr>
        <w:t xml:space="preserve">Sales Agreement, or the Sales Agreement, with Cantor Fitzgerald &amp; Co., or Cantor under which we may offer and sell, from time to time at its sole discretion, shares of its common stock, having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offering price of up to $50.0 million through Cantor as our sales agent. During the year ended December 31, 2023, we sold 1,073,740 shares of our common stock for net proceeds of $1.1 million under the Sales Agreement. Subsequent to December 31, 2023, we sold an additional 339,912 shares of our common stock pursuant to the Sales Agreement for net proceeds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which was released to HCR pursuant to the Letter Agreement described above. The terms of the Purchase and Sale Agreement also provide for an additional $20 million milestone payment to Royalty Sub upon attainment of a second pre-specified sales milestone related to 2024 XIPERE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6, 2021, we entered into a securities purchase agreement with certain institutional purchasers pursuant to which we issued and sold 4.2 million shares of our common stock in a registered direct offering at a price of $2.851 per share. We raised net cash proceeds of $11.1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 PPP provide a mechanism for forgiveness of up to the full amount borrowed. On January 11, 2021, we received notification from Silicon Valley Bank that the PPP Loan was forgiven in full, including approximately $7,000 of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Arctic Vision License Agreement, Arctic Vision paid us an upfront payment of $4.0 million in March 2020.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will also be entitled to receive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a $5.0 million milestone payment from Bausch within 30 days of FDA approval. In December 2021, $10.0 million was recorded as revenue upon completion of pre-launch activities for XIPERE and the payment was received in January 2022. Bausch launched XIPERE in the United States in the first quarter of 2022.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Footnote 12 to our financial statements included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the products, if and when approved, whether alone or in collaboration with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would significantly change the costs and timing associated with the development of that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Based on our current plans and forecasted expenses, we expect that our cash and cash equivalents as of the filing date, March 12, 2024, will enable us to fund our planned operating expenses and capital expenditure requirements into the third quarter of 2025. We have based this estimate on assumptions that may prove to be wrong, and we could exhaust our capital resources sooner than we expect. We will require additional capital in order to complete clinical development of CLS-AX.</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is a summary of the net cash flows provided by (used in) our operating, investing and financing activities:</w:t>
      </w:r>
    </w:p>
    <w:tbl>
      <w:tblPr>
        <w:tblW w:w="7413"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736"/>
        <w:gridCol w:w="166"/>
        <w:gridCol w:w="146"/>
        <w:gridCol w:w="211"/>
        <w:gridCol w:w="73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1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3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2023, 2022 and 2021, our operating activities used net cash of $18.1 million, $13.4 million and $10.7 million, respectively. The net cash used in operating activities for the year ended December 31, 2023 as compared to the year ended December 31, 2022 was due to ongoing research and development expenses to develop our pipeline and ongoing costs for ODYSSEY, the Phase 2b clinical trial for CLS-AX, as well as the supporting general and administrative costs. This was partially offset by the receipt of research and development tax credits. The increase in cash used in operating activities for the year ended December 31, 2022 as compared to the year ended December 31, 2021 was primarily due to research and development expenses related to the preclinical and clinical programs offset by the receipt of the $10.0 million milestone payment received from Bausch in connection with pre-launch activities for XIPERE.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year ended December 31, 2023 and 2022, our investing activities used net cash of $1.8 million and $0.2 million, respectively, for the purchase of machinery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2023, 2022 and 2021, our net cash provided by financing activities was $0.4 million, $31.3 million and $23.8 million, respectively. The cash provided by financing activities for the year ended December 31, 2023 consisted primarily of $1.7 million of net proceeds from the sale of shares of our common stock under the ATM Agreement and the Sales Agreement partially offset by a payment of $1.4 million related to the Purchase and Sale agreement. The net cash provided by financing activities for the year ended December 31, 2022 was primarily comprised of $30.6 million from the Purchase and Sale Agreement, net of issuance costs and $0.6 million of net proceeds from the sale of shares of our common stock under the ATM agreement. The net cash provided by financing activities for the year ended December 31, 2021 was primarily comprised of $11.1 million of net proceeds from the sale of shares of our common stock in a registered direct offering and $12.2 million of net proceeds from the sale of shares of our common stock under the ATM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and Item 1C. Cybersecurity in this Annual Report on Form 10-K, including “—If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Item 8. “Financial Statements and Supplementary Data – Note 2, Significant Accounting Policies” for a discussion of recent accounting pronouncements and their effect on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480" w:after="283"/>
        <w:jc w:val="left"/>
        <w:rPr>
          <w:rFonts w:ascii="Times New Roman" w:hAnsi="Times New Roman"/>
          <w:b/>
          <w:color w:val="000000"/>
          <w:sz w:val="20"/>
        </w:rPr>
      </w:pPr>
      <w:bookmarkStart w:id="16" w:name="item_7a_quantitative_qualitative_disclos"/>
      <w:bookmarkEnd w:id="16"/>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252525"/>
          <w:sz w:val="20"/>
        </w:rPr>
      </w:pPr>
      <w:r>
        <w:rPr>
          <w:rFonts w:ascii="Times New Roman" w:hAnsi="Times New Roman"/>
          <w:color w:val="252525"/>
          <w:sz w:val="20"/>
        </w:rPr>
        <w:t>We are a smaller reporting company as defined by Rule 12b-2 of the Exchange Act and are not required to provide the information required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rFonts w:ascii="Times New Roman" w:hAnsi="Times New Roman"/>
          <w:b/>
          <w:color w:val="000000"/>
          <w:sz w:val="20"/>
        </w:rPr>
      </w:pPr>
      <w:bookmarkStart w:id="17" w:name="item_8_financial_statements"/>
      <w:bookmarkEnd w:id="17"/>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center"/>
        <w:rPr/>
      </w:pPr>
      <w:r>
        <w:rPr/>
        <w:t> </w:t>
      </w:r>
    </w:p>
    <w:tbl>
      <w:tblPr>
        <w:tblW w:w="9122" w:type="dxa"/>
        <w:jc w:val="left"/>
        <w:tblInd w:w="0" w:type="dxa"/>
        <w:tblLayout w:type="fixed"/>
        <w:tblCellMar>
          <w:top w:w="28" w:type="dxa"/>
          <w:left w:w="28" w:type="dxa"/>
          <w:bottom w:w="28" w:type="dxa"/>
          <w:right w:w="28" w:type="dxa"/>
        </w:tblCellMar>
      </w:tblPr>
      <w:tblGrid>
        <w:gridCol w:w="8551"/>
        <w:gridCol w:w="571"/>
      </w:tblGrid>
      <w:tr>
        <w:trPr/>
        <w:tc>
          <w:tcPr>
            <w:tcW w:w="85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551"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
              <w:r>
                <w:rPr>
                  <w:rStyle w:val="InternetLink"/>
                  <w:rFonts w:ascii="Times New Roman" w:hAnsi="Times New Roman"/>
                  <w:color w:val="000080"/>
                  <w:sz w:val="20"/>
                </w:rPr>
                <w:t>Report of independent registered public accounting firm (PCAOB ID: 42</w:t>
              </w:r>
            </w:hyperlink>
            <w:r>
              <w:rPr>
                <w:rFonts w:ascii="Times New Roman" w:hAnsi="Times New Roman"/>
                <w:color w:val="0000FF"/>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FF"/>
                <w:sz w:val="20"/>
              </w:rPr>
              <w:t xml:space="preserve">Consolidated </w:t>
            </w:r>
            <w:hyperlink w:anchor="balance_sheets">
              <w:r>
                <w:rPr>
                  <w:rStyle w:val="InternetLink"/>
                  <w:rFonts w:ascii="Times New Roman" w:hAnsi="Times New Roman"/>
                  <w:color w:val="000080"/>
                  <w:sz w:val="20"/>
                </w:rPr>
                <w:t>Balance Sheets as of December 31, 2023 and 2022</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551" w:type="dxa"/>
            <w:tcBorders/>
            <w:tcMar>
              <w:top w:w="0" w:type="dxa"/>
              <w:left w:w="0" w:type="dxa"/>
              <w:bottom w:w="0" w:type="dxa"/>
              <w:right w:w="0" w:type="dxa"/>
            </w:tcMar>
            <w:vAlign w:val="center"/>
          </w:tcPr>
          <w:p>
            <w:pPr>
              <w:pStyle w:val="TableContents"/>
              <w:bidi w:val="0"/>
              <w:spacing w:before="0" w:after="283"/>
              <w:ind w:left="0" w:right="101" w:hanging="0"/>
              <w:jc w:val="left"/>
              <w:rPr/>
            </w:pPr>
            <w:hyperlink w:anchor="statements_operations">
              <w:r>
                <w:rPr>
                  <w:rStyle w:val="InternetLink"/>
                  <w:rFonts w:ascii="Times New Roman" w:hAnsi="Times New Roman"/>
                  <w:color w:val="0000FF"/>
                  <w:sz w:val="20"/>
                </w:rPr>
                <w:t>Consolidated Statements of Operations for the years ended December 31, 2023, 2022 and 2021</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551" w:type="dxa"/>
            <w:tcBorders/>
            <w:tcMar>
              <w:top w:w="0" w:type="dxa"/>
              <w:left w:w="0" w:type="dxa"/>
              <w:bottom w:w="0" w:type="dxa"/>
              <w:right w:w="0" w:type="dxa"/>
            </w:tcMar>
            <w:vAlign w:val="center"/>
          </w:tcPr>
          <w:p>
            <w:pPr>
              <w:pStyle w:val="TableContents"/>
              <w:bidi w:val="0"/>
              <w:spacing w:before="0" w:after="283"/>
              <w:jc w:val="left"/>
              <w:rPr/>
            </w:pPr>
            <w:hyperlink w:anchor="statements_of_equity_deficit">
              <w:r>
                <w:rPr>
                  <w:rStyle w:val="InternetLink"/>
                  <w:rFonts w:ascii="Times New Roman" w:hAnsi="Times New Roman"/>
                  <w:color w:val="000080"/>
                  <w:sz w:val="20"/>
                </w:rPr>
                <w:t>Consolidated Statements of Stockholders’ Equity (Deficit) for the years ended December 31, 2023, 2022</w:t>
                <w:br/>
              </w:r>
            </w:hyperlink>
            <w:hyperlink w:anchor="statements_of_equity_deficit">
              <w:r>
                <w:rPr>
                  <w:rStyle w:val="InternetLink"/>
                  <w:rFonts w:ascii="Times New Roman" w:hAnsi="Times New Roman"/>
                  <w:color w:val="000080"/>
                  <w:sz w:val="20"/>
                </w:rPr>
                <w:t>and 2021</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551"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rPr>
                <w:t>Consolidated Statements of Cash Flows for the years ended December 31, 2023, 2022 and 2021</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55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rPr>
                <w:t>Notes to the Consolidated 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8" w:name="report_independent_registered_public"/>
      <w:bookmarkEnd w:id="1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Clearside Biomedical, Inc.</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sheets of Clearside Biomedical, Inc. (the Company) as of December 31, 2023 and 2022, the related consolidated statements of operations,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b/>
          <w:color w:val="333333"/>
          <w:sz w:val="20"/>
        </w:rPr>
      </w:pPr>
      <w:r>
        <w:rPr>
          <w:rFonts w:ascii="Times New Roman" w:hAnsi="Times New Roman"/>
          <w:b/>
          <w:color w:val="333333"/>
          <w:sz w:val="20"/>
        </w:rPr>
        <w:t>Critical Audit Matter</w:t>
      </w:r>
    </w:p>
    <w:p>
      <w:pPr>
        <w:pStyle w:val="TextBody"/>
        <w:bidi w:val="0"/>
        <w:jc w:val="left"/>
        <w:rPr/>
      </w:pPr>
      <w:r>
        <w:rPr/>
        <w:t> </w:t>
      </w:r>
    </w:p>
    <w:p>
      <w:pPr>
        <w:pStyle w:val="TextBody"/>
        <w:bidi w:val="0"/>
        <w:jc w:val="both"/>
        <w:rPr>
          <w:rFonts w:ascii="Times New Roman" w:hAnsi="Times New Roman"/>
          <w:color w:val="333333"/>
          <w:sz w:val="20"/>
        </w:rPr>
      </w:pPr>
      <w:r>
        <w:rPr>
          <w:rFonts w:ascii="Times New Roman" w:hAnsi="Times New Roman"/>
          <w:color w:val="333333"/>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both"/>
        <w:rPr>
          <w:rFonts w:ascii="Times New Roman" w:hAnsi="Times New Roman"/>
          <w:b/>
          <w:i/>
          <w:color w:val="000000"/>
          <w:sz w:val="20"/>
        </w:rPr>
      </w:pPr>
      <w:r>
        <w:rPr>
          <w:rFonts w:ascii="Times New Roman" w:hAnsi="Times New Roman"/>
          <w:b/>
          <w:i/>
          <w:color w:val="000000"/>
          <w:sz w:val="20"/>
        </w:rPr>
        <w:t>Valuation of Liability Related to the Sales of Future Royalties, Net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40"/>
        <w:gridCol w:w="9065"/>
      </w:tblGrid>
      <w:tr>
        <w:trPr/>
        <w:tc>
          <w:tcPr>
            <w:tcW w:w="1140"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1140"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i/>
                <w:color w:val="000000"/>
                <w:sz w:val="20"/>
              </w:rPr>
              <w:t>Description of the</w:t>
            </w:r>
            <w:r>
              <w:rPr>
                <w:rFonts w:ascii="Times New Roman" w:hAnsi="Times New Roman"/>
                <w:color w:val="000000"/>
                <w:sz w:val="20"/>
              </w:rPr>
              <w:t xml:space="preserve"> </w:t>
            </w:r>
          </w:p>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Matter</w:t>
            </w:r>
          </w:p>
        </w:tc>
        <w:tc>
          <w:tcPr>
            <w:tcW w:w="906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As discussed in Note 5 to the consolidated financial statements, on August 8, 2022, the Company entered into a Royalty Purchase and Sale Agreement with a third party, pursuant to which the Company sold certain of its rights to receive royalty and milestone payments. The Company received proceeds of $32.1 million, representing the $32.5 million to which the Company was entitled, net of certain transaction related expenses. The Company will repay the lender at a multiple of the initial proceeds received, which may vary based on timing and amount of cash flows received from its licensing partners.</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Company records the financing as a Liability related to the sales of future royalties, net on the balance sheet at its carrying value of $42.0 million as of December 31, 2023. The Company imputes interest expense associated with this liability using the effective interest rate method. Such interest expense is recorded in the statement of operations for the year ended December 31, 2023 as Non-cash interest expense on liability related to the sales of future royalties. The effective interest rate is calculated based on the rate that would enable the estimated liability to be repaid in full over the anticipated life of the arrangement. The Company utilizes the prospective method to record interest expense by updating its estimate of the new effective interest rate each period, based on its current estimate of remaining cash flows under the arrangement. The Company estimates the amount and timing of expected payments based on historical experience and its expectations of future activities from its license partners, as well as current market conditions.</w:t>
            </w:r>
          </w:p>
          <w:p>
            <w:pPr>
              <w:pStyle w:val="TableContents"/>
              <w:bidi w:val="0"/>
              <w:jc w:val="both"/>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Auditing the liability related to the sales of future royalties, net was complex and highly judgmental due to the estimation uncertainty in determining the effective interest rate. The Company’s effective interest rate model includes cash flow projections for future royalty and milestone payments, which are sensitive to certain assumptions that are forward looking and could be affected by future market conditions. </w:t>
            </w:r>
          </w:p>
        </w:tc>
      </w:tr>
      <w:tr>
        <w:trPr/>
        <w:tc>
          <w:tcPr>
            <w:tcW w:w="1140"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i/>
                <w:color w:val="000000"/>
                <w:sz w:val="20"/>
              </w:rPr>
              <w:t>How We Addressed</w:t>
            </w:r>
            <w:r>
              <w:rPr>
                <w:rFonts w:ascii="Times New Roman" w:hAnsi="Times New Roman"/>
                <w:color w:val="000000"/>
                <w:sz w:val="20"/>
              </w:rPr>
              <w:t xml:space="preserve"> </w:t>
            </w:r>
          </w:p>
          <w:p>
            <w:pPr>
              <w:pStyle w:val="TableContents"/>
              <w:bidi w:val="0"/>
              <w:jc w:val="both"/>
              <w:rPr>
                <w:rFonts w:ascii="Times New Roman" w:hAnsi="Times New Roman"/>
                <w:i/>
                <w:color w:val="000000"/>
                <w:sz w:val="20"/>
              </w:rPr>
            </w:pPr>
            <w:r>
              <w:rPr>
                <w:rFonts w:ascii="Times New Roman" w:hAnsi="Times New Roman"/>
                <w:i/>
                <w:color w:val="000000"/>
                <w:sz w:val="20"/>
              </w:rPr>
              <w:t>the Matter in Our</w:t>
            </w:r>
          </w:p>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Audit</w:t>
            </w:r>
          </w:p>
        </w:tc>
        <w:tc>
          <w:tcPr>
            <w:tcW w:w="90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0"/>
              </w:rPr>
              <w:t>To test the liability related to the sales of future royalties, net as of December 31, 2023, our audit procedures included, among others, assessing the underlying data and significant assumptions used by the Company in determining the timing and amount of future cash flows used within its effective interest rate model. We assessed the reasonableness of the significant assumptions used in the cash flow projections by inspecting third party evidence to support management’s projections. We also performed a comparison of management’s prior projections of cash flow activity to actual results, and assessed the reasonableness of future projections based on activity to date. We recalculated the current year interest expense and performed sensitivity analyses to evaluate the changes in the effective interest rate, and associated interest expense, that would result from changes in the assumptions.</w:t>
            </w:r>
            <w:r>
              <w:rPr>
                <w:rFonts w:ascii="Times New Roman" w:hAnsi="Times New Roman"/>
                <w:color w:val="000000"/>
                <w:sz w:val="22"/>
              </w:rPr>
              <w:t xml:space="preserve"> </w:t>
            </w:r>
          </w:p>
        </w:tc>
      </w:tr>
    </w:tbl>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2014.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Atlanta, Georgia</w:t>
      </w:r>
    </w:p>
    <w:p>
      <w:pPr>
        <w:pStyle w:val="TextBody"/>
        <w:bidi w:val="0"/>
        <w:jc w:val="both"/>
        <w:rPr>
          <w:rFonts w:ascii="Times New Roman" w:hAnsi="Times New Roman"/>
          <w:color w:val="000000"/>
          <w:sz w:val="20"/>
        </w:rPr>
      </w:pPr>
      <w:r>
        <w:rPr>
          <w:rFonts w:ascii="Times New Roman" w:hAnsi="Times New Roman"/>
          <w:color w:val="000000"/>
          <w:sz w:val="20"/>
        </w:rPr>
        <w:t>March 12, 2024</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pPr>
      <w:r>
        <w:rPr/>
        <w:t> </w:t>
      </w:r>
    </w:p>
    <w:p>
      <w:pPr>
        <w:pStyle w:val="TextBody"/>
        <w:bidi w:val="0"/>
        <w:spacing w:before="0" w:after="180"/>
        <w:jc w:val="center"/>
        <w:rPr/>
      </w:pPr>
      <w:r>
        <w:rPr/>
        <w:t> </w:t>
      </w:r>
    </w:p>
    <w:p>
      <w:pPr>
        <w:pStyle w:val="TextBody"/>
        <w:bidi w:val="0"/>
        <w:spacing w:before="0" w:after="18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19" w:name="balance_sheets"/>
      <w:bookmarkEnd w:id="19"/>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9639" w:type="dxa"/>
        <w:jc w:val="left"/>
        <w:tblInd w:w="0" w:type="dxa"/>
        <w:tblLayout w:type="fixed"/>
        <w:tblCellMar>
          <w:top w:w="28" w:type="dxa"/>
          <w:left w:w="28" w:type="dxa"/>
          <w:bottom w:w="28" w:type="dxa"/>
          <w:right w:w="28" w:type="dxa"/>
        </w:tblCellMar>
      </w:tblPr>
      <w:tblGrid>
        <w:gridCol w:w="6576"/>
        <w:gridCol w:w="146"/>
        <w:gridCol w:w="196"/>
        <w:gridCol w:w="751"/>
        <w:gridCol w:w="166"/>
        <w:gridCol w:w="146"/>
        <w:gridCol w:w="196"/>
        <w:gridCol w:w="751"/>
        <w:gridCol w:w="711"/>
      </w:tblGrid>
      <w:tr>
        <w:trPr/>
        <w:tc>
          <w:tcPr>
            <w:tcW w:w="6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48,258</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49,401</w:t>
            </w:r>
          </w:p>
        </w:tc>
        <w:tc>
          <w:tcPr>
            <w:tcW w:w="7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7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7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51,303</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(deficit)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payable (includes $331</w:t>
            </w:r>
            <w:r>
              <w:rPr>
                <w:rFonts w:ascii="Times New Roman" w:hAnsi="Times New Roman"/>
                <w:color w:val="000000"/>
                <w:sz w:val="20"/>
              </w:rPr>
              <w:t> </w:t>
            </w:r>
            <w:r>
              <w:rPr>
                <w:rFonts w:ascii="Times New Roman" w:hAnsi="Times New Roman"/>
                <w:color w:val="000000"/>
                <w:sz w:val="18"/>
              </w:rPr>
              <w:t>to a related party as of</w:t>
              <w:br/>
              <w:t>   December 31, 2023)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Accrued liabilities (includes $215</w:t>
            </w:r>
            <w:r>
              <w:rPr>
                <w:rFonts w:ascii="Times New Roman" w:hAnsi="Times New Roman"/>
                <w:color w:val="000000"/>
                <w:sz w:val="20"/>
              </w:rPr>
              <w:t> </w:t>
            </w:r>
            <w:r>
              <w:rPr>
                <w:rFonts w:ascii="Times New Roman" w:hAnsi="Times New Roman"/>
                <w:color w:val="000000"/>
                <w:sz w:val="18"/>
              </w:rPr>
              <w:t>to a related party as of</w:t>
              <w:br/>
              <w:t>December 31,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7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related to the sales of future royalties,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33,977</w:t>
            </w:r>
          </w:p>
        </w:tc>
        <w:tc>
          <w:tcPr>
            <w:tcW w:w="711" w:type="dxa"/>
            <w:tcBorders/>
            <w:shd w:fill="CFF0FC" w:val="clear"/>
            <w:vAlign w:val="center"/>
          </w:tcPr>
          <w:p>
            <w:pPr>
              <w:pStyle w:val="TableContents"/>
              <w:bidi w:val="0"/>
              <w:spacing w:before="0" w:after="283"/>
              <w:jc w:val="lef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w:t>
            </w:r>
          </w:p>
        </w:tc>
        <w:tc>
          <w:tcPr>
            <w:tcW w:w="7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76"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40,696</w:t>
            </w:r>
          </w:p>
        </w:tc>
        <w:tc>
          <w:tcPr>
            <w:tcW w:w="711" w:type="dxa"/>
            <w:tcBorders/>
            <w:shd w:fill="FFFFFF" w:val="clear"/>
            <w:vAlign w:val="center"/>
          </w:tcPr>
          <w:p>
            <w:pPr>
              <w:pStyle w:val="TableContents"/>
              <w:bidi w:val="0"/>
              <w:spacing w:before="0" w:after="283"/>
              <w:jc w:val="left"/>
              <w:rPr/>
            </w:pPr>
            <w:r>
              <w:rPr/>
              <w:t> </w:t>
            </w:r>
          </w:p>
        </w:tc>
      </w:tr>
      <w:tr>
        <w:trPr/>
        <w:tc>
          <w:tcPr>
            <w:tcW w:w="65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65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and no</w:t>
            </w:r>
            <w:r>
              <w:rPr>
                <w:rFonts w:ascii="Times New Roman" w:hAnsi="Times New Roman"/>
                <w:color w:val="000000"/>
                <w:sz w:val="20"/>
              </w:rPr>
              <w:t> </w:t>
            </w:r>
            <w:r>
              <w:rPr>
                <w:rFonts w:ascii="Times New Roman" w:hAnsi="Times New Roman"/>
                <w:color w:val="000000"/>
                <w:sz w:val="18"/>
              </w:rPr>
              <w:t xml:space="preserve">shares issued at </w:t>
              <w:br/>
              <w:t>   December 31, 2023 and 2022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w:t>
              <w:br/>
              <w:t> at December 31, 2023 and 2022, respectively; 62,850,841</w:t>
            </w:r>
            <w:r>
              <w:rPr>
                <w:rFonts w:ascii="Times New Roman" w:hAnsi="Times New Roman"/>
                <w:color w:val="000000"/>
                <w:sz w:val="20"/>
              </w:rPr>
              <w:t> </w:t>
            </w:r>
            <w:r>
              <w:rPr>
                <w:rFonts w:ascii="Times New Roman" w:hAnsi="Times New Roman"/>
                <w:color w:val="000000"/>
                <w:sz w:val="18"/>
              </w:rPr>
              <w:t>and 60,639,827</w:t>
            </w:r>
            <w:r>
              <w:rPr>
                <w:rFonts w:ascii="Times New Roman" w:hAnsi="Times New Roman"/>
                <w:color w:val="000000"/>
                <w:sz w:val="20"/>
              </w:rPr>
              <w:t> </w:t>
            </w:r>
            <w:r>
              <w:rPr>
                <w:rFonts w:ascii="Times New Roman" w:hAnsi="Times New Roman"/>
                <w:color w:val="000000"/>
                <w:sz w:val="18"/>
              </w:rPr>
              <w:t>shares</w:t>
              <w:br/>
              <w:t> issued and outstanding at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298,984</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(288,438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57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stockholders’ (deficit)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76"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 and stockholders’ (deficit)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51,303</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0" w:name="statements_operations"/>
      <w:bookmarkEnd w:id="20"/>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5103"/>
        <w:gridCol w:w="146"/>
        <w:gridCol w:w="211"/>
        <w:gridCol w:w="1036"/>
        <w:gridCol w:w="166"/>
        <w:gridCol w:w="146"/>
        <w:gridCol w:w="211"/>
        <w:gridCol w:w="1036"/>
        <w:gridCol w:w="166"/>
        <w:gridCol w:w="146"/>
        <w:gridCol w:w="211"/>
        <w:gridCol w:w="1036"/>
        <w:gridCol w:w="591"/>
      </w:tblGrid>
      <w:tr>
        <w:trPr/>
        <w:tc>
          <w:tcPr>
            <w:tcW w:w="5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 (includes $5,050 from a related</w:t>
              <w:br/>
              <w:t>party for the year ended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29,575</w:t>
            </w:r>
          </w:p>
        </w:tc>
        <w:tc>
          <w:tcPr>
            <w:tcW w:w="591" w:type="dxa"/>
            <w:tcBorders/>
            <w:shd w:fill="CFF0FC" w:val="clear"/>
            <w:vAlign w:val="center"/>
          </w:tcPr>
          <w:p>
            <w:pPr>
              <w:pStyle w:val="TableContents"/>
              <w:bidi w:val="0"/>
              <w:spacing w:before="0" w:after="283"/>
              <w:jc w:val="left"/>
              <w:rPr/>
            </w:pPr>
            <w:r>
              <w:rPr/>
              <w:t> </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1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1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Research and development (includes $1,109 to a related </w:t>
              <w:br/>
              <w:t>   party for the year ended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1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591" w:type="dxa"/>
            <w:tcBorders/>
            <w:shd w:fill="FFFFFF" w:val="cle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of common stock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shd w:fill="FFFFFF" w:val="cle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61,806,959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58,491,986</w:t>
            </w:r>
          </w:p>
        </w:tc>
        <w:tc>
          <w:tcPr>
            <w:tcW w:w="591" w:type="dxa"/>
            <w:tcBorders/>
            <w:shd w:fill="FFFFFF" w:val="clear"/>
            <w:vAlign w:val="center"/>
          </w:tcPr>
          <w:p>
            <w:pPr>
              <w:pStyle w:val="TableContents"/>
              <w:bidi w:val="0"/>
              <w:spacing w:before="0" w:after="283"/>
              <w:jc w:val="left"/>
              <w:rPr/>
            </w:pPr>
            <w:r>
              <w:rPr/>
              <w:t> </w:t>
            </w:r>
          </w:p>
        </w:tc>
      </w:tr>
      <w:tr>
        <w:trPr/>
        <w:tc>
          <w:tcPr>
            <w:tcW w:w="5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61,806,959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59,906,602</w:t>
            </w:r>
          </w:p>
        </w:tc>
        <w:tc>
          <w:tcPr>
            <w:tcW w:w="59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1" w:name="statements_of_equity_deficit"/>
      <w:bookmarkEnd w:id="21"/>
      <w:r>
        <w:rPr>
          <w:rFonts w:ascii="Times New Roman" w:hAnsi="Times New Roman"/>
          <w:b/>
          <w:color w:val="000000"/>
          <w:sz w:val="20"/>
        </w:rPr>
        <w:t>Consolidated Statement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pPr>
      <w:r>
        <w:rPr/>
        <w:t> </w:t>
      </w:r>
    </w:p>
    <w:tbl>
      <w:tblPr>
        <w:tblW w:w="9782" w:type="dxa"/>
        <w:jc w:val="left"/>
        <w:tblInd w:w="0" w:type="dxa"/>
        <w:tblLayout w:type="fixed"/>
        <w:tblCellMar>
          <w:top w:w="28" w:type="dxa"/>
          <w:left w:w="28" w:type="dxa"/>
          <w:bottom w:w="28" w:type="dxa"/>
          <w:right w:w="28" w:type="dxa"/>
        </w:tblCellMar>
      </w:tblPr>
      <w:tblGrid>
        <w:gridCol w:w="2986"/>
        <w:gridCol w:w="146"/>
        <w:gridCol w:w="146"/>
        <w:gridCol w:w="1036"/>
        <w:gridCol w:w="146"/>
        <w:gridCol w:w="146"/>
        <w:gridCol w:w="261"/>
        <w:gridCol w:w="430"/>
        <w:gridCol w:w="146"/>
        <w:gridCol w:w="146"/>
        <w:gridCol w:w="265"/>
        <w:gridCol w:w="981"/>
        <w:gridCol w:w="146"/>
        <w:gridCol w:w="146"/>
        <w:gridCol w:w="211"/>
        <w:gridCol w:w="841"/>
        <w:gridCol w:w="166"/>
        <w:gridCol w:w="146"/>
        <w:gridCol w:w="239"/>
        <w:gridCol w:w="84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51,860,941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(255,867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8,763</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at-the-market sales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2,891,419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12,205</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a direct registered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4,209,050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11,078</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388</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Vesting and settlement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415,268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5,054</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59,722,930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(255,491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37,975</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at-the-market sales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Vesting and settlement of restricted</w:t>
              <w:br/>
              <w:t>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4,884</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60,639,827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(288,438</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10,607</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at-the-market sales agreement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1,589,699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1,666</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shares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Vesting and settlement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471,390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4,202</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62,850,841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2" w:name="statements_cash_flows"/>
      <w:bookmarkEnd w:id="22"/>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898" w:type="dxa"/>
        <w:jc w:val="left"/>
        <w:tblInd w:w="0" w:type="dxa"/>
        <w:tblLayout w:type="fixed"/>
        <w:tblCellMar>
          <w:top w:w="28" w:type="dxa"/>
          <w:left w:w="28" w:type="dxa"/>
          <w:bottom w:w="28" w:type="dxa"/>
          <w:right w:w="28" w:type="dxa"/>
        </w:tblCellMar>
      </w:tblPr>
      <w:tblGrid>
        <w:gridCol w:w="5676"/>
        <w:gridCol w:w="146"/>
        <w:gridCol w:w="211"/>
        <w:gridCol w:w="736"/>
        <w:gridCol w:w="166"/>
        <w:gridCol w:w="146"/>
        <w:gridCol w:w="211"/>
        <w:gridCol w:w="736"/>
        <w:gridCol w:w="166"/>
        <w:gridCol w:w="146"/>
        <w:gridCol w:w="211"/>
        <w:gridCol w:w="736"/>
        <w:gridCol w:w="611"/>
      </w:tblGrid>
      <w:tr>
        <w:trPr/>
        <w:tc>
          <w:tcPr>
            <w:tcW w:w="5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611" w:type="dxa"/>
            <w:tcBorders/>
            <w:shd w:fill="FFFFFF" w:val="cle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w:t>
              <w:br/>
              <w:t>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expense on liability related to the sales of future</w:t>
              <w:br/>
              <w:t>    royalties, net of issuance costs accretion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termination of operating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6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liabilities (includes $82 to a</w:t>
              <w:br/>
              <w:t>   related party for the year ended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royalty purchase and sale agreement, net of</w:t>
              <w:br/>
              <w:t>  $1,862 of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royalty purchase and sale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at-the-market sales agreement, net of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w:t>
            </w:r>
          </w:p>
        </w:tc>
        <w:tc>
          <w:tcPr>
            <w:tcW w:w="611" w:type="dxa"/>
            <w:tcBorders/>
            <w:shd w:fill="FFFFFF" w:val="cle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registered direct offering,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w:t>
            </w:r>
          </w:p>
        </w:tc>
        <w:tc>
          <w:tcPr>
            <w:tcW w:w="611" w:type="dxa"/>
            <w:tcBorders/>
            <w:shd w:fill="CFF0FC" w:val="cle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shares issued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shd w:fill="FFFFFF" w:val="cle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w:t>
            </w:r>
          </w:p>
        </w:tc>
        <w:tc>
          <w:tcPr>
            <w:tcW w:w="611" w:type="dxa"/>
            <w:tcBorders/>
            <w:shd w:fill="CFF0FC" w:val="cle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in accounts payable</w:t>
              <w:br/>
              <w:t>   and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Forgiveness of PPP Loan and 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p>
      <w:pPr>
        <w:pStyle w:val="TextBody"/>
        <w:bidi w:val="0"/>
        <w:jc w:val="left"/>
        <w:rPr/>
      </w:pPr>
      <w:r>
        <w:rPr/>
        <w:t> </w:t>
      </w:r>
    </w:p>
    <w:tbl>
      <w:tblPr>
        <w:tblW w:w="9163" w:type="dxa"/>
        <w:jc w:val="left"/>
        <w:tblInd w:w="0" w:type="dxa"/>
        <w:tblLayout w:type="fixed"/>
        <w:tblCellMar>
          <w:top w:w="28" w:type="dxa"/>
          <w:left w:w="28" w:type="dxa"/>
          <w:bottom w:w="28" w:type="dxa"/>
          <w:right w:w="28" w:type="dxa"/>
        </w:tblCellMar>
      </w:tblPr>
      <w:tblGrid>
        <w:gridCol w:w="5581"/>
        <w:gridCol w:w="146"/>
        <w:gridCol w:w="211"/>
        <w:gridCol w:w="676"/>
        <w:gridCol w:w="146"/>
        <w:gridCol w:w="146"/>
        <w:gridCol w:w="211"/>
        <w:gridCol w:w="676"/>
        <w:gridCol w:w="146"/>
        <w:gridCol w:w="146"/>
        <w:gridCol w:w="211"/>
        <w:gridCol w:w="676"/>
        <w:gridCol w:w="19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30,436</w:t>
            </w:r>
          </w:p>
        </w:tc>
        <w:tc>
          <w:tcPr>
            <w:tcW w:w="191" w:type="dxa"/>
            <w:tcBorders/>
            <w:shd w:fill="CFF0FC"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($160 and $100 as of December 31, 2022 and 2021,</w:t>
              <w:br/>
              <w:t>   respectively, is recorded in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spacing w:before="240" w:after="283"/>
        <w:jc w:val="center"/>
        <w:rPr>
          <w:rFonts w:ascii="Times New Roman" w:hAnsi="Times New Roman"/>
          <w:b/>
          <w:color w:val="000000"/>
          <w:sz w:val="20"/>
        </w:rPr>
      </w:pPr>
      <w:bookmarkStart w:id="23" w:name="notes_to_financial_statements"/>
      <w:bookmarkEnd w:id="23"/>
      <w:r>
        <w:rPr>
          <w:rFonts w:ascii="Times New Roman" w:hAnsi="Times New Roman"/>
          <w:b/>
          <w:color w:val="000000"/>
          <w:sz w:val="20"/>
        </w:rPr>
        <w:t>Notes to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Clearside Biomedical, Inc. (the “Company”) is a biopharmaceutical company focused on revolutionizing the delivery of therapies to the back of the eye through the suprachoroidal space (SCS). Incorporated in the State of Delaware on May 26, 2011, the Company has its corporate headquarters in Alpharetta, Georgia.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cash and cash equivalents of $28.9 million as of December 31, 2023. </w:t>
      </w:r>
    </w:p>
    <w:p>
      <w:pPr>
        <w:pStyle w:val="TextBody"/>
        <w:bidi w:val="0"/>
        <w:spacing w:before="240" w:after="283"/>
        <w:jc w:val="left"/>
        <w:rPr>
          <w:rFonts w:ascii="Times New Roman" w:hAnsi="Times New Roman"/>
          <w:sz w:val="20"/>
        </w:rPr>
      </w:pPr>
      <w:r>
        <w:rPr>
          <w:rFonts w:ascii="Times New Roman" w:hAnsi="Times New Roman"/>
          <w:color w:val="000000"/>
          <w:sz w:val="20"/>
        </w:rPr>
        <w:t>Historically, the Company has funded its operations primarily through the sale of common stock and convertible preferred stock, the issuance of long-term debt, and license agreements. On October 25, 2021, the Company announced that the U.S. Food and Drug Administration (the "FDA") approved XIPERE</w:t>
      </w:r>
      <w:r>
        <w:rPr>
          <w:rFonts w:ascii="Times New Roman" w:hAnsi="Times New Roman"/>
          <w:color w:val="000000"/>
          <w:sz w:val="13"/>
        </w:rPr>
        <w:t>®</w:t>
      </w:r>
      <w:r>
        <w:rPr>
          <w:rFonts w:ascii="Times New Roman" w:hAnsi="Times New Roman"/>
          <w:color w:val="000000"/>
          <w:sz w:val="20"/>
        </w:rPr>
        <w:t xml:space="preserve"> (triamcinolone acetonide injectable suspension) for the treatment of macular edema associated with uveitis, a form of eye inflammation. In January 2022, the Company received $10.0 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(the “Shares”) of its common stock; and (ii) warrants to purchase up to 11,111,111 shares of common stock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purchase price of each Share and accompanying Warrant was $1.35. The exercise price for the Warrants is $1.62 per share. The Warrants will be exercisable from August 9, 2024 and will expire on August 9, 2029. The net proceeds to the Company from the Registered Direct Offering were approximately $13.9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on or after July 1, 2023,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after July 1, 2023 but prior to January 1, 2025, the payment to Licensor of any such Sublicensee Percentage is due to Licensor by March 31, 2025. The parties also agreed to a revised annual license maintenance fee due each year (the “Maintenance Fee”) starting in 2023 through 2028, as follows: $250,000 for 2023 through 2025, $350,000 for 2026, $400,000 for 2027 and $500,000 for 2028. The Company paid the Maintenance Fee for 2023 in February 2024. The remaining annual Maintenance Fee payments are due on October 1st of each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22, 2023, Clearside Biomedical, Inc., through its wholly owned subsidiary Royalty Sub, entered into a letter agreement (the “Letter Agreement”) with HCR and HCR Clearside SPV, LLC (as assignee of HCR Collateral Management, LLC) (“Agent”) amending that certain Purchase and Sale Agreement, dated as of August 8, 2022, by and among Royalty Sub, HCR and Agent. Pursuant to the terms of the Letter Agreement, Royalty Sub and Agent mutually agreed that Royalty Sub waived any and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rights to the $12.5 million milestone payment which was deposited in an escrow account (“First Milestone Payment") in connection with the closing of the transactions contemplated by the Purchase and Sale Agreement and agreed to the release of the First Milestone Payment to Agent. The First Milestone Payment was to be released to Royalty Sub upon attainment of a pre-specified XIPERE sales milestone if such milestone was achieved by March 31, 2024 (“First Milestone Event”) or, at Agent’s option, in the event the First Milestone Event was not achieved.</w:t>
      </w:r>
    </w:p>
    <w:p>
      <w:pPr>
        <w:pStyle w:val="TextBody"/>
        <w:bidi w:val="0"/>
        <w:spacing w:before="120" w:after="283"/>
        <w:jc w:val="both"/>
        <w:rPr>
          <w:rFonts w:ascii="Times New Roman" w:hAnsi="Times New Roman"/>
          <w:sz w:val="20"/>
        </w:rPr>
      </w:pPr>
      <w:r>
        <w:rPr>
          <w:rFonts w:ascii="Times New Roman" w:hAnsi="Times New Roman"/>
          <w:color w:val="000000"/>
          <w:sz w:val="20"/>
        </w:rPr>
        <w:t>On November 1, 2023, the Company</w:t>
      </w:r>
      <w:r>
        <w:rPr>
          <w:rFonts w:ascii="Times New Roman" w:hAnsi="Times New Roman"/>
          <w:b/>
          <w:i/>
          <w:color w:val="000000"/>
          <w:sz w:val="20"/>
        </w:rPr>
        <w:t>,</w:t>
      </w:r>
      <w:r>
        <w:rPr>
          <w:rFonts w:ascii="Times New Roman" w:hAnsi="Times New Roman"/>
          <w:color w:val="000000"/>
          <w:sz w:val="20"/>
        </w:rPr>
        <w:t xml:space="preserve"> entered into a license agreement (the “BioCryst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above in in Note 5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Company terminated its at-the-market sales agreement with Cowen and Company, LLC (the "ATM Agreement"). The Company sold 515,959 shares of its common stock for net proceeds of $0.7 million under its ATM Agreement with Cowen and Company, LLC during the six months ended June 30, 2023, prior to the termination of the ATM Agreement. During the year ended December 31, 2022, the Company sold 425,460 shares of its common stock for net proceeds of $0.6 million under its ATM Agreement. During the year ended December 31, 2021, the Company sold 2.9 million shares of its common stock for net proceeds of $12.2 million under its ATM Agreement.</w:t>
      </w:r>
    </w:p>
    <w:p>
      <w:pPr>
        <w:pStyle w:val="TextBody"/>
        <w:bidi w:val="0"/>
        <w:spacing w:before="240" w:after="283"/>
        <w:jc w:val="left"/>
        <w:rPr>
          <w:rFonts w:ascii="Times New Roman" w:hAnsi="Times New Roman"/>
          <w:sz w:val="20"/>
        </w:rPr>
      </w:pPr>
      <w:r>
        <w:rPr>
          <w:rFonts w:ascii="Times New Roman" w:hAnsi="Times New Roman"/>
          <w:color w:val="000000"/>
          <w:sz w:val="20"/>
        </w:rPr>
        <w:t>In May 2023,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year ended December 31, 2023, the Company sold 1,073,740 shares of its common stock for net proceeds of $1.1 million under the Sales Agreement. Subsequent to December 31, 2023, the Company sold an additional 339,912 shares of its common stock pursuant to the Sales Agreement for net proceeds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8, 2022, the Company entered into a Purchase and Sale Agreement (the "Purchase and Sale Agreement") pursuant to which it sold its rights to receive royalty and milestone payments due to the Company from XIPERE and certain SCS Microinjector license agreements subject to a cap which may be increased under certain circumstances. The Company received a payment of $32.1 million in September 2022,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2021, the Company entered into an amendment to the Arctic Vision License Agreement (as defined in Note 10 - License and Other Agreements)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territories covered by the license to include Australia and New Zealand. The Company received an aggregate of $3.0 million in consideration for the expansion of the licensed territory. </w:t>
      </w:r>
    </w:p>
    <w:p>
      <w:pPr>
        <w:pStyle w:val="TextBody"/>
        <w:bidi w:val="0"/>
        <w:spacing w:before="240" w:after="283"/>
        <w:jc w:val="left"/>
        <w:rPr>
          <w:rFonts w:ascii="Times New Roman" w:hAnsi="Times New Roman"/>
          <w:sz w:val="20"/>
        </w:rPr>
      </w:pPr>
      <w:r>
        <w:rPr>
          <w:rFonts w:ascii="Times New Roman" w:hAnsi="Times New Roman"/>
          <w:color w:val="000000"/>
          <w:sz w:val="20"/>
        </w:rPr>
        <w:t>Based on its current plans and forecasted expenses, the Company expects that its cash and cash equivalents as of the filing date, March 12, 2024 will enable it to fund its planned operating expenses and capital expenditure requirements into the third</w:t>
      </w:r>
      <w:r>
        <w:rPr>
          <w:rFonts w:ascii="Times New Roman" w:hAnsi="Times New Roman"/>
          <w:color w:val="FF0000"/>
          <w:sz w:val="20"/>
        </w:rPr>
        <w:t xml:space="preserve"> </w:t>
      </w:r>
      <w:r>
        <w:rPr>
          <w:rFonts w:ascii="Times New Roman" w:hAnsi="Times New Roman"/>
          <w:color w:val="000000"/>
          <w:sz w:val="20"/>
        </w:rPr>
        <w:t xml:space="preserve">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described in Note 5. All intercompany balances and transactions have been eliminated.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statements have been prepared in conformity with accounting principles generally accepted in the United States of America (“U.S. GAAP”).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sz w:val="20"/>
        </w:rPr>
      </w:pPr>
      <w:r>
        <w:rPr>
          <w:rFonts w:ascii="Times New Roman" w:hAnsi="Times New Roman"/>
          <w:color w:val="212529"/>
          <w:sz w:val="20"/>
        </w:rPr>
        <w:t xml:space="preserve">The Company recognizes revenue from its contracts with customers under Financial Accounting Standards Board Accounting Standards Codification (“ASC”) Topic 606, </w:t>
      </w:r>
      <w:r>
        <w:rPr>
          <w:rFonts w:ascii="Times New Roman" w:hAnsi="Times New Roman"/>
          <w:i/>
          <w:color w:val="212529"/>
          <w:sz w:val="20"/>
        </w:rPr>
        <w:t>Revenue from Contracts with Customers</w:t>
      </w:r>
      <w:r>
        <w:rPr>
          <w:rFonts w:ascii="Times New Roman" w:hAnsi="Times New Roman"/>
          <w:color w:val="212529"/>
          <w:sz w:val="20"/>
        </w:rPr>
        <w:t>.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 ended December 31, 2023, 2022, and 2021, the Company recognized $8.2 million, $1.3 million, and $29.6 million of revenue associated with its license agreements, respectively. License revenue for the year ended December 31, 2023 was primarily for a non-refundable $5.0 million upfront license fee payment from BioCryst and $1.4 million of milestone payments from Aura Biosciences, Inc. The $5.0 million non-refundable upfront payment was recognized upon transfer of control of the license to BioCryst. The $1.4 million in milestone payments from Aura were recognized upon satisfaction of the related performance obligations. Remaining revenues for the year ended December 31, 2023 were generated by providing training materials and clinical trial products to the Company's licensees. License revenue for the year ended December 31, 2022 was primarily from providing training materials and clinical trial products to the Company's licensees. License revenue for the year ended December 31, 2021 was primarily a result of (i) the milestone payments from Bausch that consisted of $5.0 million received upon FDA approval of XIPERE, the recognition of $5.0 million of deferred revenue for the upfront milestone payment and the recognition of a $10.0 million milestone for pre-launch activities and (ii) an aggregate of $8.0 million received from Arctic Vision for FDA approval of XIPERE, territory expansion and certain development milestones.</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 </w:t>
      </w:r>
    </w:p>
    <w:p>
      <w:pPr>
        <w:pStyle w:val="TextBody"/>
        <w:bidi w:val="0"/>
        <w:spacing w:before="360" w:after="283"/>
        <w:jc w:val="left"/>
        <w:rPr>
          <w:rFonts w:ascii="Times New Roman" w:hAnsi="Times New Roman"/>
          <w:sz w:val="20"/>
        </w:rPr>
      </w:pPr>
      <w:r>
        <w:rPr>
          <w:rFonts w:ascii="Times New Roman" w:hAnsi="Times New Roman"/>
          <w:b/>
          <w:i/>
          <w:color w:val="000000"/>
          <w:sz w:val="20"/>
        </w:rPr>
        <w:t>Debt Discount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debt discounts are recorded against the related debt obligation and are amortized using the effective interest rate method over the term of the underlying debt obligation and reflected in interest expense.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2023. Due to its history of operating losses since inception and losses expected to be incurred in the foreseeable future, a full valuation allowance was considered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estimating and measuring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charged to expense as incurred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contract manufacturing organizations and consultants that conduct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the Company’s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the Company’s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cost related to share-based awards granted to employees, directors and consultants is measured based on the estimated fair value of the award at the grant date. The fair value of restricted stock units granted is measured based on the market value of the Company’s common stock on the date of grant. Share-based compensation costs are expensed on a straight-line basis over the relevant vesting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share-based compensation costs are recorded in general and administrative or research and development costs in the statements of operations based upon the underlying employees’ roles within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equivalents consist of short-term, highly liquid investments with an original term of three months or less at the date of purchase.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2022, the restricted cash balance was invested in a commercial money market account. The current portion of the restricted cash is recorded in other current assets and the long-term portion is recorded in restricted cash.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 Arising From Cash Deposits in Excess of Insured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bidi w:val="0"/>
        <w:spacing w:before="360" w:after="283"/>
        <w:jc w:val="left"/>
        <w:rPr>
          <w:rFonts w:ascii="Times New Roman" w:hAnsi="Times New Roman"/>
          <w:sz w:val="20"/>
        </w:rPr>
      </w:pPr>
      <w:r>
        <w:rPr>
          <w:rFonts w:ascii="Times New Roman" w:hAnsi="Times New Roman"/>
          <w:b/>
          <w:i/>
          <w:color w:val="000000"/>
          <w:sz w:val="20"/>
        </w:rPr>
        <w:t>Liability Related to the Sales of Future Royalties and Non-Cash 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Purchase and Sale Agreement, the Company recognized a liability related to the sales of future royalties under ASC 470-10 Debt and ASC 835-30 Interest - Imputation of Interest.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Property and Equipment, Net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Property and equipment, net consisted of the following (dollar amounts in thousands):</w:t>
      </w:r>
    </w:p>
    <w:tbl>
      <w:tblPr>
        <w:tblW w:w="6351" w:type="dxa"/>
        <w:jc w:val="left"/>
        <w:tblInd w:w="0" w:type="dxa"/>
        <w:tblLayout w:type="fixed"/>
        <w:tblCellMar>
          <w:top w:w="28" w:type="dxa"/>
          <w:left w:w="28" w:type="dxa"/>
          <w:bottom w:w="28" w:type="dxa"/>
          <w:right w:w="28" w:type="dxa"/>
        </w:tblCellMar>
      </w:tblPr>
      <w:tblGrid>
        <w:gridCol w:w="2731"/>
        <w:gridCol w:w="146"/>
        <w:gridCol w:w="1141"/>
        <w:gridCol w:w="146"/>
        <w:gridCol w:w="211"/>
        <w:gridCol w:w="571"/>
        <w:gridCol w:w="166"/>
        <w:gridCol w:w="146"/>
        <w:gridCol w:w="211"/>
        <w:gridCol w:w="571"/>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Useful Lives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w:t>
              <w:br/>
              <w:t>useful life or</w:t>
              <w:br/>
              <w:t>remaining</w:t>
              <w:br/>
              <w:t>lease 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Accrued Liabilities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Accrued liabilities consisted of the following (in thousands):</w:t>
      </w:r>
    </w:p>
    <w:tbl>
      <w:tblPr>
        <w:tblW w:w="5149"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211"/>
        <w:gridCol w:w="57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w:t>
            </w:r>
            <w:r>
              <w:rPr>
                <w:rFonts w:ascii="Times New Roman" w:hAnsi="Times New Roman"/>
                <w:color w:val="000000"/>
                <w:sz w:val="20"/>
              </w:rPr>
              <w:t xml:space="preserve"> </w:t>
            </w:r>
            <w:r>
              <w:rPr>
                <w:rFonts w:ascii="Times New Roman" w:hAnsi="Times New Roman"/>
                <w:b/>
                <w:color w:val="000000"/>
                <w:sz w:val="20"/>
              </w:rPr>
              <w:t>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Royalty Purchase and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8, 2022 (the “Closing Date”), the Company, through its wholly-owned subsidiary Clearside Royalty LLC, a Delaware limited liability company (“Royalty Sub”), entered into a Purchase and Sale Agreement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(the "First Milestone Payment") was deposited by HCR in an escrow account which was released to HCR pursuant to the Letter Agreement described below. The terms of the Purchase and Sale Agreement also provide for an additional $20 million milestone payment to Royalty Sub upon attainment of a second pre-specified sales milestone related to 2024 XIPERE sales (the "Second Milestone 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22, 2023, the Company, through its wholly owned subsidiary Royalty Sub, entered into the Letter Agreement with the Agent amending that certain Purchase and Sale Agreement, dated as of August 8, 2022, by and among Royalty Sub, HCR and Agent.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that are forward looking and could be affected by future market conditions. The Company estimates the amount and timing of expected payments based on historical experience and its expectations of future activities from its license partners, as well as current market conditions.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activity of the Purchase and Sale Agreement (in thousands):</w:t>
      </w:r>
    </w:p>
    <w:tbl>
      <w:tblPr>
        <w:tblW w:w="3945" w:type="dxa"/>
        <w:jc w:val="left"/>
        <w:tblInd w:w="0" w:type="dxa"/>
        <w:tblLayout w:type="fixed"/>
        <w:tblCellMar>
          <w:top w:w="28" w:type="dxa"/>
          <w:left w:w="28" w:type="dxa"/>
          <w:bottom w:w="28" w:type="dxa"/>
          <w:right w:w="28" w:type="dxa"/>
        </w:tblCellMar>
      </w:tblPr>
      <w:tblGrid>
        <w:gridCol w:w="2596"/>
        <w:gridCol w:w="146"/>
        <w:gridCol w:w="211"/>
        <w:gridCol w:w="676"/>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33,977</w:t>
            </w:r>
          </w:p>
        </w:tc>
        <w:tc>
          <w:tcPr>
            <w:tcW w:w="316"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rPr>
        <w:t>CARES Act Paycheck Protection Program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20, 2020, the Company entered into a loan agreement with SVB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was evidenced by a promissory note (the “Note”) containing the terms and conditions for repayment of the PPP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Times New Roman" w:hAnsi="Times New Roman"/>
          <w:i/>
          <w:color w:val="000000"/>
          <w:sz w:val="20"/>
        </w:rPr>
        <w:t>Extinguishment of Liabilities</w:t>
      </w:r>
      <w:r>
        <w:rPr>
          <w:rFonts w:ascii="Times New Roman" w:hAnsi="Times New Roman"/>
          <w:color w:val="000000"/>
          <w:sz w:val="20"/>
        </w:rPr>
        <w:t xml:space="preserve">, the income from the forgiveness of the amount borrowed and the accrued interest was recognized in the statement of operations in other income as a gain on extinguishment of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Preferred and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Company to issue 10,000,000 shares of $0.001 par value of preferred stock. As of December 31, 2023 and 2022, there were 10,000,000 shares of preferred stock authorized, none of which were issued and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Company's Annual Meeting of Stockholders held on June 22, 2022, the Company's stockholders approved an amendment to the amended and restated certificate of incorporation to increase the Company's authorized number of shares of common stock from 100,000,000 shares to 200,000,000 shares. As of December 31, 2023 the Company was authorized to issue 200,000,000 shares of $0.001 par value common stock. As of December 31, 2023 and 2022, there were 62,850,841 and 60,639,827 shares of common stock outstanding,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Common Stock Warrants</w:t>
      </w:r>
    </w:p>
    <w:p>
      <w:pPr>
        <w:pStyle w:val="TextBody"/>
        <w:bidi w:val="0"/>
        <w:spacing w:before="240" w:after="283"/>
        <w:jc w:val="left"/>
        <w:rPr>
          <w:rFonts w:ascii="Times New Roman" w:hAnsi="Times New Roman"/>
          <w:sz w:val="20"/>
        </w:rPr>
      </w:pPr>
      <w:r>
        <w:rPr>
          <w:rFonts w:ascii="Times New Roman" w:hAnsi="Times New Roman"/>
          <w:color w:val="000000"/>
          <w:sz w:val="20"/>
        </w:rPr>
        <w:t>In September 2016, in connection with a loan agreement, the Company issued warrants to the lenders to purchase up to 29,796 shares of common stock at a price per share of $10.74. The warrants are fully exercisable and expire in September 2026, or earlier upon the occurrence of specified mergers or acquisitions of the Company.</w:t>
      </w:r>
      <w:r>
        <w:rPr>
          <w:rFonts w:ascii="Times New Roman" w:hAnsi="Times New Roman"/>
          <w:color w:val="1F497D"/>
          <w:sz w:val="20"/>
        </w:rPr>
        <w:t xml:space="preserve"> </w:t>
      </w:r>
      <w:r>
        <w:rPr>
          <w:rFonts w:ascii="Times New Roman" w:hAnsi="Times New Roman"/>
          <w:color w:val="000000"/>
          <w:sz w:val="20"/>
        </w:rPr>
        <w:t>The warrants were recorded in equity at the time of issuance and had a remaining life of 2.75 years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6, 2024, the Company entered into a securities purchase agreement with institutional investors and an existing stockholder, pursuant to which the Company issued and sold, in a registered direct offering (i) an aggregate of 11,111,111 shares (the “Shares”) of its common stock; and (ii) warrants to purchase up to 11,111,111 shares of common stock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combined purchase price of each Share and accompanying Warrant was $1.35. The exercise price for the Warrants is $1.62 per share. The Warrants will be exercisable from August 9, 2024 and will expire on August 9, 2029.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Share-Based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through January 1, 2026, by 4% of the total number of shares of the Company’s common stock outstanding on December 31 of the preceding calendar year, or a lesser number of shares as may be determined by the Company’s board of directors. At December 31, 2023, under the 2016 Plan, options to purchase 9,638,424 shares of the Company’s common stock were outstanding at a weighted average price of $2.79 per share and 570,024 shares remained available for future grant. As of January 1, 2024, the number of shares of common stock that may be issued under the 2016 Plan was automatically increased by 2,514,033 shares, representing 4% of the total number of shares of common stock outstanding on December 31, 2023, increasing the number of shares of common stock available for issuance under the 2016 Plan as of that date to 3,084,057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adoption of the 2016 Plan, no further grants may be made under the Company’s 2011 Stock Incentive Plan (the “2011 Plan”). The 2011 Plan provided for the grant of share-based awards to employees, directors and consultants of the Company. At December 31, 2023, options to purchase 210,110 shares of the Company’s common stock were outstanding under the 2011 Plan at a weighted average exercise price of $4.28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Company has granted stock option awards to employees, directors and consultants. The total share-based compensation expense recognized is reflected in the statements of operations as follows (in thousands): </w:t>
      </w:r>
    </w:p>
    <w:tbl>
      <w:tblPr>
        <w:tblW w:w="5778"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2FA" w:val="clear"/>
            <w:vAlign w:val="center"/>
          </w:tcPr>
          <w:p>
            <w:pPr>
              <w:pStyle w:val="TableContents"/>
              <w:bidi w:val="0"/>
              <w:spacing w:before="0" w:after="283"/>
              <w:jc w:val="left"/>
              <w:rPr/>
            </w:pPr>
            <w:r>
              <w:rPr/>
              <w:t> </w:t>
            </w:r>
          </w:p>
        </w:tc>
        <w:tc>
          <w:tcPr>
            <w:tcW w:w="2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391" w:type="dxa"/>
            <w:tcBorders/>
            <w:shd w:fill="CFF2FA"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2FA"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4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39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Share-based compensation is accounted for in accordance with the provisions of ASC 718, </w:t>
      </w:r>
      <w:r>
        <w:rPr>
          <w:rFonts w:ascii="Times New Roman" w:hAnsi="Times New Roman"/>
          <w:i/>
          <w:color w:val="000000"/>
          <w:sz w:val="20"/>
        </w:rPr>
        <w:t>Compensation-Stock Compensation</w:t>
      </w:r>
      <w:r>
        <w:rPr>
          <w:rFonts w:ascii="Times New Roman" w:hAnsi="Times New Roman"/>
          <w:color w:val="000000"/>
          <w:sz w:val="20"/>
        </w:rPr>
        <w:t xml:space="preserve">. The estimated fair value of options granted is determined as of the date of grant using the Black-Scholes option pricing model. The resulting fair value is recognized ratably over the requisite service period, which is generally the vesting period of the awards.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sets forth the weighted average assumptions utilized in the Black-Scholes option pricing model to calculate the fair value of the underlying common stock for the years ended December 31, 2023, 2022 and 2021.</w:t>
      </w:r>
    </w:p>
    <w:tbl>
      <w:tblPr>
        <w:tblW w:w="6178" w:type="dxa"/>
        <w:jc w:val="left"/>
        <w:tblInd w:w="0" w:type="dxa"/>
        <w:tblLayout w:type="fixed"/>
        <w:tblCellMar>
          <w:top w:w="28" w:type="dxa"/>
          <w:left w:w="28" w:type="dxa"/>
          <w:bottom w:w="28" w:type="dxa"/>
          <w:right w:w="28" w:type="dxa"/>
        </w:tblCellMar>
      </w:tblPr>
      <w:tblGrid>
        <w:gridCol w:w="2626"/>
        <w:gridCol w:w="146"/>
        <w:gridCol w:w="146"/>
        <w:gridCol w:w="571"/>
        <w:gridCol w:w="271"/>
        <w:gridCol w:w="146"/>
        <w:gridCol w:w="146"/>
        <w:gridCol w:w="571"/>
        <w:gridCol w:w="271"/>
        <w:gridCol w:w="146"/>
        <w:gridCol w:w="146"/>
        <w:gridCol w:w="676"/>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16"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(in years): In the years ended December 31, 2023 and 2022, the Company used historical data to calculate the expected term. In the year ended December 31, 2021, the Company utilized the simplified method as prescribed by ASC 718, as the Company did not have sufficient historical exercise and post-vesting termination data to provide a reasonable basis upon which to estimate the expected term of stock options granted to employees.</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The risk-free interest rate is based on the yields of U.S. Treasury securities with maturities similar to the expected time to a possible liquidity event.</w:t>
      </w:r>
    </w:p>
    <w:p>
      <w:pPr>
        <w:pStyle w:val="TextBody"/>
        <w:bidi w:val="0"/>
        <w:spacing w:before="24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has not paid and does not anticipate paying any dividends in the foreseeable future. </w:t>
      </w:r>
    </w:p>
    <w:p>
      <w:pPr>
        <w:pStyle w:val="TextBody"/>
        <w:bidi w:val="0"/>
        <w:spacing w:before="240" w:after="283"/>
        <w:jc w:val="left"/>
        <w:rPr>
          <w:rFonts w:ascii="Times New Roman" w:hAnsi="Times New Roman"/>
          <w:sz w:val="20"/>
        </w:rPr>
      </w:pPr>
      <w:r>
        <w:rPr>
          <w:rFonts w:ascii="Times New Roman" w:hAnsi="Times New Roman"/>
          <w:i/>
          <w:color w:val="000000"/>
          <w:sz w:val="20"/>
        </w:rPr>
        <w:t>Expected stock price volatility</w:t>
      </w:r>
      <w:r>
        <w:rPr>
          <w:rFonts w:ascii="Times New Roman" w:hAnsi="Times New Roman"/>
          <w:color w:val="000000"/>
          <w:sz w:val="20"/>
        </w:rPr>
        <w:t xml:space="preserve">: The Company calculates expected volatility based on the historical volatility of its common stock.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Forfeitures: </w:t>
      </w:r>
      <w:r>
        <w:rPr>
          <w:rFonts w:ascii="Times New Roman" w:hAnsi="Times New Roman"/>
          <w:color w:val="000000"/>
          <w:sz w:val="20"/>
        </w:rPr>
        <w:t xml:space="preserve">The Company records forfeitures as they occur.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activity related to stock options during the year ended December 31, 2023:</w:t>
      </w:r>
    </w:p>
    <w:tbl>
      <w:tblPr>
        <w:tblW w:w="6762" w:type="dxa"/>
        <w:jc w:val="left"/>
        <w:tblInd w:w="0" w:type="dxa"/>
        <w:tblLayout w:type="fixed"/>
        <w:tblCellMar>
          <w:top w:w="28" w:type="dxa"/>
          <w:left w:w="28" w:type="dxa"/>
          <w:bottom w:w="28" w:type="dxa"/>
          <w:right w:w="28" w:type="dxa"/>
        </w:tblCellMar>
      </w:tblPr>
      <w:tblGrid>
        <w:gridCol w:w="3601"/>
        <w:gridCol w:w="146"/>
        <w:gridCol w:w="146"/>
        <w:gridCol w:w="931"/>
        <w:gridCol w:w="166"/>
        <w:gridCol w:w="146"/>
        <w:gridCol w:w="415"/>
        <w:gridCol w:w="920"/>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291" w:type="dxa"/>
            <w:tcBorders/>
            <w:shd w:fill="FFFFFF" w:val="clear"/>
            <w:vAlign w:val="center"/>
          </w:tcPr>
          <w:p>
            <w:pPr>
              <w:pStyle w:val="TableContents"/>
              <w:bidi w:val="0"/>
              <w:spacing w:before="0" w:after="283"/>
              <w:jc w:val="center"/>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291" w:type="dxa"/>
            <w:tcBorders/>
            <w:shd w:fill="FFFFFF" w:val="clear"/>
            <w:vAlign w:val="center"/>
          </w:tcPr>
          <w:p>
            <w:pPr>
              <w:pStyle w:val="TableContents"/>
              <w:bidi w:val="0"/>
              <w:spacing w:before="0" w:after="283"/>
              <w:jc w:val="center"/>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6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6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6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91" w:type="dxa"/>
            <w:tcBorders/>
            <w:shd w:fill="FFFFFF" w:val="cle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91" w:type="dxa"/>
            <w:tcBorders/>
            <w:shd w:fill="CFF0FC" w:val="clear"/>
            <w:vAlign w:val="center"/>
          </w:tcPr>
          <w:p>
            <w:pPr>
              <w:pStyle w:val="TableContents"/>
              <w:bidi w:val="0"/>
              <w:spacing w:before="0" w:after="283"/>
              <w:jc w:val="left"/>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91" w:type="dxa"/>
            <w:tcBorders/>
            <w:shd w:fill="CFF0FC" w:val="clear"/>
            <w:vAlign w:val="center"/>
          </w:tcPr>
          <w:p>
            <w:pPr>
              <w:pStyle w:val="TableContents"/>
              <w:bidi w:val="0"/>
              <w:spacing w:before="0" w:after="283"/>
              <w:jc w:val="left"/>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provides additional information about the Company’s stock options that were outstanding and exercisable at December 31, 2023 (aggregate intrinsic values in thousands):</w:t>
      </w:r>
    </w:p>
    <w:tbl>
      <w:tblPr>
        <w:tblW w:w="10846" w:type="dxa"/>
        <w:jc w:val="left"/>
        <w:tblInd w:w="0" w:type="dxa"/>
        <w:tblLayout w:type="fixed"/>
        <w:tblCellMar>
          <w:top w:w="28" w:type="dxa"/>
          <w:left w:w="28" w:type="dxa"/>
          <w:bottom w:w="28" w:type="dxa"/>
          <w:right w:w="28" w:type="dxa"/>
        </w:tblCellMar>
      </w:tblPr>
      <w:tblGrid>
        <w:gridCol w:w="1171"/>
        <w:gridCol w:w="146"/>
        <w:gridCol w:w="151"/>
        <w:gridCol w:w="855"/>
        <w:gridCol w:w="146"/>
        <w:gridCol w:w="146"/>
        <w:gridCol w:w="252"/>
        <w:gridCol w:w="544"/>
        <w:gridCol w:w="146"/>
        <w:gridCol w:w="146"/>
        <w:gridCol w:w="298"/>
        <w:gridCol w:w="573"/>
        <w:gridCol w:w="146"/>
        <w:gridCol w:w="146"/>
        <w:gridCol w:w="253"/>
        <w:gridCol w:w="738"/>
        <w:gridCol w:w="146"/>
        <w:gridCol w:w="146"/>
        <w:gridCol w:w="146"/>
        <w:gridCol w:w="826"/>
        <w:gridCol w:w="146"/>
        <w:gridCol w:w="146"/>
        <w:gridCol w:w="252"/>
        <w:gridCol w:w="544"/>
        <w:gridCol w:w="146"/>
        <w:gridCol w:w="146"/>
        <w:gridCol w:w="354"/>
        <w:gridCol w:w="517"/>
        <w:gridCol w:w="146"/>
        <w:gridCol w:w="146"/>
        <w:gridCol w:w="253"/>
        <w:gridCol w:w="738"/>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r>
          </w:p>
        </w:tc>
        <w:tc>
          <w:tcPr>
            <w:tcW w:w="19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Average</w:t>
            </w:r>
          </w:p>
        </w:tc>
        <w:tc>
          <w:tcPr>
            <w:tcW w:w="19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Aggregate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Aggregate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Remaining</w:t>
            </w:r>
          </w:p>
        </w:tc>
        <w:tc>
          <w:tcPr>
            <w:tcW w:w="19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Exercise</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Intrinsic</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Intrinsic</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Contractual</w:t>
            </w:r>
          </w:p>
        </w:tc>
        <w:tc>
          <w:tcPr>
            <w:tcW w:w="191" w:type="dxa"/>
            <w:tcBorders/>
            <w:shd w:fill="FFFFFF" w:val="cle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$0.00</w:t>
            </w:r>
            <w:r>
              <w:rPr>
                <w:rFonts w:ascii="Times New Roman" w:hAnsi="Times New Roman"/>
                <w:color w:val="000000"/>
                <w:sz w:val="20"/>
              </w:rPr>
              <w:t> </w:t>
            </w:r>
            <w:r>
              <w:rPr>
                <w:rFonts w:ascii="Times New Roman" w:hAnsi="Times New Roman"/>
                <w:color w:val="000000"/>
                <w:sz w:val="18"/>
              </w:rPr>
              <w:t>- $2.99</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6,879,914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9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$3.00</w:t>
            </w:r>
            <w:r>
              <w:rPr>
                <w:rFonts w:ascii="Times New Roman" w:hAnsi="Times New Roman"/>
                <w:color w:val="000000"/>
                <w:sz w:val="20"/>
              </w:rPr>
              <w:t> </w:t>
            </w:r>
            <w:r>
              <w:rPr>
                <w:rFonts w:ascii="Times New Roman" w:hAnsi="Times New Roman"/>
                <w:color w:val="000000"/>
                <w:sz w:val="18"/>
              </w:rPr>
              <w:t>- $6.99</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19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$7.00</w:t>
            </w:r>
            <w:r>
              <w:rPr>
                <w:rFonts w:ascii="Times New Roman" w:hAnsi="Times New Roman"/>
                <w:color w:val="000000"/>
                <w:sz w:val="20"/>
              </w:rPr>
              <w:t> </w:t>
            </w:r>
            <w:r>
              <w:rPr>
                <w:rFonts w:ascii="Times New Roman" w:hAnsi="Times New Roman"/>
                <w:color w:val="000000"/>
                <w:sz w:val="18"/>
              </w:rPr>
              <w:t>- $8.99</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9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$9.00</w:t>
            </w:r>
            <w:r>
              <w:rPr>
                <w:rFonts w:ascii="Times New Roman" w:hAnsi="Times New Roman"/>
                <w:color w:val="000000"/>
                <w:sz w:val="20"/>
              </w:rPr>
              <w:t> </w:t>
            </w:r>
            <w:r>
              <w:rPr>
                <w:rFonts w:ascii="Times New Roman" w:hAnsi="Times New Roman"/>
                <w:color w:val="000000"/>
                <w:sz w:val="18"/>
              </w:rPr>
              <w:t>- $20.84</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9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5,494,746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$4.1 million of unrecognized compensation expense related to unvested stock options, which is expected to be recognized over a weighted average period of 2.3 years. The weighted average fair values of all stock options granted for the years ended December 31, 2023, 2022 and 2021 was $0.98 per share, $1.55 per share and $3.24 per share, respectively. The intrinsic value is calculated as the difference between the fair market value and the exercise price per share of the stock options. The fair market value per share of common stock as of December 29, 2023 was $1.17, which was the closing sale price of the Company’s common stock on the Nasdaq Global Market on that date.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total share-based compensation expense related to RSUs is reflected in the statements of operations as follows (in thousands):</w:t>
      </w:r>
    </w:p>
    <w:tbl>
      <w:tblPr>
        <w:tblW w:w="5778"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91" w:type="dxa"/>
            <w:tcBorders/>
            <w:shd w:fill="FFFFFF" w:val="clear"/>
            <w:vAlign w:val="center"/>
          </w:tcPr>
          <w:p>
            <w:pPr>
              <w:pStyle w:val="TableContents"/>
              <w:bidi w:val="0"/>
              <w:spacing w:before="0" w:after="283"/>
              <w:jc w:val="left"/>
              <w:rPr/>
            </w:pPr>
            <w:r>
              <w:rPr/>
              <w:t> </w:t>
            </w:r>
          </w:p>
        </w:tc>
      </w:tr>
      <w:tr>
        <w:trPr/>
        <w:tc>
          <w:tcPr>
            <w:tcW w:w="23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righ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91" w:type="dxa"/>
            <w:tcBorders>
              <w:bottom w:val="single" w:sz="4" w:space="0" w:color="000000"/>
            </w:tcBorders>
            <w:shd w:fill="CFF2FA"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summarizes the activity related to RSUs during the year ended December 31, 2023:</w:t>
      </w:r>
    </w:p>
    <w:tbl>
      <w:tblPr>
        <w:tblW w:w="7887" w:type="dxa"/>
        <w:jc w:val="left"/>
        <w:tblInd w:w="0" w:type="dxa"/>
        <w:tblLayout w:type="fixed"/>
        <w:tblCellMar>
          <w:top w:w="28" w:type="dxa"/>
          <w:left w:w="28" w:type="dxa"/>
          <w:bottom w:w="28" w:type="dxa"/>
          <w:right w:w="28" w:type="dxa"/>
        </w:tblCellMar>
      </w:tblPr>
      <w:tblGrid>
        <w:gridCol w:w="4381"/>
        <w:gridCol w:w="146"/>
        <w:gridCol w:w="146"/>
        <w:gridCol w:w="931"/>
        <w:gridCol w:w="166"/>
        <w:gridCol w:w="146"/>
        <w:gridCol w:w="523"/>
        <w:gridCol w:w="1157"/>
        <w:gridCol w:w="2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3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3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3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$1.3 million of unrecognized compensation expense related to the RSUs, which amount is expected to be recognized over a weighted average period of 1.5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2016, the Company’s board of directors adopted and approved the Clearside Biomedical, Inc. 2016 Employee Stock Purchase Plan (the “2016 ESPP”) which became effective on June 1, 2016. The 2016 ESPP permits employees to purchase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common stock through payroll deductions up to 15% of their earnings. The number of shares reserved for issuance under the 2016 ESPP will automatically increase on January 1 of each year,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2024. The number of shares of common stock available for issuance under the 2016 ESPP as of December 31, 2023 was 348,782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2023, 2022 and 2021, the Company issued 68,109, 66,919 and 65,481 shares, respectively, of common stock purchased under the 2016 ESPP.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share-based compensation expense recognized for the 2016 ESPP is reflected in the statements of operations and comprehensive loss as follows (in thousands): </w:t>
      </w:r>
    </w:p>
    <w:tbl>
      <w:tblPr>
        <w:tblW w:w="5013" w:type="dxa"/>
        <w:jc w:val="left"/>
        <w:tblInd w:w="0" w:type="dxa"/>
        <w:tblLayout w:type="fixed"/>
        <w:tblCellMar>
          <w:top w:w="28" w:type="dxa"/>
          <w:left w:w="28" w:type="dxa"/>
          <w:bottom w:w="28" w:type="dxa"/>
          <w:right w:w="28" w:type="dxa"/>
        </w:tblCellMar>
      </w:tblPr>
      <w:tblGrid>
        <w:gridCol w:w="2311"/>
        <w:gridCol w:w="146"/>
        <w:gridCol w:w="211"/>
        <w:gridCol w:w="316"/>
        <w:gridCol w:w="146"/>
        <w:gridCol w:w="146"/>
        <w:gridCol w:w="211"/>
        <w:gridCol w:w="316"/>
        <w:gridCol w:w="146"/>
        <w:gridCol w:w="146"/>
        <w:gridCol w:w="211"/>
        <w:gridCol w:w="31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FFFFFF" w:val="clear"/>
            <w:vAlign w:val="center"/>
          </w:tcPr>
          <w:p>
            <w:pPr>
              <w:pStyle w:val="TableContents"/>
              <w:bidi w:val="0"/>
              <w:spacing w:before="0" w:after="283"/>
              <w:jc w:val="left"/>
              <w:rPr/>
            </w:pPr>
            <w:r>
              <w:rPr/>
              <w:t> </w:t>
            </w:r>
          </w:p>
        </w:tc>
      </w:tr>
      <w:tr>
        <w:trPr/>
        <w:tc>
          <w:tcPr>
            <w:tcW w:w="231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righ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CFF2FA"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Deferred income taxes reflect the net tax effects of temporary differences between the carrying amounts of assets and liabilities for financial reporting purposes and the amounts used for income tax purposes. Significant components of the Company’s net deferred income tax assets consist of the following (in thousands): </w:t>
      </w:r>
    </w:p>
    <w:tbl>
      <w:tblPr>
        <w:tblW w:w="8328" w:type="dxa"/>
        <w:jc w:val="left"/>
        <w:tblInd w:w="0" w:type="dxa"/>
        <w:tblLayout w:type="fixed"/>
        <w:tblCellMar>
          <w:top w:w="28" w:type="dxa"/>
          <w:left w:w="28" w:type="dxa"/>
          <w:bottom w:w="28" w:type="dxa"/>
          <w:right w:w="28" w:type="dxa"/>
        </w:tblCellMar>
      </w:tblPr>
      <w:tblGrid>
        <w:gridCol w:w="4206"/>
        <w:gridCol w:w="146"/>
        <w:gridCol w:w="211"/>
        <w:gridCol w:w="736"/>
        <w:gridCol w:w="166"/>
        <w:gridCol w:w="146"/>
        <w:gridCol w:w="211"/>
        <w:gridCol w:w="736"/>
        <w:gridCol w:w="166"/>
        <w:gridCol w:w="146"/>
        <w:gridCol w:w="211"/>
        <w:gridCol w:w="736"/>
        <w:gridCol w:w="511"/>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2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asset (liability):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Non-deductible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differences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purchase and sale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deferred tax asset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A reconciliation of the statutory tax rates and the effective tax rates is as follows: </w:t>
      </w:r>
    </w:p>
    <w:tbl>
      <w:tblPr>
        <w:tblW w:w="7133" w:type="dxa"/>
        <w:jc w:val="left"/>
        <w:tblInd w:w="0" w:type="dxa"/>
        <w:tblLayout w:type="fixed"/>
        <w:tblCellMar>
          <w:top w:w="28" w:type="dxa"/>
          <w:left w:w="28" w:type="dxa"/>
          <w:bottom w:w="28" w:type="dxa"/>
          <w:right w:w="28" w:type="dxa"/>
        </w:tblCellMar>
      </w:tblPr>
      <w:tblGrid>
        <w:gridCol w:w="3226"/>
        <w:gridCol w:w="146"/>
        <w:gridCol w:w="146"/>
        <w:gridCol w:w="631"/>
        <w:gridCol w:w="271"/>
        <w:gridCol w:w="146"/>
        <w:gridCol w:w="146"/>
        <w:gridCol w:w="631"/>
        <w:gridCol w:w="271"/>
        <w:gridCol w:w="146"/>
        <w:gridCol w:w="146"/>
        <w:gridCol w:w="736"/>
        <w:gridCol w:w="4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91" w:type="dxa"/>
            <w:tcBorders/>
            <w:shd w:fill="FFFFFF" w:val="cle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(253.97</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847.82</w:t>
            </w:r>
          </w:p>
        </w:tc>
        <w:tc>
          <w:tcPr>
            <w:tcW w:w="4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 740-10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prior year tax provision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6" w:type="dxa"/>
            <w:tcBorders/>
            <w:shd w:fill="FFFFFF" w:val="clear"/>
            <w:vAlign w:val="center"/>
          </w:tcPr>
          <w:p>
            <w:pPr>
              <w:pStyle w:val="TableContents"/>
              <w:bidi w:val="0"/>
              <w:spacing w:before="0" w:after="283"/>
              <w:ind w:left="300" w:right="0" w:firstLine="3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Company had a valuation allowance of $84.0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the Company had income tax NOL carryforwards for federal and state purposes of $225.9 million and $89.3 million, respectively. The Company has recorded a deferred tax asset for both federal and state NOL carryforwards of $47.4 million and $5.6 million, respectively. If not utilized, the federal NOL carryforwards will begin to expire beginning in 2034, and the state NOL carryforwards will begin to expire at various dates beginning in 2027. Additionally, under the 2017 Tax Cuts and Jobs Act, federal net operating losses incurred in 2018 and beyond may be carried forward indefinitely. However, the deductibility of such federal net operating losses is limited beginning in 2021. Certain states have also adopted the indefinite carryforward period beginning with the 2018 tax year, but state conformity varies state by state.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is a roll forward of the Company’s uncertain tax positions (in thousands):</w:t>
      </w:r>
    </w:p>
    <w:tbl>
      <w:tblPr>
        <w:tblW w:w="7469" w:type="dxa"/>
        <w:jc w:val="left"/>
        <w:tblInd w:w="0" w:type="dxa"/>
        <w:tblLayout w:type="fixed"/>
        <w:tblCellMar>
          <w:top w:w="28" w:type="dxa"/>
          <w:left w:w="28" w:type="dxa"/>
          <w:bottom w:w="28" w:type="dxa"/>
          <w:right w:w="28" w:type="dxa"/>
        </w:tblCellMar>
      </w:tblPr>
      <w:tblGrid>
        <w:gridCol w:w="5176"/>
        <w:gridCol w:w="146"/>
        <w:gridCol w:w="211"/>
        <w:gridCol w:w="571"/>
        <w:gridCol w:w="146"/>
        <w:gridCol w:w="146"/>
        <w:gridCol w:w="211"/>
        <w:gridCol w:w="571"/>
        <w:gridCol w:w="2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291" w:type="dxa"/>
            <w:tcBorders/>
            <w:shd w:fill="FFFFFF" w:val="cle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of uncertain tax positions at the beginning of the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291"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 tax positions in prior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 settlements with taxing authorities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of uncertain tax positions at the end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there was $7.5 million in each period of unrecognized tax benefit that if recognized would be in the form of a net operating loss carryforward, which is expected to require a full valuation allowance based on present circumstances. The Company reversed $48,000 of previously recorded unrecognized tax expenses for the year 2021. The Company recognizes accrued interest related to unrecognized tax expenses and penalties as income tax expense. No significant amounts of interest or penalties have been recorded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Ownership changes, as defined by Section 382 of the Internal Revenue Code of 1986, as amended (the “Code”), may limit the amount of net operating losses that a company may utilize to offset future taxable income and taxes payable. In general, if the Company experiences a greater than 50% aggregate change in ownership over a 3-year period (a Section 382 ownership change), utilization of the Company’s pre-change NOL carryforwards may be subject to limitation under the Code. The annual limitation generally is determined by multiplying the value of the Company’s stock at the time of such ownership change (subject to certain adjustments) by the applicable long-term tax-exempt rate for the month in which the ownership change occurred. Such limitation may result in expiration of a portion of the NOL carryforwards before utilization. The Company has completed an owner shift analysis to determine the dates in which the Company may have experienced a Section 382 ownership change, and determined that the Company experienced ownership changes for Section 382 purposes in January 2012, December 2013, and July 2016. Further, the Company has determined that $38,000 and $2,000 of its deferred tax asset related to Federal NOL and Federal R&amp;D Credit, respectively, will expire due to Section 382.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NOL DTA has a full valuation allowance as it is deemed that it is more likely than not to be utilized. The Company will continue to monitor equity movement and its impact on the utilization of the NOLs and credits. The Company’s ability to use the remaining NOL carryforwards may be further limited if the Company experiences an additional Section 382 ownership change as a result of future changes in its stock ownership.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taxation in the United States and certain state jurisdictions. As of December 31, 2023, the Company’s tax returns for 2020, 2021 and 2022 are subject to full examination by the tax authorities. As of December 31, 2023, the Company is generally no longer subject to state or local examinations by tax authorities for years before 2020, except to the extent of NOLs generated in prior years claimed on a tax return.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 Commitment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its facilities and some of its equipment under noncancelable operating lease arrangements that expire at various dates through 2026. In November 2022, the Company singed an amended office lease agreement and decreased the square footage to approximately 14,000 square feet. The amended office lease agreement is for a four-year term with a renewal option for an additional thirty-eight months. Rental payments are $30,437 per month subject to an increase of 3% per year. Operating lease cost under this lease and the amendment is recognized on a straight-line basis over the term of the lease. In addition, the office lease agreement requires payment of the pro-rata share of the annual operating expenses associated with the premises.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operating leases included on the balance sheet are as follows (in thousands):</w:t>
      </w:r>
    </w:p>
    <w:tbl>
      <w:tblPr>
        <w:tblW w:w="5933" w:type="dxa"/>
        <w:jc w:val="left"/>
        <w:tblInd w:w="0" w:type="dxa"/>
        <w:tblLayout w:type="fixed"/>
        <w:tblCellMar>
          <w:top w:w="28" w:type="dxa"/>
          <w:left w:w="28" w:type="dxa"/>
          <w:bottom w:w="28" w:type="dxa"/>
          <w:right w:w="28" w:type="dxa"/>
        </w:tblCellMar>
      </w:tblPr>
      <w:tblGrid>
        <w:gridCol w:w="3891"/>
        <w:gridCol w:w="146"/>
        <w:gridCol w:w="351"/>
        <w:gridCol w:w="954"/>
        <w:gridCol w:w="59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8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8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is not reasonably certain if the Alpharetta, Georgia lease will be renewed. The present value of the lease payments is calculated using an incremental borrowing rate as the Company’s leases do not provide an implicit interest rate. At December 31, 2023, the Company’s incremental borrowing rate was 8.0% and the remaining lease term was 3.0 years. Cash payments included in operating activities on the consolidated statement of cash flows for operating lease liabilities were $362,000, $339,000 and $392,000 for the years ended December 31,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Minimum lease payments were as follows at December 31, 2023 (in thousands):</w:t>
      </w:r>
    </w:p>
    <w:tbl>
      <w:tblPr>
        <w:tblW w:w="4395" w:type="dxa"/>
        <w:jc w:val="left"/>
        <w:tblInd w:w="0" w:type="dxa"/>
        <w:tblLayout w:type="fixed"/>
        <w:tblCellMar>
          <w:top w:w="28" w:type="dxa"/>
          <w:left w:w="28" w:type="dxa"/>
          <w:bottom w:w="28" w:type="dxa"/>
          <w:right w:w="28" w:type="dxa"/>
        </w:tblCellMar>
      </w:tblPr>
      <w:tblGrid>
        <w:gridCol w:w="2956"/>
        <w:gridCol w:w="146"/>
        <w:gridCol w:w="211"/>
        <w:gridCol w:w="571"/>
        <w:gridCol w:w="5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5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5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Equipment leases with an initial term of 12 months or less are not recorded with operating lease liabilities. The Company recognizes expense for these leases on a straight-line basis over the lease term. The equipment leases were deemed to be immaterial.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cost was $339,000, $262,000 and $247,000 for the years ended December 31, 2023, 2022 and 2021. Variable lease cost was $19,000, $87,000 and $95,000 for the years ended December 31, 2023, 2022 and 2021. Short-term lease cost was $93,000, $86,000 and $12,000 for the years ended December 31, 2023, 2022 and 2021,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Georgia Tech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Footnote 1, the Company entered into a fourth amendment to the Georgia Tech License Agreement pursuant to which the parties agreed to revised Maintenance Fee payments. The Company paid the Maintenance Fee for 2023 in February 2024. The remaining annual Maintenance Fee payments are due on October 1st of each year from 2024 through 2028, as show in the table below.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annual Maintenance Fee will be paid as follows (in thousands):</w:t>
      </w:r>
    </w:p>
    <w:tbl>
      <w:tblPr>
        <w:tblW w:w="3310" w:type="dxa"/>
        <w:jc w:val="left"/>
        <w:tblInd w:w="0" w:type="dxa"/>
        <w:tblLayout w:type="fixed"/>
        <w:tblCellMar>
          <w:top w:w="28" w:type="dxa"/>
          <w:left w:w="28" w:type="dxa"/>
          <w:bottom w:w="28" w:type="dxa"/>
          <w:right w:w="28" w:type="dxa"/>
        </w:tblCellMar>
      </w:tblPr>
      <w:tblGrid>
        <w:gridCol w:w="2191"/>
        <w:gridCol w:w="146"/>
        <w:gridCol w:w="211"/>
        <w:gridCol w:w="571"/>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 December 31,</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CFF0FC"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vAlign w:val="center"/>
          </w:tcPr>
          <w:p>
            <w:pPr>
              <w:pStyle w:val="TableContents"/>
              <w:bidi w:val="0"/>
              <w:spacing w:before="0" w:after="283"/>
              <w:jc w:val="left"/>
              <w:rPr/>
            </w:pPr>
            <w:r>
              <w:rPr/>
              <w:t> </w:t>
            </w:r>
          </w:p>
        </w:tc>
      </w:tr>
      <w:tr>
        <w:trPr/>
        <w:tc>
          <w:tcPr>
            <w:tcW w:w="2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shd w:fill="CFF0FC"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FFFFFF" w:val="clear"/>
            <w:vAlign w:val="center"/>
          </w:tcPr>
          <w:p>
            <w:pPr>
              <w:pStyle w:val="TableContents"/>
              <w:bidi w:val="0"/>
              <w:spacing w:before="0" w:after="283"/>
              <w:jc w:val="left"/>
              <w:rPr/>
            </w:pPr>
            <w:r>
              <w:rPr/>
              <w:t> </w:t>
            </w:r>
          </w:p>
        </w:tc>
      </w:tr>
      <w:tr>
        <w:trPr/>
        <w:tc>
          <w:tcPr>
            <w:tcW w:w="2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License and Other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Bausch + Lomb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22, 2019, the Company entered into a License Agreement (as amended, the "Bausch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combination with the Device (“Other Products,” and together with XIPERE, the “Products”), subject to specified exceptions, in the United States and Canada (the “Territory”) for the treatment of ophthalmology indications, including non-infectious uveitis.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Bausch License Agreement, Bausch paid the Company an upfront payment of $5.0 million (the “Upfront Payment”)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responsible for all development expenses for XIPERE in the Territory until the Company's New Drug Application ("NDA") was approved by the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and any subsequent complete response letter related to the NDA. Following FDA approval of XIPERE, Bausch is responsible for all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refund provisions in the Bausch License Agreement, the Upfront Payment was included on the balance sheet as deferred revenue as of December 31, 2020. The refund provisions lapsed upon FDA approval of XIPERE and the $5.0 million was recognized as revenue in the fourth quarter of 2021.</w:t>
      </w:r>
    </w:p>
    <w:p>
      <w:pPr>
        <w:pStyle w:val="TextBody"/>
        <w:bidi w:val="0"/>
        <w:spacing w:before="360" w:after="283"/>
        <w:jc w:val="left"/>
        <w:rPr>
          <w:rFonts w:ascii="Times New Roman" w:hAnsi="Times New Roman"/>
          <w:sz w:val="20"/>
        </w:rPr>
      </w:pPr>
      <w:r>
        <w:rPr>
          <w:rFonts w:ascii="Times New Roman" w:hAnsi="Times New Roman"/>
          <w:i/>
          <w:color w:val="000000"/>
          <w:sz w:val="20"/>
        </w:rPr>
        <w:t>REGENXBIO, Inc</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in October 2019 and paid the Company an option fee equal to $2.0 million, less a credit of $0.5 million previously received under a technology access agreement. In addition, REGENXBIO has agreed to pay the Company up to an aggregate of $31.0 million in milestone payments upon the achievement of specified development milestones and up to an aggregate of $102.0 million in sales-based milestone payments, as well as mid-single digit royalties on net sales of products using the SCS Microinjector during the royalty term. In September 2020, the Company received $3.0 million in milestone payments under the Option. The Company's rights to these royalties and milestone payments have been sold pursuant to the terms and conditions of the Purchase and Sale Agreement described in Note 5 to the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Arctic Vision (Hong Kong)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2020, the Company entered into a License Agreement (the “Arctic Vision License Agreement”) with Arctic Vision (Hong Kong) Limited (“Arctic Vision”). Pursuant to the Arctic Vision License Agreement, the Company has granted an exclusive license to Arctic Vision to develop, distribute, promote, market and commercialize XIPERE, subject to specified exceptions in China, Hong Kong, Macau, Taiwan and South Korea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Arctic Vision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BioCryst Pharmaceuticals, Inc.</w:t>
      </w:r>
    </w:p>
    <w:p>
      <w:pPr>
        <w:pStyle w:val="TextBody"/>
        <w:bidi w:val="0"/>
        <w:spacing w:before="120" w:after="283"/>
        <w:jc w:val="both"/>
        <w:rPr>
          <w:rFonts w:ascii="Times New Roman" w:hAnsi="Times New Roman"/>
          <w:sz w:val="20"/>
        </w:rPr>
      </w:pPr>
      <w:r>
        <w:rPr>
          <w:rFonts w:ascii="Times New Roman" w:hAnsi="Times New Roman"/>
          <w:color w:val="000000"/>
          <w:sz w:val="20"/>
        </w:rPr>
        <w:t>On November 1, 2023, the Company</w:t>
      </w:r>
      <w:r>
        <w:rPr>
          <w:rFonts w:ascii="Times New Roman" w:hAnsi="Times New Roman"/>
          <w:b/>
          <w:i/>
          <w:color w:val="000000"/>
          <w:sz w:val="20"/>
        </w:rPr>
        <w:t>,</w:t>
      </w:r>
      <w:r>
        <w:rPr>
          <w:rFonts w:ascii="Times New Roman" w:hAnsi="Times New Roman"/>
          <w:color w:val="000000"/>
          <w:sz w:val="20"/>
        </w:rPr>
        <w:t xml:space="preserve">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 to the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BioCryst will be responsible for all development, regulatory and commercialization activities for avoralstat. The Company is responsible for supplying SCS Microinjectors to meet BioCryst’s reasonable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BioCryst License Agreement, unless earlier terminated, will expire (a) on a country-by-country basis upon the expiration of the royalty term in such country or (b) in its entirety upon the expiration of all payment obligations of BioCryst under the BioCryst License Agreement in all countries pursuant to clause (a). Each party has the right terminate the License Agreement (i) upon a material breach of the BioCryst License Agreement by the other party, subject to a specified cure period and specified exceptions, or (ii) if the other party encounters bankruptcy or insolvency. The Company may terminate the BioCryst License Agreement if BioCryst or any of its sublicensees (a “Sublicensee”) commences a legal action challenging the validity, enforceability or scope of any of the licensed patents, provided that with respect to any such action initiated by a Sublicensee (a “Sublicensee Action), the Company may terminate the BioCryst License Agreement if the Sublicensee Action is not terminated within a specified period of time following BioCryst’s receipt of written notice from the Company or if BioCryst does not terminate the applicable sublicense, in each case within a specified period of time. BioCryst may terminate the BioCryst License Agreement (i) immediately upon written notice to the Company if, after exercising commercially reasonable efforts, BioCryst determines in good faith that it is not advisable to continue development or commercialization of avoralstat as a result of a material safety issue and (ii) in its entirety or in part on a country-by-country basis, for any or no reason, upon prior written notice to the Company, provided that in the event of such a termination, BioCryst shall not, for a period of two years from the date of such a termination, initiate in the territory subject to the termination a Phase 3 clinical trial in which avoralstat is administered to the suprachoroidal space using a device other than the SCS Microinjector.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Emory and Georgia Tech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31, 2024 (the “Amendment Execution Date”), the Company and the Licensor, entered into the Amendment to the Company’s License Agreement with Licensor dated July 4, 2012 (as amended, the “License Agreement”), pursuant to which the Company received a worldwide exclusive license to specified patents relating to methods and devices for drug delivery using a microinjector.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parties agreed to reduce the Sublicense Percentage (as defined in the License Agreement) from a low double digit percentage to a high single digit percentage that the Company will pay the Licensor applicable to any fees or payments paid to the Company by any Sublicensee (as defined in the License Agreement) of the Licensed Patents and/or Licensed Technology (each as defined in the License Agreement), on or after July 1, 2023,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Sublicensee after July 1, 2023 but prior to January 1, 2025, the payment to Licensor of any such Sublicensee Percentage is due to Licensor by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parties agreed to a revised annual license maintenance fee due each year, or the Maintenance Fee, starting in 2023 through 2028, as follows: $250,000 for 2023 through 2025, $350,000 for 2026, $400,000 for 2027 and $500,000 for 2028. The Company paid the Maintenance Fee for 2023 in February 2024. The remaining annual Maintenance Fee payments are due on October 1st of each year.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$50,000, $13,000 and $200,000 of revenue from these agreements during the years ended December 31,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material financial instruments at December 31, 2023 and 2022, consisted primarily of cash and cash equivalents. The fair value of cash and cash equivalents, other current assets and accounts payable approximate their respective carrying values due to the short-term nature of these instruments and are classified as Level 1 in the fair value hierarchy. The fair value of liability related to the sales of future royalties approximates the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transfers between Levels 1, 2 and 3 during the years ended December 31, 2023 and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a member of the Company's Board of Directors took a position as Chief Executive Officer of a company that is a vendor of the Company. As of December 31, 2023, the Company has recorded $331,000 in accounts payable and $215,000 in accrued expense with this vendor in the consolidated balance sheets. For the year ended December 31, 2023, the Company has recorded $1.1 million of expense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Chair of the Board of Directors of BioCryst also serves on the Company’s Board of Directors. For the year ended December 31, 2023, there was $5.0 million related to the License Agreement recorded in license and other revenue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Net (Loss) Income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income per share is calculated by dividing the net (loss) income by the weighted average number of shares of common stock outstanding for the period, without consideration of the dilutive effect of potential common stock equivalents. Diluted net (loss) income per share gives effect to all dilutive potential shares of common stock outstanding during this period.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For periods in which the Company incurred net losses, common stock equivalents were excluded which included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tbl>
      <w:tblPr>
        <w:tblW w:w="7878" w:type="dxa"/>
        <w:jc w:val="left"/>
        <w:tblInd w:w="0" w:type="dxa"/>
        <w:tblLayout w:type="fixed"/>
        <w:tblCellMar>
          <w:top w:w="28" w:type="dxa"/>
          <w:left w:w="28" w:type="dxa"/>
          <w:bottom w:w="28" w:type="dxa"/>
          <w:right w:w="28" w:type="dxa"/>
        </w:tblCellMar>
      </w:tblPr>
      <w:tblGrid>
        <w:gridCol w:w="3076"/>
        <w:gridCol w:w="146"/>
        <w:gridCol w:w="211"/>
        <w:gridCol w:w="1036"/>
        <w:gridCol w:w="166"/>
        <w:gridCol w:w="146"/>
        <w:gridCol w:w="211"/>
        <w:gridCol w:w="1036"/>
        <w:gridCol w:w="166"/>
        <w:gridCol w:w="146"/>
        <w:gridCol w:w="211"/>
        <w:gridCol w:w="1036"/>
        <w:gridCol w:w="2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7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61,806,959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58,491,986</w:t>
            </w:r>
          </w:p>
        </w:tc>
        <w:tc>
          <w:tcPr>
            <w:tcW w:w="2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1,058,134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342,943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61,806,959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59,906,602</w:t>
            </w:r>
          </w:p>
        </w:tc>
        <w:tc>
          <w:tcPr>
            <w:tcW w:w="2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potential common stock equivalents that have been excluded from the computation of diluted net income (loss) per share for all periods presented because of their antidilutive effect consisted of the following:</w:t>
      </w:r>
    </w:p>
    <w:tbl>
      <w:tblPr>
        <w:tblW w:w="7033"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931"/>
        <w:gridCol w:w="146"/>
        <w:gridCol w:w="146"/>
        <w:gridCol w:w="146"/>
        <w:gridCol w:w="93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December 31,</w:t>
            </w:r>
          </w:p>
        </w:tc>
        <w:tc>
          <w:tcPr>
            <w:tcW w:w="19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7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4,704,194</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974,404</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5,708,394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rFonts w:ascii="Times New Roman" w:hAnsi="Times New Roman"/>
          <w:sz w:val="20"/>
        </w:rPr>
      </w:pPr>
      <w:bookmarkStart w:id="24" w:name="item_9_changes_in_and"/>
      <w:bookmarkEnd w:id="24"/>
      <w:r>
        <w:rPr>
          <w:rFonts w:ascii="Times New Roman" w:hAnsi="Times New Roman"/>
          <w:b/>
          <w:color w:val="000000"/>
          <w:sz w:val="20"/>
        </w:rPr>
        <w:t>ITEM 9. CHANGES IN AND</w:t>
      </w:r>
      <w:r>
        <w:rPr>
          <w:rFonts w:ascii="Times New Roman" w:hAnsi="Times New Roman"/>
          <w:color w:val="000000"/>
          <w:sz w:val="20"/>
        </w:rPr>
        <w:t xml:space="preserve"> </w:t>
      </w:r>
      <w:r>
        <w:rPr>
          <w:rFonts w:ascii="Times New Roman" w:hAnsi="Times New Roman"/>
          <w:b/>
          <w:color w:val="000000"/>
          <w:sz w:val="20"/>
        </w:rPr>
        <w:t>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5" w:name="item_9a_controls_and_procedures"/>
      <w:bookmarkEnd w:id="25"/>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of December 31, 2023. Based on that evaluation, our Chief Executive Officer and Chief Financial Officer concluded that our disclosure controls and procedures were effective as of the end of the period covered by this report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December 31, 2023 that has materially affected, or is reasonably likely to materially affect, our internal control over financial reporting.</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Management’s Report on Internal Control over Financial Reporting and Attestation Report of the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26" w:name="item_9b_other_information"/>
      <w:bookmarkEnd w:id="26"/>
      <w:r>
        <w:rPr>
          <w:rFonts w:ascii="Times New Roman" w:hAnsi="Times New Roman"/>
          <w:color w:val="000000"/>
          <w:sz w:val="20"/>
        </w:rPr>
        <w:t xml:space="preserve">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2023, our internal control over financial reporting was effective.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does not include an attestation report of our registered public accounting firm regarding internal control over financial reporting as required by Section 404(c) of the Sarbanes Oxley Act of 2002. Because we qualify as a non-accelerated filer and a smaller reporting company under SEC rules, management's report was not subject to attestation by our independent registered public accounting firm.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Not applicable.</w:t>
      </w:r>
    </w:p>
    <w:p>
      <w:pPr>
        <w:pStyle w:val="TextBody"/>
        <w:bidi w:val="0"/>
        <w:spacing w:before="360" w:after="283"/>
        <w:jc w:val="left"/>
        <w:rPr>
          <w:rFonts w:ascii="Times New Roman" w:hAnsi="Times New Roman"/>
          <w:b/>
          <w:color w:val="333333"/>
          <w:sz w:val="20"/>
        </w:rPr>
      </w:pPr>
      <w:bookmarkStart w:id="27" w:name="item_9c_disclosure_regarding_foreign_jur"/>
      <w:bookmarkEnd w:id="27"/>
      <w:r>
        <w:rPr>
          <w:rFonts w:ascii="Times New Roman" w:hAnsi="Times New Roman"/>
          <w:b/>
          <w:color w:val="333333"/>
          <w:sz w:val="20"/>
        </w:rPr>
        <w:t>ITEM 9C. DISCLOSURE REGARDING FOREIGN JURISDICTIONS THAT PREVENT INSPECTIONS</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file a definitive Proxy Statement for our 2024 Annual Meeting of Stockholders (the “2024 Proxy Statement”) with the SEC, pursuant to Regulation 14A, not later than 120 days after the end of our fiscal year. Accordingly, certain information required by Part III has been omitted under General Instruction G(3) to Form 10-K. Only those sections of the 2024 Proxy Statement that specifically address the items set forth herein are incorporated by reference.</w:t>
      </w:r>
    </w:p>
    <w:p>
      <w:pPr>
        <w:pStyle w:val="TextBody"/>
        <w:bidi w:val="0"/>
        <w:spacing w:before="360" w:after="283"/>
        <w:jc w:val="left"/>
        <w:rPr>
          <w:rFonts w:ascii="Times New Roman" w:hAnsi="Times New Roman"/>
          <w:b/>
          <w:color w:val="000000"/>
          <w:sz w:val="20"/>
        </w:rPr>
      </w:pPr>
      <w:bookmarkStart w:id="28" w:name="item_10_directors_exec_officers_corp_gov"/>
      <w:bookmarkEnd w:id="28"/>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hereby incorporated by reference to the 2024 Proxy Statement under the captions "Information Regarding the Board of Directors and Corporate Governance," "Election of Directors," and "Information About Our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(the “Code of Conduct”) applicable to all of our employees, executive officers and directors. The Code of Conduct is available on our website at www.clearsidebio.com. The Audit Committee is responsible for overseeing the Code of Conduct and must approve any waivers of the Code of Conduct for executive officers and directors. If we make any substantive amendments to the Code of Conduct or grant any waiver from a provision of the Code of Conduct to any executive officer or director, we will promptly disclose the amendment or waiver on our website.</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11 is hereby incorporated by reference to the sections of the 2024 Proxy Statement under the captions "Executive Compensation" and "Non-Employee Director Compensation."</w:t>
      </w:r>
    </w:p>
    <w:p>
      <w:pPr>
        <w:pStyle w:val="TextBody"/>
        <w:bidi w:val="0"/>
        <w:spacing w:before="36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12 is hereby incorporated by reference to the sections of the 2024 Proxy Statement under the captions "Security Ownership of Certain Beneficial Owners and Management" and "Securities Authorized for Issuance under Equity Compensation Plans."</w:t>
      </w:r>
    </w:p>
    <w:p>
      <w:pPr>
        <w:pStyle w:val="TextBody"/>
        <w:bidi w:val="0"/>
        <w:spacing w:before="360" w:after="283"/>
        <w:jc w:val="left"/>
        <w:rPr>
          <w:rFonts w:ascii="Times New Roman" w:hAnsi="Times New Roman"/>
          <w:b/>
          <w:color w:val="000000"/>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13 is hereby incorporated by reference to the sections of the 2024 Proxy Statement under the captions "Transactions with Related Persons" and "Independence of the Board of Directors."</w:t>
      </w:r>
    </w:p>
    <w:p>
      <w:pPr>
        <w:pStyle w:val="TextBody"/>
        <w:bidi w:val="0"/>
        <w:spacing w:before="360" w:after="283"/>
        <w:jc w:val="left"/>
        <w:rPr>
          <w:rFonts w:ascii="Times New Roman" w:hAnsi="Times New Roman"/>
          <w:b/>
          <w:color w:val="000000"/>
          <w:sz w:val="20"/>
        </w:rPr>
      </w:pPr>
      <w:bookmarkStart w:id="32" w:name="item_14_principal_accountant_fees_servic"/>
      <w:bookmarkEnd w:id="32"/>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14 is hereby incorporated by reference to the sections of the 2024 Proxy Statement under the caption "Ratification of Selection of Independent Auditors."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spacing w:before="320" w:after="283"/>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spacing w:before="200" w:after="283"/>
        <w:jc w:val="left"/>
        <w:rPr>
          <w:rFonts w:ascii="Times New Roman" w:hAnsi="Times New Roman"/>
          <w:b/>
          <w:color w:val="000000"/>
          <w:sz w:val="20"/>
        </w:rPr>
      </w:pPr>
      <w:bookmarkStart w:id="34" w:name="item_15_exhibits_financial_stmt_schedule"/>
      <w:bookmarkEnd w:id="34"/>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 have filed the following documents as part of this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are included in Item 8. “Financial Statements and Supplementary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schedules are omitted as information required is inapplicable or the information is presented in the financial statements and the related notes.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46"/>
        <w:gridCol w:w="211"/>
        <w:gridCol w:w="146"/>
        <w:gridCol w:w="896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 of document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Certificate of Incorporation (incorporated herein by reference to Exhibit 3.1 to the Registrant’s Current Report on Form 8-K (File No. 001-37783) filed with the SEC on June 7,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9"/>
                  <w:u w:val="single"/>
                </w:rPr>
                <w:t>Certificate of Amendment to Amended and Restated Certificate of Incorporation (incorporated herein by reference to Exhibit 3.1 to the Registrant's Current Report on Form 8-K (File No. 001-37783) filed with the SEC on June 23, 2022).</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Amended and Restated Bylaws (incorporated herein by reference to Exhibit 3.2 to the Registrant’s Current Report on Form 8-K (File No. 001-37783) filed with the SEC on June 7,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Specimen stock certificate evidencing shares of Common Stock (incorporated herein by reference to Exhibit 4.1 to Amendment No. 1 to the Registrant’s Registration Statement on Form S-1 (File No. 333-208916) filed with the SEC on March 18,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Form of Warrant to Purchase Common Stock issued to lenders in September 2016 in connection with Amended and Restated Loan and Security Agreement (incorporated herein by reference to Exhibit 4.1 to the Registrant’s Current Report on Form 8-K (File No. 001-37783), filed with the Commission on October 4,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Form of Warrant to Purchase Common Stock issued to investors in February 2024 in connection with Securities Purchase Agreement (incorporated herein by reference to Exhibit 4.1 to the Registrant’s Current Report on Form 8-K (File No. 001-37783), filed with the Commission on February 8, 2024).</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18"/>
                  <w:u w:val="single"/>
                </w:rPr>
                <w:t>Description of Common Stock of Clearside Biomedical, Inc. (incorporated herein by reference to Exhibit 4.4 to the Registrant’s Annual Report on Form 10-K (File No. 001-37783), filed with the Commission on March 13, 2020).</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License Agreement, by and among the Registrant, Emory University and The Georgia Tech Research Corporation, dated as of July 4, 2012, as amended by the First Amendment to License Agreement, dated April 2, 2014 (incorporated herein by reference to Exhibit 10.1 to the Registrant’s Registration Statement on Form S-1 (File No. 333-208916), filed with the Commission on January 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2011 Stock Incentive Plan, as amended to date (incorporated herein by reference to Exhibit 10.3 to the Registrant’s Registration Statement on Form S-1 (File No. 333-208916), filed with the Commission on January 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Form of Incentive Stock Option Grant Notice and Incentive Stock Option Agreement under 2011 Stock Incentive Plan (incorporated herein by reference to Exhibit 10.4 to the Registrant’s Registration Statement on Form S-1 (File No. 333-208916), filed with the Commission on January 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Form of Nonqualified Stock Option Grant Notice and Nonqualified Stock Option Agreement under 2011 Stock Incentive Plan (incorporated herein by reference to Exhibit 10.5 to the Registrant’s Registration Statement on Form S-1 (File No. 333-208916), filed with the Commission on January 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2016 Equity Incentive Plan (incorporated herein by reference to Exhibit 4.7 to the Registrant’s Registration Statement on Form S-8 (File No. 333-212014), file with the Commission on June 14,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Form of Stock Option Grant Notice and Stock Option Agreement under 2016 Equity Incentive Plan (incorporated herein by reference to Exhibit 10.7 to Amendment No. 1 to the Registrant’s Registration Statement on Form S-1 (File No. 333-208916), filed with the Commission on March 18,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Form of Restricted Stock Unit Grant Notice and Restricted Stock Unit Award Agreement under 2016 Equity Incentive Plan (incorporated herein by reference to Exhibit 10.8 to Amendment No. 1 to the Registrant’s Registration Statement on Form S-1 (File No. 333-208916), filed with the Commission on March 18, 2016).</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526"/>
        <w:gridCol w:w="146"/>
        <w:gridCol w:w="137"/>
        <w:gridCol w:w="184"/>
        <w:gridCol w:w="109"/>
        <w:gridCol w:w="109"/>
        <w:gridCol w:w="8994"/>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4"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Form of Indemnification Agreement with non-employee directors (incorporated herein by reference to Exhibit 10.9 to the Registrant’s Registration Statement on Form S-1 (File No. 333-208916), filed with the Commission on January 8, 2016).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10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Form of 2016 Employee Stock Purchase Plan (incorporated herein by reference to Exhibit 10.12 to Amendment No. 1 to the Registrant’s Registration Statement on Form S-1 (File No. 333-208916), filed with the Commission on March 18, 2016).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10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Office Lease Agreement, dated November 21, 2016, by and between the Registrant and BRE/COH GA LLC (incorporated herein by reference to Exhibit 10.1 to the Registrant’s Current Report on Form 8-K (File No. 001-37783), filed with the Commission on November 23, 2016).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10.11</w:t>
            </w:r>
          </w:p>
        </w:tc>
        <w:tc>
          <w:tcPr>
            <w:tcW w:w="2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Second Amendment to License Agreement, by and among the Registrant, Emory University and The Georgia Tech Research Corporation, dated December 12, 2016 (incorporated herein by reference to Exhibit 10.21 to the Registrant’s Annual Report on Form 10-K (File No. 001-37783), filed with the Commission on March 16, 2017).</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8"/>
                  <w:u w:val="single"/>
                </w:rPr>
                <w:t>Amended and Restated Executive Employment Agreement, by and between Clearside Biomedical, Inc. and Charles A. Deignan, dated as of August 3, 2017 (incorporated herein by reference to Exhibit 10.2 to the Registrant’s Quarterly Report on Form 10-Q (File No. 001-37783), filed with the Commission on November 9, 2017).</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Fourth Amended and Restated Non-Employee Director Compensation Policy (incorporated by reference to Exhibit 10.1 to the Registrant's Quarterly Report on Form 10-Q (File No. 001-37783) filed with the Commission on August 12, 2022).</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8"/>
                  <w:u w:val="single"/>
                </w:rPr>
                <w:t>Supply Agreement, by and among the Registrant and Gerresheimer Regensburg GmbH, dated as of May 8, 2018 (incorporated herein by reference to Exhibit 10.1 to the Registrant’s Quarterly Report on Form 10-Q (File No. 001-37783), filed with the Commission on August 8, 2018).</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80"/>
                  <w:sz w:val="18"/>
                  <w:u w:val="single"/>
                </w:rPr>
                <w:t>Change in Control Equity Acceleration Plan, amending the Registrant’s 2016 Equity Incentive Plan (incorporated herein by reference to Exhibit 10.2 to the Registrant’s Quarterly Report on Form 10-Q (File No. 001-37783), filed with the Commission on August 8, 2018</w:t>
              </w:r>
            </w:hyperlink>
            <w:r>
              <w:rPr>
                <w:rFonts w:ascii="Times New Roman" w:hAnsi="Times New Roman"/>
                <w:color w:val="0000FF"/>
                <w:sz w:val="18"/>
                <w:u w:val="single"/>
              </w:rPr>
              <w:t>).</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10.16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8"/>
                  <w:u w:val="single"/>
                </w:rPr>
                <w:t>Third Amendment to License Agreement, by and among the Registrant, Emory University and The Georgia Tech Research Corporation, dated April 1, 2018 (incorporated herein by reference to Exhibit 10.1 to the Registrant’s Quarterly Report on Form 10-Q (File No. 001-37783), filed with the Commission on August 8, 2019).</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8"/>
                  <w:u w:val="single"/>
                </w:rPr>
                <w:t>License Agreement, by and between the Registrant and Bausch Health Ireland Limited, dated as of October 22, 2019 (incorporated herein by reference to Exhibit 10.26 to the Registrant’s Annual Report on Form 10-K (File No. 001-37783), filed with the Commission on March 13, 2020).</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8"/>
                  <w:u w:val="single"/>
                </w:rPr>
                <w:t>First Amendment to License Agreement, by and between the Registrant and Bausch Health Ireland Limited, dated as of April 27, 2020. (incorporated herein by reference to Exhibit 10.1 to the Registrant’s Quarterly Report on Form 10-Q (File No. 001-37783), filed with the Commission on August 10, 2020).</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10.19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8"/>
                  <w:u w:val="single"/>
                </w:rPr>
                <w:t>Letter Agreement, by and between the Registrant and George Lasezkay, dated April 16, 2019 (incorporated herein by reference to Exhibit 10.1 to the Registrant’s Current Report on Form 8-K (File No. 001-37783), filed with the Commission on April 17, 2019).</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10.20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8"/>
                  <w:u w:val="single"/>
                </w:rPr>
                <w:t>Amendment to Offer Letter Agreement, by and between the Registrant and George Lasezkay, dated as of August 6, 2019 (incorporated herein by reference to Exhibit 10.3 to the Registrant’s Quarterly Report on Form 10-Q (File No. 001-37783), filed with the Commission on August 8, 2019).</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w:t>
            </w:r>
            <w:r>
              <w:rPr>
                <w:rFonts w:ascii="Wingdings;serif" w:hAnsi="Wingdings;serif"/>
                <w:color w:val="000000"/>
                <w:sz w:val="18"/>
              </w:rPr>
              <w:t>w</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8"/>
                  <w:u w:val="single"/>
                </w:rPr>
                <w:t>Option and License Agreement by and between the Registrant and REGENXBIO Inc., dated as of August 29, 2019 (incorporated herein by reference to Exhibit 10.30 to the Registrant’s Annual Report on Form 10-K (File No. 001-37783), filed with the Commission on March 13, 2020).</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18"/>
                  <w:u w:val="single"/>
                </w:rPr>
                <w:t>License Agreement by and between the Registrant and Arctic Vision (Hong Kong) Limited, dated as of March 20, 2020 (incorporated herein by reference to Exhibit 10.2 to the Registrant’s Quarterly Report on Form 10-Q (File No. 001-37783), filed with the Commission on May 8, 2020).</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8"/>
                  <w:u w:val="single"/>
                </w:rPr>
                <w:t>Executive Employment Agreement, by and between the Registrant and Thomas Ciulla, dated as of June 24, 2019 (incorporated herein by reference to Exhibit 10.2 to the Registrant’s Quarterly Report on Form 10-Q (File No. 001-37783), filed with the Commission on August 10, 2020).</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8"/>
                  <w:u w:val="single"/>
                </w:rPr>
                <w:t>First Amendment to the License Agreement, by and between the Registrant and Arctic Vision (Hong Kong) Limited, dated as of August 15, 2021 (incorporated herein by reference to Exhibit 10.1 to the Registrant's Quarterly Report on Form-10 (File No. 001-37783), filed with the Commission on November 10, 2021.</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994"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8"/>
                  <w:u w:val="single"/>
                </w:rPr>
                <w:t>Second Amendment to the License Agreement, by and between the Registrant and Arctic Vision (Hong Kong) Limited, dated as of September 9, 2021 (incorporated herein by reference to Exhibit 10.2 to the Registrant's Quarterly Report on Form 10-Q (File No. 001-37783), filed with the Commission on November 10, 2021.</w:t>
              </w:r>
            </w:hyperlink>
          </w:p>
        </w:tc>
      </w:tr>
      <w:tr>
        <w:trPr/>
        <w:tc>
          <w:tcPr>
            <w:tcW w:w="10205"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593"/>
        <w:gridCol w:w="146"/>
        <w:gridCol w:w="402"/>
        <w:gridCol w:w="306"/>
        <w:gridCol w:w="8758"/>
      </w:tblGrid>
      <w:tr>
        <w:trPr/>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58" w:type="dxa"/>
            <w:tcBorders/>
            <w:vAlign w:val="center"/>
          </w:tcPr>
          <w:p>
            <w:pPr>
              <w:pStyle w:val="TableContents"/>
              <w:bidi w:val="0"/>
              <w:spacing w:before="0" w:after="283"/>
              <w:jc w:val="left"/>
              <w:rPr>
                <w:sz w:val="4"/>
                <w:szCs w:val="4"/>
              </w:rPr>
            </w:pPr>
            <w:r>
              <w:rPr>
                <w:sz w:val="4"/>
                <w:szCs w:val="4"/>
              </w:rPr>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8"/>
                  <w:u w:val="single"/>
                </w:rPr>
                <w:t>Second Amendment to the License Agreement, by and between the Registrant and Bausch + Lomb Ireland Limited (as assignee of Bausch Health Ireland Limited), dated as of September 27, 2021 (incorporated herein by reference to Exhibit 10.3 to the Registrant's Quarterly Report on Form 10-Q (File No. 001-37783), filed with the Commission on November 10, 2021.</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w:t>
            </w:r>
            <w:r>
              <w:rPr>
                <w:rFonts w:ascii="Wingdings;serif" w:hAnsi="Wingdings;serif"/>
                <w:color w:val="000000"/>
                <w:sz w:val="18"/>
              </w:rPr>
              <w:t>w</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8"/>
                  <w:u w:val="single"/>
                </w:rPr>
                <w:t>Purchase and Sale Agreement, by and among Clearside Royalty LLC, Healthcare Royalty Partners IV, L.P. and HCR Collateral Management, LLC (in its capacity as agent for Purchaser), dated as of August 8, 2022 (incorporated herein by reference to Exhibit 10.1 to the Registrant's Quarterly Report on Form 10-Q (File No. 001-37783), filed with the Commission on November 9, 2022).</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10.28</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Amendment to Office Lease Agreement, by and between the Registrant and Radiant-North Point Properties, LLLP, dated as of November 1, 2022 (incorporated herein by reference to Exhibit 10.29 to the Registrant’s Annual Report on Form 10-K (File No. 001-37783), filed with the Commission on March 14,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First Amendment to Option and License Agreement, by and between the Registrant and REGENXBIO, Inc., dated as of January 14, 2023 (incorporated herein by reference to Exhibit 10.30 to the Registrant’s Annual Report on Form 10-K (File No. 001-37783), filed with the Commission on March 14,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18"/>
                  <w:u w:val="single"/>
                </w:rPr>
                <w:t>Consulting Agreement, by and between the Registrant and Thomas Ciulla, dated as of February 17, 2023 (incorporated herein by reference to Exhibit 10.1 to the Registrant’s Current Report on Form 8-K (File No. 001-37783), filed with the Commission on February 21,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w:t>
            </w:r>
            <w:r>
              <w:rPr>
                <w:rFonts w:ascii="Wingdings;serif" w:hAnsi="Wingdings;serif"/>
                <w:color w:val="000000"/>
                <w:sz w:val="18"/>
              </w:rPr>
              <w:t>w</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10_31.htm">
              <w:r>
                <w:rPr>
                  <w:rStyle w:val="InternetLink"/>
                  <w:rFonts w:ascii="Times New Roman" w:hAnsi="Times New Roman"/>
                  <w:color w:val="0000FF"/>
                  <w:sz w:val="18"/>
                  <w:u w:val="single"/>
                </w:rPr>
                <w:t>License Agreement, by and between the Registrant and BioCryst Pharmaceuticals, Inc., dated as of November 1,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18"/>
                  <w:u w:val="single"/>
                </w:rPr>
                <w:t>Letter Agreement, by and among Clearside Royalty LLC, Healthcare Royalty Partners IV, L.P. and HCR Clearside SPV, LLC (as assignee of HCR Collateral Management, LLC), dated as of December 22, 2023 (incorporated herein by reference to Exhibit 10.1 to the (incorporated herein by reference to Exhibit 10.1 to the Registrant’s Current Report on Form 8-K (File No. 001-37783), filed with the Commission on December 28,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10_33.htm">
              <w:r>
                <w:rPr>
                  <w:rStyle w:val="InternetLink"/>
                  <w:rFonts w:ascii="Times New Roman" w:hAnsi="Times New Roman"/>
                  <w:color w:val="0000FF"/>
                  <w:sz w:val="18"/>
                  <w:u w:val="single"/>
                </w:rPr>
                <w:t>Fourth Amendment to License Agreement, by and among the Registrant, Emory University and The Georgia Tech Research Corporation, dated January 31, 2024.</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18"/>
                  <w:u w:val="single"/>
                </w:rPr>
                <w:t>Controlled Equity Offering</w:t>
              </w:r>
            </w:hyperlink>
            <w:hyperlink r:id="rId44">
              <w:r>
                <w:rPr>
                  <w:rStyle w:val="InternetLink"/>
                  <w:rFonts w:ascii="Times New Roman" w:hAnsi="Times New Roman"/>
                  <w:color w:val="0000FF"/>
                  <w:sz w:val="12"/>
                  <w:u w:val="single"/>
                </w:rPr>
                <w:t>SM</w:t>
              </w:r>
            </w:hyperlink>
            <w:hyperlink r:id="rId45">
              <w:r>
                <w:rPr>
                  <w:rStyle w:val="InternetLink"/>
                  <w:rFonts w:ascii="Times New Roman" w:hAnsi="Times New Roman"/>
                  <w:color w:val="0000FF"/>
                  <w:sz w:val="18"/>
                  <w:u w:val="single"/>
                </w:rPr>
                <w:t xml:space="preserve"> Sales Agreement, by and between the Registrant and Cantor Fitzgerald &amp; Co., dated as of May 12, 2023 (incorporated herein by reference to Exhibit 10.1 to the Registrant’s Current Report on Form 8-K (File No. 001-37783), filed with the Commission on May 12, 2023).</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10_35.htm">
              <w:r>
                <w:rPr>
                  <w:rStyle w:val="InternetLink"/>
                  <w:rFonts w:ascii="Times New Roman" w:hAnsi="Times New Roman"/>
                  <w:color w:val="0000FF"/>
                  <w:sz w:val="18"/>
                  <w:u w:val="single"/>
                </w:rPr>
                <w:t>First Amendment to Consulting Agreement, by and between Registrant and Thomas Ciulla, dated as of February 17, 2024.</w:t>
              </w:r>
            </w:hyperlink>
            <w:r>
              <w:rPr>
                <w:rFonts w:ascii="Times New Roman" w:hAnsi="Times New Roman"/>
                <w:color w:val="000000"/>
                <w:sz w:val="18"/>
              </w:rPr>
              <w:t xml:space="preserve"> </w:t>
            </w:r>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23_1.htm">
              <w:r>
                <w:rPr>
                  <w:rStyle w:val="InternetLink"/>
                  <w:rFonts w:ascii="Times New Roman" w:hAnsi="Times New Roman"/>
                  <w:color w:val="0000FF"/>
                  <w:sz w:val="18"/>
                  <w:u w:val="single"/>
                </w:rPr>
                <w:t>Consent of Ernst &amp; Young LLP, independent registered public accounting firm.</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18"/>
                  <w:u w:val="single"/>
                </w:rPr>
                <w:t>Power of Attorney (included on signature page).</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31_1.htm">
              <w:r>
                <w:rPr>
                  <w:rStyle w:val="InternetLink"/>
                  <w:rFonts w:ascii="Times New Roman" w:hAnsi="Times New Roman"/>
                  <w:color w:val="0000FF"/>
                  <w:sz w:val="18"/>
                  <w:u w:val="single"/>
                </w:rPr>
                <w:t>Certification of Principal Executive Officer pursuant to Rules 13a-14(a) and 15d-14(a) promulgated under the Securities Exchange Act of 1934, as adopted pursuant to Section 302 of the Sarbanes-Oxley Act of 2002.</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31_2.htm">
              <w:r>
                <w:rPr>
                  <w:rStyle w:val="InternetLink"/>
                  <w:rFonts w:ascii="Times New Roman" w:hAnsi="Times New Roman"/>
                  <w:color w:val="0000FF"/>
                  <w:sz w:val="18"/>
                  <w:u w:val="single"/>
                </w:rPr>
                <w:t>Certification of Principal Financial Officer pursuant to Rules 13a-14(a) and 15d-14(a) promulgated under the Securities Exchange Act of 1934, as adopted pursuant to Section 302 of the Sarbanes-Oxley Act of 2002.</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32_1.htm">
              <w:r>
                <w:rPr>
                  <w:rStyle w:val="InternetLink"/>
                  <w:rFonts w:ascii="Times New Roman" w:hAnsi="Times New Roman"/>
                  <w:color w:val="0000FF"/>
                  <w:sz w:val="18"/>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hyperlink w:anchor="clsd-ex97_clawbackpo.htm">
              <w:r>
                <w:rPr>
                  <w:rStyle w:val="InternetLink"/>
                  <w:rFonts w:ascii="Times New Roman" w:hAnsi="Times New Roman"/>
                  <w:color w:val="0000FF"/>
                  <w:sz w:val="20"/>
                  <w:u w:val="single"/>
                </w:rPr>
                <w:t>Clearside Biomedical, Inc. Clawback Policy.</w:t>
              </w:r>
            </w:hyperlink>
          </w:p>
        </w:tc>
      </w:tr>
      <w:tr>
        <w:trPr/>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pBdr/>
              <w:bidi w:val="0"/>
              <w:spacing w:before="0" w:after="283"/>
              <w:ind w:left="0" w:right="0" w:hanging="220"/>
              <w:jc w:val="left"/>
              <w:rPr>
                <w:rFonts w:ascii="Times New Roman" w:hAnsi="Times New Roman"/>
                <w:color w:val="000000"/>
                <w:sz w:val="20"/>
              </w:rPr>
            </w:pPr>
            <w:r>
              <w:rPr>
                <w:rFonts w:ascii="Times New Roman" w:hAnsi="Times New Roman"/>
                <w:color w:val="000000"/>
                <w:sz w:val="20"/>
              </w:rPr>
              <w:t>Inline XBRL Instance Document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pBdr/>
              <w:bidi w:val="0"/>
              <w:spacing w:before="0" w:after="283"/>
              <w:ind w:left="0" w:right="0" w:hanging="2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146"/>
        <w:gridCol w:w="9833"/>
      </w:tblGrid>
      <w:tr>
        <w:trPr/>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3"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herewith.</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Indicates management contract or compensatory plan.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Confidential treatment has been granted with respect to portions of this exhibit (indicated by asterisks) and those portions have been separately filed with the Securities and Exchange Commission.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247"/>
        <w:gridCol w:w="146"/>
        <w:gridCol w:w="9812"/>
      </w:tblGrid>
      <w:tr>
        <w:trPr/>
        <w:tc>
          <w:tcPr>
            <w:tcW w:w="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 </w:t>
            </w:r>
          </w:p>
        </w:tc>
      </w:tr>
      <w:tr>
        <w:trPr/>
        <w:tc>
          <w:tcPr>
            <w:tcW w:w="247"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8"/>
              </w:rPr>
            </w:pPr>
            <w:r>
              <w:rPr>
                <w:rFonts w:ascii="Wingdings;serif" w:hAnsi="Wingdings;serif"/>
                <w:color w:val="000000"/>
                <w:sz w:val="18"/>
              </w:rPr>
              <w:t>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Certain of the exhibits and schedules to this exhibit have been omitted in accordance with Regulation S-K Item 601. The Registrant agrees to furnish a copy of all omitted exhibits and schedules to the SEC upon request.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left"/>
        <w:rPr>
          <w:rFonts w:ascii="Times New Roman" w:hAnsi="Times New Roman"/>
          <w:sz w:val="20"/>
        </w:rPr>
      </w:pPr>
      <w:bookmarkStart w:id="35" w:name="item_16_form_10_k"/>
      <w:bookmarkEnd w:id="35"/>
      <w:r>
        <w:rPr>
          <w:rFonts w:ascii="Times New Roman" w:hAnsi="Times New Roman"/>
          <w:b/>
          <w:color w:val="000000"/>
          <w:sz w:val="20"/>
        </w:rPr>
        <w:t>ITEM 16. FORM 10-K</w:t>
      </w:r>
      <w:r>
        <w:rPr>
          <w:rFonts w:ascii="Times New Roman" w:hAnsi="Times New Roman"/>
          <w:color w:val="000000"/>
          <w:sz w:val="20"/>
        </w:rPr>
        <w:t xml:space="preserve"> </w:t>
      </w:r>
      <w:r>
        <w:rPr>
          <w:rFonts w:ascii="Times New Roman" w:hAnsi="Times New Roman"/>
          <w:b/>
          <w:color w:val="000000"/>
          <w:sz w:val="20"/>
        </w:rPr>
        <w:t>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00"/>
            <w:sz w:val="20"/>
          </w:rPr>
          <w:t>Table of Contents</w:t>
        </w:r>
      </w:hyperlink>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4574" w:type="dxa"/>
        <w:jc w:val="left"/>
        <w:tblInd w:w="0" w:type="dxa"/>
        <w:tblLayout w:type="fixed"/>
        <w:tblCellMar>
          <w:top w:w="28" w:type="dxa"/>
          <w:left w:w="28" w:type="dxa"/>
          <w:bottom w:w="28" w:type="dxa"/>
          <w:right w:w="28" w:type="dxa"/>
        </w:tblCellMar>
      </w:tblPr>
      <w:tblGrid>
        <w:gridCol w:w="1261"/>
        <w:gridCol w:w="361"/>
        <w:gridCol w:w="146"/>
        <w:gridCol w:w="2806"/>
      </w:tblGrid>
      <w:tr>
        <w:trPr/>
        <w:tc>
          <w:tcPr>
            <w:tcW w:w="12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CLEARSIDE BIOMEDICAL, INC.</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pBdr>
                <w:bottom w:val="single" w:sz="6" w:space="1" w:color="000000"/>
              </w:pBdr>
              <w:bidi w:val="0"/>
              <w:spacing w:before="0" w:after="15"/>
              <w:jc w:val="center"/>
              <w:rPr>
                <w:rFonts w:ascii="Times New Roman" w:hAnsi="Times New Roman"/>
                <w:sz w:val="18"/>
              </w:rPr>
            </w:pPr>
            <w:r>
              <w:rPr>
                <w:rFonts w:ascii="Times New Roman" w:hAnsi="Times New Roman"/>
                <w:color w:val="000000"/>
                <w:sz w:val="18"/>
              </w:rPr>
              <w:t xml:space="preserve">/s/ </w:t>
            </w:r>
            <w:r>
              <w:rPr>
                <w:rFonts w:ascii="Times New Roman" w:hAnsi="Times New Roman"/>
                <w:i/>
                <w:color w:val="000000"/>
                <w:sz w:val="18"/>
              </w:rPr>
              <w:t>George Lasezkay, Pharm.D., J.D.</w:t>
            </w:r>
          </w:p>
        </w:tc>
      </w:tr>
      <w:tr>
        <w:trPr/>
        <w:tc>
          <w:tcPr>
            <w:tcW w:w="12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12, 2024</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George Lasezkay, Pharm.D., J.D.</w:t>
            </w:r>
          </w:p>
          <w:p>
            <w:pPr>
              <w:pStyle w:val="TableContents"/>
              <w:bidi w:val="0"/>
              <w:spacing w:before="0" w:after="15"/>
              <w:jc w:val="center"/>
              <w:rPr>
                <w:rFonts w:ascii="Times New Roman" w:hAnsi="Times New Roman"/>
                <w:i/>
                <w:color w:val="000000"/>
                <w:sz w:val="18"/>
              </w:rPr>
            </w:pPr>
            <w:r>
              <w:rPr>
                <w:rFonts w:ascii="Times New Roman" w:hAnsi="Times New Roman"/>
                <w:i/>
                <w:color w:val="000000"/>
                <w:sz w:val="18"/>
              </w:rPr>
              <w:t>President and Chief Executive Officer</w:t>
            </w:r>
          </w:p>
        </w:tc>
      </w:tr>
    </w:tbl>
    <w:p>
      <w:pPr>
        <w:pStyle w:val="TextBody"/>
        <w:bidi w:val="0"/>
        <w:spacing w:before="240" w:after="283"/>
        <w:jc w:val="left"/>
        <w:rPr>
          <w:rFonts w:ascii="Times New Roman" w:hAnsi="Times New Roman"/>
          <w:color w:val="000000"/>
          <w:sz w:val="20"/>
        </w:rPr>
      </w:pPr>
      <w:bookmarkStart w:id="37" w:name="power_of_attorney"/>
      <w:bookmarkEnd w:id="37"/>
      <w:r>
        <w:rPr>
          <w:rFonts w:ascii="Times New Roman" w:hAnsi="Times New Roman"/>
          <w:color w:val="000000"/>
          <w:sz w:val="20"/>
        </w:rPr>
        <w:t>KNOW ALL PERSONS BY THESE PRESENTS, that each person whose signature appears below constitutes and appoints George Lasezkay and Charles A. Deignan,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2952"/>
        <w:gridCol w:w="366"/>
        <w:gridCol w:w="5163"/>
        <w:gridCol w:w="327"/>
        <w:gridCol w:w="523"/>
        <w:gridCol w:w="523"/>
        <w:gridCol w:w="351"/>
      </w:tblGrid>
      <w:tr>
        <w:trPr/>
        <w:tc>
          <w:tcPr>
            <w:tcW w:w="295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1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op w:val="single" w:sz="12"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366" w:type="dxa"/>
            <w:tcBorders>
              <w:top w:val="single" w:sz="12"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63" w:type="dxa"/>
            <w:tcBorders>
              <w:top w:val="single" w:sz="12" w:space="0" w:color="000000"/>
              <w:bottom w:val="single" w:sz="6" w:space="0" w:color="000000"/>
            </w:tcBorders>
            <w:tcMar>
              <w:left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Title</w:t>
            </w:r>
          </w:p>
        </w:tc>
        <w:tc>
          <w:tcPr>
            <w:tcW w:w="327" w:type="dxa"/>
            <w:tcBorders>
              <w:top w:val="single" w:sz="12"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12"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c>
          <w:tcPr>
            <w:tcW w:w="351" w:type="dxa"/>
            <w:tcBorders>
              <w:top w:val="single" w:sz="12"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George Lasezkay, Pharm.D., J.D.</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George Lasezkay, Pharm.D., J.D.</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President, Chief Executive Officer and Director</w:t>
            </w:r>
          </w:p>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(Principal Executive Officer)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Charles A. Deignan</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Charles A. Deignan</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Financial Officer</w:t>
            </w:r>
          </w:p>
          <w:p>
            <w:pPr>
              <w:pStyle w:val="TableContents"/>
              <w:bidi w:val="0"/>
              <w:spacing w:before="0" w:after="15"/>
              <w:jc w:val="left"/>
              <w:rPr>
                <w:rFonts w:ascii="Times New Roman" w:hAnsi="Times New Roman"/>
                <w:i/>
                <w:color w:val="000000"/>
                <w:sz w:val="19"/>
              </w:rPr>
            </w:pPr>
            <w:r>
              <w:rPr>
                <w:rFonts w:ascii="Times New Roman" w:hAnsi="Times New Roman"/>
                <w:i/>
                <w:color w:val="000000"/>
                <w:sz w:val="19"/>
              </w:rPr>
              <w:t>(Principal Financial Officer and Principal Accounting Officer)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Clay B. Thorp</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Clay B. Thorp</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Richard Croarkin</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Richard Croarkin</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Jeffrey L. Edwards</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Jeffrey L. Edwards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March 12, 2024 </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i/>
                <w:color w:val="000000"/>
                <w:sz w:val="19"/>
              </w:rPr>
            </w:pPr>
            <w:r>
              <w:rPr>
                <w:rFonts w:ascii="Times New Roman" w:hAnsi="Times New Roman"/>
                <w:i/>
                <w:color w:val="000000"/>
                <w:sz w:val="19"/>
              </w:rPr>
              <w:t>/s/ William D. Humphries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William D. Humphries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i/>
                <w:color w:val="000000"/>
                <w:sz w:val="19"/>
              </w:rPr>
            </w:pPr>
            <w:r>
              <w:rPr>
                <w:rFonts w:ascii="Times New Roman" w:hAnsi="Times New Roman"/>
                <w:i/>
                <w:color w:val="000000"/>
                <w:sz w:val="19"/>
              </w:rPr>
              <w:t>/s/ Nancy J. Hutson</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Nancy J. Hutson</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 Christy L. Shaffer, Ph.D.</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Christy L. Shaffer, Ph.D.</w:t>
            </w:r>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163" w:type="dxa"/>
            <w:tcBorders/>
            <w:tcMar>
              <w:top w:w="0" w:type="dxa"/>
              <w:left w:w="0" w:type="dxa"/>
              <w:bottom w:w="0" w:type="dxa"/>
              <w:right w:w="0" w:type="dxa"/>
            </w:tcMar>
            <w:vAlign w:val="center"/>
          </w:tcPr>
          <w:p>
            <w:pPr>
              <w:pStyle w:val="TableContents"/>
              <w:pBdr/>
              <w:bidi w:val="0"/>
              <w:spacing w:before="0" w:after="283"/>
              <w:ind w:left="0" w:right="0" w:hanging="220"/>
              <w:jc w:val="left"/>
              <w:rPr>
                <w:rFonts w:ascii="Times New Roman" w:hAnsi="Times New Roman"/>
                <w:color w:val="000000"/>
                <w:sz w:val="19"/>
              </w:rPr>
            </w:pPr>
            <w:r>
              <w:rPr>
                <w:rFonts w:ascii="Times New Roman" w:hAnsi="Times New Roman"/>
                <w:color w:val="000000"/>
                <w:sz w:val="19"/>
              </w:rPr>
              <w:t>Director</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March 12, 2024 </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i/>
                <w:color w:val="000000"/>
                <w:sz w:val="19"/>
              </w:rPr>
            </w:pPr>
            <w:r>
              <w:rPr>
                <w:rFonts w:ascii="Times New Roman" w:hAnsi="Times New Roman"/>
                <w:i/>
                <w:color w:val="000000"/>
                <w:sz w:val="19"/>
              </w:rPr>
              <w:t>/s/Benjamin R. Yerxa</w:t>
            </w:r>
          </w:p>
          <w:p>
            <w:pPr>
              <w:pStyle w:val="TableContents"/>
              <w:bidi w:val="0"/>
              <w:spacing w:before="0" w:after="15"/>
              <w:jc w:val="center"/>
              <w:rPr>
                <w:rFonts w:ascii="Times New Roman" w:hAnsi="Times New Roman"/>
                <w:color w:val="000000"/>
                <w:sz w:val="19"/>
              </w:rPr>
            </w:pPr>
            <w:r>
              <w:rPr>
                <w:rFonts w:ascii="Times New Roman" w:hAnsi="Times New Roman"/>
                <w:color w:val="000000"/>
                <w:sz w:val="19"/>
              </w:rPr>
              <w:t>Benjamin R. Yerxa</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12, 2024</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2" w:type="dxa"/>
            <w:tcBorders/>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3" w:type="dxa"/>
            <w:tcBorders/>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bookmarkStart w:id="38" w:name="clsd-ex10_31.htm"/>
      <w:bookmarkStart w:id="39" w:name="ksclsdex10_31"/>
      <w:bookmarkEnd w:id="38"/>
      <w:bookmarkEnd w:id="39"/>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10.31</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br/>
        <w:br/>
        <w:t>BY AND BETWEEN</w:t>
        <w:br/>
        <w:br/>
        <w:t>BIOCRYST PHARMACEUTICALS, INC.</w:t>
        <w:br/>
        <w:br/>
        <w:t>AND</w:t>
        <w:br/>
        <w:br/>
        <w:t>CLEARSIDE BIOMEDICAL, INC.</w:t>
        <w:br/>
        <w:br/>
        <w:br/>
        <w:br/>
        <w:br/>
        <w:t>November 1, 2023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jc w:val="center"/>
        <w:rPr>
          <w:rFonts w:ascii="Times New Roman" w:hAnsi="Times New Roman"/>
          <w:b/>
          <w:caps/>
          <w:color w:val="000000"/>
          <w:sz w:val="24"/>
        </w:rPr>
      </w:pPr>
      <w:bookmarkStart w:id="40" w:name="zzmptocheader_primary"/>
      <w:bookmarkEnd w:id="40"/>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491"/>
        <w:gridCol w:w="7882"/>
        <w:gridCol w:w="1832"/>
      </w:tblGrid>
      <w:tr>
        <w:trPr/>
        <w:tc>
          <w:tcPr>
            <w:tcW w:w="491" w:type="dxa"/>
            <w:tcBorders/>
            <w:vAlign w:val="center"/>
          </w:tcPr>
          <w:p>
            <w:pPr>
              <w:pStyle w:val="TableContents"/>
              <w:bidi w:val="0"/>
              <w:spacing w:before="0" w:after="283"/>
              <w:jc w:val="left"/>
              <w:rPr>
                <w:sz w:val="4"/>
                <w:szCs w:val="4"/>
              </w:rPr>
            </w:pPr>
            <w:r>
              <w:rPr>
                <w:sz w:val="4"/>
                <w:szCs w:val="4"/>
              </w:rPr>
            </w:r>
          </w:p>
        </w:tc>
        <w:tc>
          <w:tcPr>
            <w:tcW w:w="788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1 DEFINITIONS</w:t>
            </w:r>
          </w:p>
        </w:tc>
        <w:tc>
          <w:tcPr>
            <w:tcW w:w="1832" w:type="dxa"/>
            <w:tcBorders/>
            <w:shd w:fill="FFFFFF" w:val="clear"/>
            <w:vAlign w:val="center"/>
          </w:tcPr>
          <w:p>
            <w:pPr>
              <w:pStyle w:val="TableContents"/>
              <w:bidi w:val="0"/>
              <w:spacing w:before="120" w:after="120"/>
              <w:jc w:val="right"/>
              <w:rPr>
                <w:rFonts w:ascii="Times New Roman" w:hAnsi="Times New Roman"/>
                <w:caps/>
                <w:color w:val="000000"/>
                <w:sz w:val="24"/>
              </w:rPr>
            </w:pPr>
            <w:r>
              <w:rPr>
                <w:rFonts w:ascii="Times New Roman" w:hAnsi="Times New Roman"/>
                <w:caps/>
                <w:color w:val="000000"/>
                <w:sz w:val="24"/>
              </w:rPr>
              <w:t>1</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2 LICENSES AND RELATED GRANTS OF RIGHTS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16</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2.1</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License Grant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2.2</w:t>
            </w:r>
          </w:p>
        </w:tc>
        <w:tc>
          <w:tcPr>
            <w:tcW w:w="9714" w:type="dxa"/>
            <w:gridSpan w:val="2"/>
            <w:tcBorders/>
            <w:shd w:fill="FFFFFF" w:val="clear"/>
            <w:vAlign w:val="center"/>
          </w:tcPr>
          <w:p>
            <w:pPr>
              <w:pStyle w:val="TableContents"/>
              <w:bidi w:val="0"/>
              <w:spacing w:before="120" w:after="120"/>
              <w:ind w:left="0" w:right="0" w:firstLine="1440"/>
              <w:jc w:val="left"/>
              <w:rPr>
                <w:rFonts w:ascii="Times New Roman" w:hAnsi="Times New Roman"/>
                <w:color w:val="000000"/>
                <w:sz w:val="24"/>
              </w:rPr>
            </w:pPr>
            <w:r>
              <w:rPr>
                <w:rFonts w:ascii="Times New Roman" w:hAnsi="Times New Roman"/>
                <w:color w:val="000000"/>
                <w:sz w:val="24"/>
              </w:rPr>
              <w:t>[***]</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2.3</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Sublicenses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2.4</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Subcontracting</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2.5</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Transfer of Know-How</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2.6</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Exclusivity Covenants.</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17</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3 DEVELOPMENT, COMMERCIALIZATION AND MANUFACTURE OF COVERED PRODUCT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17</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3.1</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Diligence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3.2</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Development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3.3</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Governance.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3.4</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Commercialization and Manufacture of Covered Product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3.5</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Booking of Sales; Distribution</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3.6</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Progress Reports</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22</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4 MANUFACTURE AND SUPPLY OF CLEARSIDE DEVICES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22</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4.1</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General Obligation; Continuity of Supply.</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4.2</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Preclinical and Clinical Manufacture and Supply of Clearside Devices.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4.3</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Commercial Manufacture and Supply of Clearside Devices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49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4.4</w:t>
            </w:r>
          </w:p>
        </w:tc>
        <w:tc>
          <w:tcPr>
            <w:tcW w:w="7882"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GMP</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25</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5 PAYMENTS TO CLEARSIDE</w:t>
            </w:r>
          </w:p>
        </w:tc>
        <w:tc>
          <w:tcPr>
            <w:tcW w:w="1832" w:type="dxa"/>
            <w:tcBorders/>
            <w:shd w:fill="FFFFFF" w:val="clear"/>
            <w:vAlign w:val="center"/>
          </w:tcPr>
          <w:p>
            <w:pPr>
              <w:pStyle w:val="TableContents"/>
              <w:bidi w:val="0"/>
              <w:spacing w:before="120" w:after="120"/>
              <w:jc w:val="right"/>
              <w:rPr>
                <w:rFonts w:ascii="Times New Roman" w:hAnsi="Times New Roman"/>
                <w:caps/>
                <w:color w:val="000000"/>
                <w:sz w:val="24"/>
              </w:rPr>
            </w:pPr>
            <w:r>
              <w:rPr>
                <w:rFonts w:ascii="Times New Roman" w:hAnsi="Times New Roman"/>
                <w:caps/>
                <w:color w:val="000000"/>
                <w:sz w:val="24"/>
              </w:rPr>
              <w:t>26</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tbl>
      <w:tblPr>
        <w:tblW w:w="10205" w:type="dxa"/>
        <w:jc w:val="left"/>
        <w:tblInd w:w="0" w:type="dxa"/>
        <w:tblLayout w:type="fixed"/>
        <w:tblCellMar>
          <w:top w:w="28" w:type="dxa"/>
          <w:left w:w="28" w:type="dxa"/>
          <w:bottom w:w="28" w:type="dxa"/>
          <w:right w:w="28" w:type="dxa"/>
        </w:tblCellMar>
      </w:tblPr>
      <w:tblGrid>
        <w:gridCol w:w="694"/>
        <w:gridCol w:w="7680"/>
        <w:gridCol w:w="1831"/>
      </w:tblGrid>
      <w:tr>
        <w:trPr/>
        <w:tc>
          <w:tcPr>
            <w:tcW w:w="694" w:type="dxa"/>
            <w:tcBorders/>
            <w:vAlign w:val="center"/>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5.1</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Upfront Fee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5.2</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Development and Regulatory Milestone Payments.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5.3</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Commercial Milestones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27</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5.4</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Royalties.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27</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5.5</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Royalty Payments and Reports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29</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5.6</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Invoices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30</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5.7</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Currency; Payment Instructions; Late Payments; Offsets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30</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5.8</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Taxes.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30</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5.9</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Financial Records.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5.10</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Audit.</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5.11</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Audit Dispute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5.12</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Confidentiality</w:t>
            </w:r>
          </w:p>
        </w:tc>
        <w:tc>
          <w:tcPr>
            <w:tcW w:w="1831"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32</w:t>
            </w:r>
          </w:p>
        </w:tc>
      </w:tr>
      <w:tr>
        <w:trPr/>
        <w:tc>
          <w:tcPr>
            <w:tcW w:w="8374"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6 PATENT MATTERS; OWNERSHIP OF INTELLECTUAL PROPERTY</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32</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6.1</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Filing, Prosecution and Maintenance of Patent Rights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6.2</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Enforcement and Defense of Patent Rights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6.3</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Defense of Third Party Claims.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6.4</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Patent Term Extension and Supplementary Protection Certificate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6.5</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Ownership of Intellectual Property.</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6.6</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Patent Listings</w:t>
            </w:r>
          </w:p>
        </w:tc>
        <w:tc>
          <w:tcPr>
            <w:tcW w:w="1831"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38</w:t>
            </w:r>
          </w:p>
        </w:tc>
      </w:tr>
      <w:tr>
        <w:trPr/>
        <w:tc>
          <w:tcPr>
            <w:tcW w:w="8374"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7 CONFIDENTIALITY</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39</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7.1</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Protection of Confidential Information</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7.2</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Certain Permitted Disclosures.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7.3</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Securities Law Filings and Other Disclosures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694"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7.4</w:t>
            </w:r>
          </w:p>
        </w:tc>
        <w:tc>
          <w:tcPr>
            <w:tcW w:w="7680"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Publications</w:t>
            </w:r>
          </w:p>
        </w:tc>
        <w:tc>
          <w:tcPr>
            <w:tcW w:w="1831"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40</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tbl>
      <w:tblPr>
        <w:tblW w:w="10205" w:type="dxa"/>
        <w:jc w:val="left"/>
        <w:tblInd w:w="0" w:type="dxa"/>
        <w:tblLayout w:type="fixed"/>
        <w:tblCellMar>
          <w:top w:w="28" w:type="dxa"/>
          <w:left w:w="28" w:type="dxa"/>
          <w:bottom w:w="28" w:type="dxa"/>
          <w:right w:w="28" w:type="dxa"/>
        </w:tblCellMar>
      </w:tblPr>
      <w:tblGrid>
        <w:gridCol w:w="962"/>
        <w:gridCol w:w="7411"/>
        <w:gridCol w:w="1832"/>
      </w:tblGrid>
      <w:tr>
        <w:trPr/>
        <w:tc>
          <w:tcPr>
            <w:tcW w:w="962"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7.5</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Public Announcements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7.6</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Return of Confidential Information</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41</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8 REPRESENTATIONS AND WARRANTIES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41</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8.1</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Mutual Representations and Warranties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8.2</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Representations and Warranties of Clearside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8.3</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Additional Covenants.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44</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8.4</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Debarment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8.5</w:t>
            </w:r>
          </w:p>
        </w:tc>
        <w:tc>
          <w:tcPr>
            <w:tcW w:w="7411" w:type="dxa"/>
            <w:tcBorders/>
            <w:shd w:fill="FFFFFF" w:val="clear"/>
            <w:vAlign w:val="center"/>
          </w:tcPr>
          <w:p>
            <w:pPr>
              <w:pStyle w:val="TableContents"/>
              <w:bidi w:val="0"/>
              <w:spacing w:before="120" w:after="120"/>
              <w:jc w:val="left"/>
              <w:rPr>
                <w:rFonts w:ascii="Calibri;sans-serif" w:hAnsi="Calibri;sans-serif"/>
                <w:color w:val="000000"/>
                <w:sz w:val="22"/>
              </w:rPr>
            </w:pPr>
            <w:r>
              <w:rPr>
                <w:rFonts w:ascii="Calibri;sans-serif" w:hAnsi="Calibri;sans-serif"/>
                <w:color w:val="000000"/>
                <w:sz w:val="22"/>
              </w:rPr>
              <w: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8.6</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Disclaimer</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45</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9 TERM AND TERMINATION</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46</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9.1</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Term</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9.2</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Termination.</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9.3</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Consequences of Termination.</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48</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9.4</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Remedies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9.5</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Survival of Certain Obligations.</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49</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10 LIMITATION ON LIABILITY, INDEMNIFICATION AND INSURANCE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50</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10.1</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No Consequential Damages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50</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10.2</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Indemnification by BioCryst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50</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10.3</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Indemnification by Clearside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10.4</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Procedure.</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10.5</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Insurance</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52</w:t>
            </w:r>
          </w:p>
        </w:tc>
      </w:tr>
      <w:tr>
        <w:trPr/>
        <w:tc>
          <w:tcPr>
            <w:tcW w:w="8373" w:type="dxa"/>
            <w:gridSpan w:val="2"/>
            <w:tcBorders/>
            <w:shd w:fill="FFFFFF" w:val="clear"/>
            <w:vAlign w:val="center"/>
          </w:tcPr>
          <w:p>
            <w:pPr>
              <w:pStyle w:val="TableContents"/>
              <w:bidi w:val="0"/>
              <w:spacing w:before="120" w:after="120"/>
              <w:jc w:val="center"/>
              <w:rPr>
                <w:rFonts w:ascii="Times New Roman" w:hAnsi="Times New Roman"/>
                <w:caps/>
                <w:color w:val="000000"/>
                <w:sz w:val="24"/>
              </w:rPr>
            </w:pPr>
            <w:r>
              <w:rPr>
                <w:rFonts w:ascii="Times New Roman" w:hAnsi="Times New Roman"/>
                <w:caps/>
                <w:color w:val="000000"/>
                <w:sz w:val="24"/>
              </w:rPr>
              <w:t>Article 11 MISCELLANEOUS</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52</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Assignment</w:t>
            </w:r>
          </w:p>
        </w:tc>
        <w:tc>
          <w:tcPr>
            <w:tcW w:w="1832"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962"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11.2</w:t>
            </w:r>
          </w:p>
        </w:tc>
        <w:tc>
          <w:tcPr>
            <w:tcW w:w="741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Rights in Bankruptcy</w:t>
            </w:r>
          </w:p>
        </w:tc>
        <w:tc>
          <w:tcPr>
            <w:tcW w:w="1832"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52</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tbl>
      <w:tblPr>
        <w:tblW w:w="6123" w:type="dxa"/>
        <w:jc w:val="left"/>
        <w:tblInd w:w="0" w:type="dxa"/>
        <w:tblLayout w:type="fixed"/>
        <w:tblCellMar>
          <w:top w:w="28" w:type="dxa"/>
          <w:left w:w="28" w:type="dxa"/>
          <w:bottom w:w="28" w:type="dxa"/>
          <w:right w:w="28" w:type="dxa"/>
        </w:tblCellMar>
      </w:tblPr>
      <w:tblGrid>
        <w:gridCol w:w="661"/>
        <w:gridCol w:w="3631"/>
        <w:gridCol w:w="1831"/>
      </w:tblGrid>
      <w:tr>
        <w:trPr/>
        <w:tc>
          <w:tcPr>
            <w:tcW w:w="66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11.3</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Further Actions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11.4</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Force Majeure</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11.5</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Notices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11.6</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Amendment</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11.7</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Waiver</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11.8</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Severability</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11.9</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Headings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11.10</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Governing Law</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11.11</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Dispute Resolution</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11.12</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Compliance with Laws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11.13</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Entire Agreement</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11.14</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Independent Contractors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11.15</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Cumulative Rights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11.16</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Counterparts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11.17</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Interpretation</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11.18</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Expenses</w:t>
            </w:r>
          </w:p>
        </w:tc>
        <w:tc>
          <w:tcPr>
            <w:tcW w:w="1831" w:type="dxa"/>
            <w:tcBorders/>
            <w:shd w:fill="FFFFFF" w:val="clear"/>
            <w:vAlign w:val="center"/>
          </w:tcPr>
          <w:p>
            <w:pPr>
              <w:pStyle w:val="TableContents"/>
              <w:bidi w:val="0"/>
              <w:spacing w:before="12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661" w:type="dxa"/>
            <w:tcBorders/>
            <w:shd w:fill="FFFFFF" w:val="clear"/>
            <w:vAlign w:val="center"/>
          </w:tcPr>
          <w:p>
            <w:pPr>
              <w:pStyle w:val="TableContents"/>
              <w:pBdr/>
              <w:bidi w:val="0"/>
              <w:spacing w:before="120" w:after="120"/>
              <w:ind w:left="720" w:right="0" w:hanging="720"/>
              <w:jc w:val="left"/>
              <w:rPr>
                <w:rFonts w:ascii="Times New Roman" w:hAnsi="Times New Roman"/>
                <w:color w:val="000000"/>
                <w:sz w:val="24"/>
              </w:rPr>
            </w:pPr>
            <w:r>
              <w:rPr>
                <w:rFonts w:ascii="Times New Roman" w:hAnsi="Times New Roman"/>
                <w:color w:val="000000"/>
                <w:sz w:val="24"/>
              </w:rPr>
              <w:t>11.19</w:t>
            </w:r>
          </w:p>
        </w:tc>
        <w:tc>
          <w:tcPr>
            <w:tcW w:w="3631" w:type="dxa"/>
            <w:tcBorders/>
            <w:shd w:fill="FFFFFF" w:val="cle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No Third Party Rights or Obligations</w:t>
            </w:r>
          </w:p>
        </w:tc>
        <w:tc>
          <w:tcPr>
            <w:tcW w:w="1831" w:type="dxa"/>
            <w:tcBorders/>
            <w:shd w:fill="FFFFFF" w:val="cle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56</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240"/>
        <w:jc w:val="both"/>
        <w:rPr>
          <w:rFonts w:ascii="Times New Roman" w:hAnsi="Times New Roman"/>
          <w:sz w:val="20"/>
        </w:rPr>
      </w:pPr>
      <w:bookmarkStart w:id="41" w:name="docxtextref1"/>
      <w:bookmarkEnd w:id="41"/>
      <w:r>
        <w:rPr>
          <w:rFonts w:ascii="Times New Roman" w:hAnsi="Times New Roman"/>
          <w:color w:val="000000"/>
          <w:sz w:val="24"/>
        </w:rPr>
        <w:t>This License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November 1, 2023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Clearside Biomedical, Inc., a Delaware corporation with a place of business at 900</w:t>
      </w:r>
      <w:r>
        <w:rPr>
          <w:rFonts w:ascii="Times New Roman" w:hAnsi="Times New Roman"/>
          <w:color w:val="000000"/>
          <w:sz w:val="20"/>
        </w:rPr>
        <w:t xml:space="preserve"> </w:t>
      </w:r>
      <w:r>
        <w:rPr>
          <w:rFonts w:ascii="Times New Roman" w:hAnsi="Times New Roman"/>
          <w:color w:val="000000"/>
          <w:sz w:val="24"/>
        </w:rPr>
        <w:t>North Point Parkway, Suite 200, Alpharetta, Georgia 30004 (“</w:t>
      </w:r>
      <w:r>
        <w:rPr>
          <w:rFonts w:ascii="Times New Roman" w:hAnsi="Times New Roman"/>
          <w:b/>
          <w:color w:val="000000"/>
          <w:sz w:val="24"/>
        </w:rPr>
        <w:t>Clearside</w:t>
      </w:r>
      <w:r>
        <w:rPr>
          <w:rFonts w:ascii="Times New Roman" w:hAnsi="Times New Roman"/>
          <w:color w:val="000000"/>
          <w:sz w:val="20"/>
        </w:rPr>
        <w:t>”</w:t>
      </w:r>
      <w:r>
        <w:rPr>
          <w:rFonts w:ascii="Times New Roman" w:hAnsi="Times New Roman"/>
          <w:color w:val="000000"/>
          <w:sz w:val="24"/>
        </w:rPr>
        <w:t>) and BioCryst Pharmaceuticals, Inc., a Delaware corporation with a place of business at 4505 Emperor Blvd., Suite 200, Durham NC 27703 (“</w:t>
      </w:r>
      <w:r>
        <w:rPr>
          <w:rFonts w:ascii="Times New Roman" w:hAnsi="Times New Roman"/>
          <w:b/>
          <w:color w:val="000000"/>
          <w:sz w:val="24"/>
        </w:rPr>
        <w:t>BioCryst</w:t>
      </w:r>
      <w:r>
        <w:rPr>
          <w:rFonts w:ascii="Times New Roman" w:hAnsi="Times New Roman"/>
          <w:color w:val="000000"/>
          <w:sz w:val="20"/>
        </w:rPr>
        <w:t>”</w:t>
      </w:r>
      <w:r>
        <w:rPr>
          <w:rFonts w:ascii="Times New Roman" w:hAnsi="Times New Roman"/>
          <w:color w:val="000000"/>
          <w:sz w:val="24"/>
        </w:rPr>
        <w:t>). Clearside and BioCryst may each be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BioCryst is engaged in the research, development and commercialization of pharmaceutical products for the treatment of various diseases and conditions, including diseases and conditions of the eye;</w:t>
      </w:r>
    </w:p>
    <w:p>
      <w:pPr>
        <w:pStyle w:val="TextBody"/>
        <w:bidi w:val="0"/>
        <w:spacing w:before="0" w:after="240"/>
        <w:jc w:val="both"/>
        <w:rPr>
          <w:rFonts w:ascii="Times New Roman" w:hAnsi="Times New Roman"/>
          <w:sz w:val="20"/>
        </w:rPr>
      </w:pPr>
      <w:r>
        <w:rPr>
          <w:rFonts w:ascii="Times New Roman" w:hAnsi="Times New Roman"/>
          <w:color w:val="000000"/>
          <w:sz w:val="24"/>
        </w:rPr>
        <w:t>WHEREAS, Clearside has developed and owns or controls rights to a minimally invasive device that is capable of delivering therapy to specific portions of the eye (as further defined below, a “</w:t>
      </w:r>
      <w:r>
        <w:rPr>
          <w:rFonts w:ascii="Times New Roman" w:hAnsi="Times New Roman"/>
          <w:b/>
          <w:color w:val="000000"/>
          <w:sz w:val="24"/>
        </w:rPr>
        <w:t>Clearside Device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BioCryst and Clearside have entered into that certain Technology and Access Agreement dated as of August 11, 2022, as amended and restated by the Restated and Amended Technology Access Agreement dated as of July 12, 2023, pursuant to which Clearside has granted certain rights to BioCryst to evaluate the use of a Clearside Device in connection with BioCryst’s products (the “</w:t>
      </w:r>
      <w:r>
        <w:rPr>
          <w:rFonts w:ascii="Times New Roman" w:hAnsi="Times New Roman"/>
          <w:b/>
          <w:color w:val="000000"/>
          <w:sz w:val="24"/>
        </w:rPr>
        <w:t>Technology Access 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as contemplated by the Technology Access Agreement, BioCryst and Clearside are entering into this Agreement to provide BioCryst with certain rights to develop and commercialize products that are administered to the patient using a Clearside Device.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mutual covenants set forth in this Agreement, and other good and valuable consideration, the receipt and sufficiency of which is hereby acknowledged, the Parties hereby agree as follows: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w:t>
      </w:r>
      <w:r>
        <w:rPr>
          <w:rFonts w:ascii="Times New Roman" w:hAnsi="Times New Roman"/>
          <w:caps/>
          <w:color w:val="000000"/>
          <w:sz w:val="24"/>
        </w:rPr>
        <w:br/>
      </w:r>
      <w:r>
        <w:rPr>
          <w:rFonts w:ascii="Times New Roman" w:hAnsi="Times New Roman"/>
          <w:b/>
          <w:caps/>
          <w:color w:val="000000"/>
          <w:sz w:val="24"/>
        </w:rPr>
        <w:t>DEFINITIONS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When used in this Agreement, the following capitalized terms have the meanings set forth in this </w:t>
      </w:r>
      <w:r>
        <w:rPr>
          <w:rFonts w:ascii="Times New Roman" w:hAnsi="Times New Roman"/>
          <w:color w:val="000000"/>
          <w:sz w:val="24"/>
          <w:u w:val="single"/>
        </w:rPr>
        <w:t>Article 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Definitions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 </w:t>
      </w:r>
      <w:r>
        <w:rPr>
          <w:rFonts w:ascii="Times New Roman" w:hAnsi="Times New Roman"/>
          <w:color w:val="000000"/>
          <w:sz w:val="20"/>
        </w:rPr>
        <w:t>“</w:t>
      </w:r>
      <w:r>
        <w:rPr>
          <w:rFonts w:ascii="Times New Roman" w:hAnsi="Times New Roman"/>
          <w:b/>
          <w:color w:val="000000"/>
          <w:sz w:val="24"/>
        </w:rPr>
        <w:t>AAA</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42" w:name="docxtextref3"/>
      <w:bookmarkEnd w:id="42"/>
      <w:r>
        <w:rPr>
          <w:rFonts w:ascii="Times New Roman" w:hAnsi="Times New Roman"/>
          <w:b/>
          <w:color w:val="000000"/>
          <w:sz w:val="24"/>
        </w:rPr>
        <w:t xml:space="preserve">1.2 </w:t>
      </w:r>
      <w:r>
        <w:rPr>
          <w:rFonts w:ascii="Times New Roman" w:hAnsi="Times New Roman"/>
          <w:color w:val="000000"/>
          <w:sz w:val="20"/>
        </w:rPr>
        <w:t>“</w:t>
      </w:r>
      <w:r>
        <w:rPr>
          <w:rFonts w:ascii="Times New Roman" w:hAnsi="Times New Roman"/>
          <w:b/>
          <w:color w:val="000000"/>
          <w:sz w:val="24"/>
        </w:rPr>
        <w:t>Acquirer</w:t>
      </w:r>
      <w:r>
        <w:rPr>
          <w:rFonts w:ascii="Times New Roman" w:hAnsi="Times New Roman"/>
          <w:color w:val="000000"/>
          <w:sz w:val="20"/>
        </w:rPr>
        <w:t xml:space="preserve">” </w:t>
      </w:r>
      <w:r>
        <w:rPr>
          <w:rFonts w:ascii="Times New Roman" w:hAnsi="Times New Roman"/>
          <w:color w:val="000000"/>
          <w:sz w:val="24"/>
        </w:rPr>
        <w:t>means, collectively, with respect to a Party: (a)</w:t>
      </w:r>
      <w:r>
        <w:rPr>
          <w:rFonts w:ascii="Times New Roman" w:hAnsi="Times New Roman"/>
          <w:color w:val="000000"/>
          <w:sz w:val="20"/>
        </w:rPr>
        <w:t xml:space="preserve"> </w:t>
      </w:r>
      <w:r>
        <w:rPr>
          <w:rFonts w:ascii="Times New Roman" w:hAnsi="Times New Roman"/>
          <w:color w:val="000000"/>
          <w:sz w:val="24"/>
        </w:rPr>
        <w:t xml:space="preserve">any Third Party that, after the closing of a Change of Control, controls (within the meaning set forth in the definition of Affiliate) such Party; and </w:t>
      </w:r>
      <w:bookmarkStart w:id="43" w:name="docxtextref4"/>
      <w:bookmarkEnd w:id="43"/>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 Third Party’s Affiliates existing immediately prior to the closing of such Change of Control.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 </w:t>
      </w:r>
      <w:r>
        <w:rPr>
          <w:rFonts w:ascii="Times New Roman" w:hAnsi="Times New Roman"/>
          <w:color w:val="000000"/>
          <w:sz w:val="20"/>
        </w:rPr>
        <w:t>“</w:t>
      </w:r>
      <w:r>
        <w:rPr>
          <w:rFonts w:ascii="Times New Roman" w:hAnsi="Times New Roman"/>
          <w:b/>
          <w:color w:val="000000"/>
          <w:sz w:val="24"/>
        </w:rPr>
        <w:t>Accounting Standards</w:t>
      </w:r>
      <w:r>
        <w:rPr>
          <w:rFonts w:ascii="Times New Roman" w:hAnsi="Times New Roman"/>
          <w:color w:val="000000"/>
          <w:sz w:val="20"/>
        </w:rPr>
        <w:t xml:space="preserve">” </w:t>
      </w:r>
      <w:r>
        <w:rPr>
          <w:rFonts w:ascii="Times New Roman" w:hAnsi="Times New Roman"/>
          <w:color w:val="000000"/>
          <w:sz w:val="24"/>
        </w:rPr>
        <w:t>means, with respect to a Party, that such Party shall maintain records and books of accounts in accordance with (a) United States Generally Accepted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Accounting Principles, or (b) to the extent applicable, International Financial Reporting Standards as issued by the International Accounting Standards Board, in each case, consistently applied.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44" w:name="docxtextref5"/>
      <w:bookmarkEnd w:id="44"/>
      <w:r>
        <w:rPr>
          <w:rFonts w:ascii="Times New Roman" w:hAnsi="Times New Roman"/>
          <w:b/>
          <w:color w:val="000000"/>
          <w:sz w:val="24"/>
        </w:rPr>
        <w:t xml:space="preserve">1.4 </w:t>
      </w:r>
      <w:r>
        <w:rPr>
          <w:rFonts w:ascii="Times New Roman" w:hAnsi="Times New Roman"/>
          <w:color w:val="000000"/>
          <w:sz w:val="2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any Person, any other Person that, directly or indirectly, through one or more intermediaries, controls, is controlled by or, is under common control with such Person for so long as such Person controls, is controlled by, or is under common control with such first Person. As used in this definition, the term “control” will mean, as to any Person, (a)</w:t>
      </w:r>
      <w:r>
        <w:rPr>
          <w:rFonts w:ascii="Times New Roman" w:hAnsi="Times New Roman"/>
          <w:color w:val="000000"/>
          <w:sz w:val="20"/>
        </w:rPr>
        <w:t xml:space="preserve"> </w:t>
      </w:r>
      <w:r>
        <w:rPr>
          <w:rFonts w:ascii="Times New Roman" w:hAnsi="Times New Roman"/>
          <w:color w:val="000000"/>
          <w:sz w:val="24"/>
        </w:rPr>
        <w:t xml:space="preserve">direct or indirect ownership of more than fifty percent (50%) (or such lesser percentage which is the maximum allowed to be owned by a foreign corporation in a particular jurisdiction) of the voting interests or other ownership interests in the Person in question; or </w:t>
      </w:r>
      <w:bookmarkStart w:id="45" w:name="docxtextref6"/>
      <w:bookmarkEnd w:id="45"/>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possession, directly or indirectly, of the power to generally direct or cause the direction of management or policies of the Person in question (whether through ownership of securities or other ownership interests, by contract or otherwise).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 </w:t>
      </w:r>
      <w:r>
        <w:rPr>
          <w:rFonts w:ascii="Times New Roman" w:hAnsi="Times New Roman"/>
          <w:color w:val="000000"/>
          <w:sz w:val="2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is defined in the introduction to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 </w:t>
      </w:r>
      <w:r>
        <w:rPr>
          <w:rFonts w:ascii="Times New Roman" w:hAnsi="Times New Roman"/>
          <w:color w:val="000000"/>
          <w:sz w:val="20"/>
        </w:rPr>
        <w:t>“</w:t>
      </w:r>
      <w:r>
        <w:rPr>
          <w:rFonts w:ascii="Times New Roman" w:hAnsi="Times New Roman"/>
          <w:b/>
          <w:color w:val="000000"/>
          <w:sz w:val="24"/>
        </w:rPr>
        <w:t>Alternative Manufacturer Election</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 </w:t>
      </w:r>
      <w:r>
        <w:rPr>
          <w:rFonts w:ascii="Times New Roman" w:hAnsi="Times New Roman"/>
          <w:color w:val="000000"/>
          <w:sz w:val="20"/>
        </w:rPr>
        <w:t>“</w:t>
      </w:r>
      <w:r>
        <w:rPr>
          <w:rFonts w:ascii="Times New Roman" w:hAnsi="Times New Roman"/>
          <w:b/>
          <w:color w:val="000000"/>
          <w:sz w:val="24"/>
        </w:rPr>
        <w:t>Applicable</w:t>
      </w:r>
      <w:r>
        <w:rPr>
          <w:rFonts w:ascii="Times New Roman" w:hAnsi="Times New Roman"/>
          <w:color w:val="000000"/>
          <w:sz w:val="20"/>
        </w:rPr>
        <w:t xml:space="preserve"> </w:t>
      </w:r>
      <w:r>
        <w:rPr>
          <w:rFonts w:ascii="Times New Roman" w:hAnsi="Times New Roman"/>
          <w:b/>
          <w:color w:val="000000"/>
          <w:sz w:val="24"/>
        </w:rPr>
        <w:t>Law</w:t>
      </w:r>
      <w:r>
        <w:rPr>
          <w:rFonts w:ascii="Times New Roman" w:hAnsi="Times New Roman"/>
          <w:color w:val="000000"/>
          <w:sz w:val="20"/>
        </w:rPr>
        <w:t xml:space="preserve">” </w:t>
      </w:r>
      <w:r>
        <w:rPr>
          <w:rFonts w:ascii="Times New Roman" w:hAnsi="Times New Roman"/>
          <w:color w:val="000000"/>
          <w:sz w:val="24"/>
        </w:rPr>
        <w:t>means any law or statute, any rule or regulation (including written governmental interpretations thereof, the guidance related thereto, or the application thereof) issued by a Governmental Authority or Regulatory Authority and any judicial, governmental, or administrative order, judgment, decree, or ruling, in each case as applicable to the subject matter and the parties at issue.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 </w:t>
      </w:r>
      <w:r>
        <w:rPr>
          <w:rFonts w:ascii="Times New Roman" w:hAnsi="Times New Roman"/>
          <w:color w:val="000000"/>
          <w:sz w:val="20"/>
        </w:rPr>
        <w:t>“</w:t>
      </w:r>
      <w:r>
        <w:rPr>
          <w:rFonts w:ascii="Times New Roman" w:hAnsi="Times New Roman"/>
          <w:b/>
          <w:color w:val="000000"/>
          <w:sz w:val="24"/>
        </w:rPr>
        <w:t>Audit Arbitrator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Audit Dispute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 </w:t>
      </w:r>
      <w:r>
        <w:rPr>
          <w:rFonts w:ascii="Times New Roman" w:hAnsi="Times New Roman"/>
          <w:color w:val="000000"/>
          <w:sz w:val="20"/>
        </w:rPr>
        <w:t>“</w:t>
      </w:r>
      <w:r>
        <w:rPr>
          <w:rFonts w:ascii="Times New Roman" w:hAnsi="Times New Roman"/>
          <w:b/>
          <w:color w:val="000000"/>
          <w:sz w:val="24"/>
        </w:rPr>
        <w:t>BioCryst</w:t>
      </w:r>
      <w:r>
        <w:rPr>
          <w:rFonts w:ascii="Times New Roman" w:hAnsi="Times New Roman"/>
          <w:color w:val="000000"/>
          <w:sz w:val="20"/>
        </w:rPr>
        <w:t xml:space="preserve">” </w:t>
      </w:r>
      <w:r>
        <w:rPr>
          <w:rFonts w:ascii="Times New Roman" w:hAnsi="Times New Roman"/>
          <w:color w:val="000000"/>
          <w:sz w:val="24"/>
        </w:rPr>
        <w:t>is defined in the introduction to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 </w:t>
      </w:r>
      <w:r>
        <w:rPr>
          <w:rFonts w:ascii="Times New Roman" w:hAnsi="Times New Roman"/>
          <w:color w:val="000000"/>
          <w:sz w:val="20"/>
        </w:rPr>
        <w:t>“</w:t>
      </w:r>
      <w:r>
        <w:rPr>
          <w:rFonts w:ascii="Times New Roman" w:hAnsi="Times New Roman"/>
          <w:b/>
          <w:color w:val="000000"/>
          <w:sz w:val="24"/>
        </w:rPr>
        <w:t>BioCryst Compound</w:t>
      </w:r>
      <w:r>
        <w:rPr>
          <w:rFonts w:ascii="Times New Roman" w:hAnsi="Times New Roman"/>
          <w:color w:val="000000"/>
          <w:sz w:val="20"/>
        </w:rPr>
        <w:t xml:space="preserve">” </w:t>
      </w:r>
      <w:r>
        <w:rPr>
          <w:rFonts w:ascii="Times New Roman" w:hAnsi="Times New Roman"/>
          <w:color w:val="000000"/>
          <w:sz w:val="24"/>
        </w:rPr>
        <w:t>means BioCryst’s proprietary plasma kallikrein inhibitor known as BCX-4161 or avoralstat, in any dosage strength, form or formulation thereof.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 </w:t>
      </w:r>
      <w:r>
        <w:rPr>
          <w:rFonts w:ascii="Times New Roman" w:hAnsi="Times New Roman"/>
          <w:color w:val="000000"/>
          <w:sz w:val="20"/>
        </w:rPr>
        <w:t>“</w:t>
      </w:r>
      <w:r>
        <w:rPr>
          <w:rFonts w:ascii="Times New Roman" w:hAnsi="Times New Roman"/>
          <w:b/>
          <w:color w:val="000000"/>
          <w:sz w:val="24"/>
        </w:rPr>
        <w:t>BioCryst Indemnified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Clearside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 </w:t>
      </w:r>
      <w:r>
        <w:rPr>
          <w:rFonts w:ascii="Times New Roman" w:hAnsi="Times New Roman"/>
          <w:color w:val="000000"/>
          <w:sz w:val="20"/>
        </w:rPr>
        <w:t>“</w:t>
      </w:r>
      <w:r>
        <w:rPr>
          <w:rFonts w:ascii="Times New Roman" w:hAnsi="Times New Roman"/>
          <w:b/>
          <w:color w:val="000000"/>
          <w:sz w:val="24"/>
        </w:rPr>
        <w:t>Breaching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Material Breach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 </w:t>
      </w:r>
      <w:r>
        <w:rPr>
          <w:rFonts w:ascii="Times New Roman" w:hAnsi="Times New Roman"/>
          <w:color w:val="000000"/>
          <w:sz w:val="20"/>
        </w:rPr>
        <w:t>“</w:t>
      </w:r>
      <w:r>
        <w:rPr>
          <w:rFonts w:ascii="Times New Roman" w:hAnsi="Times New Roman"/>
          <w:b/>
          <w:color w:val="000000"/>
          <w:sz w:val="24"/>
        </w:rPr>
        <w:t>BioCryst Patent Application</w:t>
      </w:r>
      <w:r>
        <w:rPr>
          <w:rFonts w:ascii="Times New Roman" w:hAnsi="Times New Roman"/>
          <w:color w:val="000000"/>
          <w:sz w:val="20"/>
        </w:rPr>
        <w:t xml:space="preserve">” </w:t>
      </w:r>
      <w:r>
        <w:rPr>
          <w:rFonts w:ascii="Times New Roman" w:hAnsi="Times New Roman"/>
          <w:color w:val="000000"/>
          <w:sz w:val="24"/>
        </w:rPr>
        <w:t>means [***] and any related Patent Rights.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1.14 </w:t>
      </w:r>
      <w:r>
        <w:rPr>
          <w:rFonts w:ascii="Times New Roman" w:hAnsi="Times New Roman"/>
          <w:color w:val="000000"/>
          <w:sz w:val="20"/>
        </w:rPr>
        <w:t>“</w:t>
      </w:r>
      <w:r>
        <w:rPr>
          <w:rFonts w:ascii="Times New Roman" w:hAnsi="Times New Roman"/>
          <w:b/>
          <w:color w:val="000000"/>
          <w:sz w:val="24"/>
        </w:rPr>
        <w:t>Business</w:t>
      </w:r>
      <w:r>
        <w:rPr>
          <w:rFonts w:ascii="Times New Roman" w:hAnsi="Times New Roman"/>
          <w:color w:val="000000"/>
          <w:sz w:val="20"/>
        </w:rPr>
        <w:t xml:space="preserve"> </w:t>
      </w:r>
      <w:r>
        <w:rPr>
          <w:rFonts w:ascii="Times New Roman" w:hAnsi="Times New Roman"/>
          <w:b/>
          <w:color w:val="000000"/>
          <w:sz w:val="24"/>
        </w:rPr>
        <w:t>Day</w:t>
      </w:r>
      <w:r>
        <w:rPr>
          <w:rFonts w:ascii="Times New Roman" w:hAnsi="Times New Roman"/>
          <w:color w:val="000000"/>
          <w:sz w:val="20"/>
        </w:rPr>
        <w:t xml:space="preserve">” </w:t>
      </w:r>
      <w:r>
        <w:rPr>
          <w:rFonts w:ascii="Times New Roman" w:hAnsi="Times New Roman"/>
          <w:color w:val="000000"/>
          <w:sz w:val="24"/>
        </w:rPr>
        <w:t>will mean any day other than a Saturday, Sunday, or United States federal holiday.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1.15 </w:t>
      </w:r>
      <w:r>
        <w:rPr>
          <w:rFonts w:ascii="Times New Roman" w:hAnsi="Times New Roman"/>
          <w:color w:val="000000"/>
          <w:sz w:val="20"/>
        </w:rPr>
        <w:t>“</w:t>
      </w:r>
      <w:r>
        <w:rPr>
          <w:rFonts w:ascii="Times New Roman" w:hAnsi="Times New Roman"/>
          <w:b/>
          <w:color w:val="000000"/>
          <w:sz w:val="24"/>
        </w:rPr>
        <w:t>Calendar</w:t>
      </w:r>
      <w:r>
        <w:rPr>
          <w:rFonts w:ascii="Times New Roman" w:hAnsi="Times New Roman"/>
          <w:color w:val="000000"/>
          <w:sz w:val="20"/>
        </w:rPr>
        <w:t xml:space="preserve"> </w:t>
      </w:r>
      <w:r>
        <w:rPr>
          <w:rFonts w:ascii="Times New Roman" w:hAnsi="Times New Roman"/>
          <w:b/>
          <w:color w:val="000000"/>
          <w:sz w:val="24"/>
        </w:rPr>
        <w:t>Half</w:t>
      </w:r>
      <w:r>
        <w:rPr>
          <w:rFonts w:ascii="Times New Roman" w:hAnsi="Times New Roman"/>
          <w:color w:val="000000"/>
          <w:sz w:val="20"/>
        </w:rPr>
        <w:t xml:space="preserve">” </w:t>
      </w:r>
      <w:r>
        <w:rPr>
          <w:rFonts w:ascii="Times New Roman" w:hAnsi="Times New Roman"/>
          <w:color w:val="000000"/>
          <w:sz w:val="24"/>
        </w:rPr>
        <w:t>means any of the respective periods of two (2) consecutive Calendar Quarters of any Calendar Year, except that the first Calendar Half of the Term will commence on the Effective Date and the last Calendar Half will end on the last day of the Term.</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46" w:name="docxtextref7"/>
      <w:bookmarkEnd w:id="46"/>
      <w:r>
        <w:rPr>
          <w:rFonts w:ascii="Times New Roman" w:hAnsi="Times New Roman"/>
          <w:b/>
          <w:color w:val="000000"/>
          <w:sz w:val="24"/>
        </w:rPr>
        <w:t xml:space="preserve">1.16 </w:t>
      </w:r>
      <w:r>
        <w:rPr>
          <w:rFonts w:ascii="Times New Roman" w:hAnsi="Times New Roman"/>
          <w:color w:val="000000"/>
          <w:sz w:val="20"/>
        </w:rPr>
        <w:t>“</w:t>
      </w:r>
      <w:r>
        <w:rPr>
          <w:rFonts w:ascii="Times New Roman" w:hAnsi="Times New Roman"/>
          <w:b/>
          <w:color w:val="000000"/>
          <w:sz w:val="24"/>
        </w:rPr>
        <w:t>Calendar</w:t>
      </w:r>
      <w:r>
        <w:rPr>
          <w:rFonts w:ascii="Times New Roman" w:hAnsi="Times New Roman"/>
          <w:color w:val="000000"/>
          <w:sz w:val="20"/>
        </w:rPr>
        <w:t xml:space="preserve"> </w:t>
      </w:r>
      <w:r>
        <w:rPr>
          <w:rFonts w:ascii="Times New Roman" w:hAnsi="Times New Roman"/>
          <w:b/>
          <w:color w:val="000000"/>
          <w:sz w:val="24"/>
        </w:rPr>
        <w:t>Quarter</w:t>
      </w:r>
      <w:r>
        <w:rPr>
          <w:rFonts w:ascii="Times New Roman" w:hAnsi="Times New Roman"/>
          <w:color w:val="000000"/>
          <w:sz w:val="20"/>
        </w:rPr>
        <w:t xml:space="preserve">” </w:t>
      </w:r>
      <w:r>
        <w:rPr>
          <w:rFonts w:ascii="Times New Roman" w:hAnsi="Times New Roman"/>
          <w:color w:val="000000"/>
          <w:sz w:val="24"/>
        </w:rPr>
        <w:t>means any of the respective periods of three (3)</w:t>
      </w:r>
      <w:r>
        <w:rPr>
          <w:rFonts w:ascii="Times New Roman" w:hAnsi="Times New Roman"/>
          <w:color w:val="000000"/>
          <w:sz w:val="20"/>
        </w:rPr>
        <w:t xml:space="preserve"> </w:t>
      </w:r>
      <w:r>
        <w:rPr>
          <w:rFonts w:ascii="Times New Roman" w:hAnsi="Times New Roman"/>
          <w:color w:val="000000"/>
          <w:sz w:val="24"/>
        </w:rPr>
        <w:t>consecutive calendar months ending on March 31, June 30, September 30 or December 31 of any Calendar Year, except that the first Calendar Quarter of the Term will commence on the Effective Date and the last Calendar Quarter will end on the last day of the Term.</w:t>
      </w:r>
    </w:p>
    <w:p>
      <w:pPr>
        <w:pStyle w:val="TextBody"/>
        <w:bidi w:val="0"/>
        <w:spacing w:before="0" w:after="240"/>
        <w:jc w:val="both"/>
        <w:rPr>
          <w:rFonts w:ascii="Times New Roman" w:hAnsi="Times New Roman"/>
          <w:sz w:val="20"/>
        </w:rPr>
      </w:pPr>
      <w:bookmarkStart w:id="47" w:name="docxtextref8"/>
      <w:bookmarkEnd w:id="47"/>
      <w:r>
        <w:rPr>
          <w:rFonts w:ascii="Times New Roman" w:hAnsi="Times New Roman"/>
          <w:b/>
          <w:color w:val="000000"/>
          <w:sz w:val="24"/>
        </w:rPr>
        <w:t xml:space="preserve">1.17 </w:t>
      </w:r>
      <w:r>
        <w:rPr>
          <w:rFonts w:ascii="Times New Roman" w:hAnsi="Times New Roman"/>
          <w:color w:val="000000"/>
          <w:sz w:val="20"/>
        </w:rPr>
        <w:t>“</w:t>
      </w:r>
      <w:r>
        <w:rPr>
          <w:rFonts w:ascii="Times New Roman" w:hAnsi="Times New Roman"/>
          <w:b/>
          <w:color w:val="000000"/>
          <w:sz w:val="24"/>
        </w:rPr>
        <w:t>Calendar</w:t>
      </w:r>
      <w:r>
        <w:rPr>
          <w:rFonts w:ascii="Times New Roman" w:hAnsi="Times New Roman"/>
          <w:color w:val="000000"/>
          <w:sz w:val="20"/>
        </w:rPr>
        <w:t xml:space="preserve"> </w:t>
      </w:r>
      <w:r>
        <w:rPr>
          <w:rFonts w:ascii="Times New Roman" w:hAnsi="Times New Roman"/>
          <w:b/>
          <w:color w:val="000000"/>
          <w:sz w:val="24"/>
        </w:rPr>
        <w:t>Year</w:t>
      </w:r>
      <w:r>
        <w:rPr>
          <w:rFonts w:ascii="Times New Roman" w:hAnsi="Times New Roman"/>
          <w:color w:val="000000"/>
          <w:sz w:val="20"/>
        </w:rPr>
        <w:t xml:space="preserve">” </w:t>
      </w:r>
      <w:r>
        <w:rPr>
          <w:rFonts w:ascii="Times New Roman" w:hAnsi="Times New Roman"/>
          <w:color w:val="000000"/>
          <w:sz w:val="24"/>
        </w:rPr>
        <w:t>means (a)</w:t>
      </w:r>
      <w:r>
        <w:rPr>
          <w:rFonts w:ascii="Times New Roman" w:hAnsi="Times New Roman"/>
          <w:color w:val="000000"/>
          <w:sz w:val="20"/>
        </w:rPr>
        <w:t xml:space="preserve"> </w:t>
      </w:r>
      <w:r>
        <w:rPr>
          <w:rFonts w:ascii="Times New Roman" w:hAnsi="Times New Roman"/>
          <w:color w:val="000000"/>
          <w:sz w:val="24"/>
        </w:rPr>
        <w:t xml:space="preserve">for the first Calendar Year during the Term, the period commencing on the Effective Date and ending on December 31 of the year during which the Effective Date occurs, </w:t>
      </w:r>
      <w:bookmarkStart w:id="48" w:name="docxtextref9"/>
      <w:bookmarkEnd w:id="48"/>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for the last Calendar Year, the period commencing on January 1 of the last year of the Term, and ending on the last day of the Term, and </w:t>
      </w:r>
      <w:bookmarkStart w:id="49" w:name="docxtextref10"/>
      <w:bookmarkEnd w:id="49"/>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each interim period of twelve (12) months commencing on January 1 and ending on December 31.</w:t>
      </w:r>
    </w:p>
    <w:p>
      <w:pPr>
        <w:pStyle w:val="TextBody"/>
        <w:bidi w:val="0"/>
        <w:spacing w:before="0" w:after="240"/>
        <w:jc w:val="both"/>
        <w:rPr>
          <w:rFonts w:ascii="Times New Roman" w:hAnsi="Times New Roman"/>
          <w:sz w:val="20"/>
        </w:rPr>
      </w:pPr>
      <w:bookmarkStart w:id="50" w:name="docxtextref11"/>
      <w:bookmarkEnd w:id="50"/>
      <w:r>
        <w:rPr>
          <w:rFonts w:ascii="Times New Roman" w:hAnsi="Times New Roman"/>
          <w:b/>
          <w:color w:val="000000"/>
          <w:sz w:val="24"/>
        </w:rPr>
        <w:t xml:space="preserve">1.18 </w:t>
      </w:r>
      <w:r>
        <w:rPr>
          <w:rFonts w:ascii="Times New Roman" w:hAnsi="Times New Roman"/>
          <w:color w:val="000000"/>
          <w:sz w:val="20"/>
        </w:rPr>
        <w:t>“</w:t>
      </w:r>
      <w:r>
        <w:rPr>
          <w:rFonts w:ascii="Times New Roman" w:hAnsi="Times New Roman"/>
          <w:b/>
          <w:color w:val="000000"/>
          <w:sz w:val="24"/>
        </w:rPr>
        <w:t>Change</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means, with respect to a Party, (a)</w:t>
      </w:r>
      <w:r>
        <w:rPr>
          <w:rFonts w:ascii="Times New Roman" w:hAnsi="Times New Roman"/>
          <w:color w:val="000000"/>
          <w:sz w:val="20"/>
        </w:rPr>
        <w:t xml:space="preserve"> </w:t>
      </w:r>
      <w:r>
        <w:rPr>
          <w:rFonts w:ascii="Times New Roman" w:hAnsi="Times New Roman"/>
          <w:color w:val="000000"/>
          <w:sz w:val="24"/>
        </w:rPr>
        <w:t xml:space="preserve">a merger, reorganization or consolidation of such Party with or into a Third Party which results in the voting securities of such Party outstanding immediately prior thereto ceasing to represent at least fifty percent (50%) of the combined voting power of the surviving entity or the ultimate parent of the surviving entity immediately after such merger, reorganization or consolidation, </w:t>
      </w:r>
      <w:bookmarkStart w:id="51" w:name="docxtextref12"/>
      <w:bookmarkEnd w:id="51"/>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 Third Party becoming the beneficial owner of fifty percent (50%) or more of the combined voting power of the outstanding securities of such Party other than as a result of a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 xml:space="preserve">financing transaction of such Party or </w:t>
      </w:r>
      <w:bookmarkStart w:id="52" w:name="docxtextref13"/>
      <w:bookmarkEnd w:id="52"/>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sale or other transfer to a Third Party (in one (1) transaction or a series of related transactions) of all or substantially all of such Party’s business or assets to which this Agreement relates.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1.19 </w:t>
      </w:r>
      <w:r>
        <w:rPr>
          <w:rFonts w:ascii="Times New Roman" w:hAnsi="Times New Roman"/>
          <w:color w:val="000000"/>
          <w:sz w:val="20"/>
        </w:rPr>
        <w:t>“</w:t>
      </w:r>
      <w:r>
        <w:rPr>
          <w:rFonts w:ascii="Times New Roman" w:hAnsi="Times New Roman"/>
          <w:b/>
          <w:color w:val="000000"/>
          <w:sz w:val="24"/>
        </w:rPr>
        <w:t>Clearside</w:t>
      </w:r>
      <w:r>
        <w:rPr>
          <w:rFonts w:ascii="Times New Roman" w:hAnsi="Times New Roman"/>
          <w:color w:val="000000"/>
          <w:sz w:val="20"/>
        </w:rPr>
        <w:t xml:space="preserve">” </w:t>
      </w:r>
      <w:r>
        <w:rPr>
          <w:rFonts w:ascii="Times New Roman" w:hAnsi="Times New Roman"/>
          <w:color w:val="000000"/>
          <w:sz w:val="24"/>
        </w:rPr>
        <w:t>is defined in the introduction to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1.20 </w:t>
      </w:r>
      <w:r>
        <w:rPr>
          <w:rFonts w:ascii="Times New Roman" w:hAnsi="Times New Roman"/>
          <w:color w:val="000000"/>
          <w:sz w:val="20"/>
        </w:rPr>
        <w:t>“</w:t>
      </w:r>
      <w:r>
        <w:rPr>
          <w:rFonts w:ascii="Times New Roman" w:hAnsi="Times New Roman"/>
          <w:b/>
          <w:color w:val="000000"/>
          <w:sz w:val="24"/>
        </w:rPr>
        <w:t>Clearside Device</w:t>
      </w:r>
      <w:r>
        <w:rPr>
          <w:rFonts w:ascii="Times New Roman" w:hAnsi="Times New Roman"/>
          <w:color w:val="000000"/>
          <w:sz w:val="20"/>
        </w:rPr>
        <w:t xml:space="preserve">” </w:t>
      </w:r>
      <w:r>
        <w:rPr>
          <w:rFonts w:ascii="Times New Roman" w:hAnsi="Times New Roman"/>
          <w:color w:val="000000"/>
          <w:sz w:val="24"/>
        </w:rPr>
        <w:t>means a drug delivery device for delivery of therapeutic agents (including the BioCryst Compound) to the suprachoroidal space of the eye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1.21 </w:t>
      </w:r>
      <w:r>
        <w:rPr>
          <w:rFonts w:ascii="Times New Roman" w:hAnsi="Times New Roman"/>
          <w:color w:val="000000"/>
          <w:sz w:val="20"/>
        </w:rPr>
        <w:t>“</w:t>
      </w:r>
      <w:r>
        <w:rPr>
          <w:rFonts w:ascii="Times New Roman" w:hAnsi="Times New Roman"/>
          <w:b/>
          <w:color w:val="000000"/>
          <w:sz w:val="24"/>
        </w:rPr>
        <w:t>Clearside Device Specifications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4.2(a)(i)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1.22 </w:t>
      </w:r>
      <w:r>
        <w:rPr>
          <w:rFonts w:ascii="Times New Roman" w:hAnsi="Times New Roman"/>
          <w:color w:val="000000"/>
          <w:sz w:val="20"/>
        </w:rPr>
        <w:t>“</w:t>
      </w:r>
      <w:r>
        <w:rPr>
          <w:rFonts w:ascii="Times New Roman" w:hAnsi="Times New Roman"/>
          <w:b/>
          <w:color w:val="000000"/>
          <w:sz w:val="24"/>
        </w:rPr>
        <w:t>Clearside DMF</w:t>
      </w:r>
      <w:r>
        <w:rPr>
          <w:rFonts w:ascii="Times New Roman" w:hAnsi="Times New Roman"/>
          <w:color w:val="000000"/>
          <w:sz w:val="20"/>
        </w:rPr>
        <w:t xml:space="preserve">” </w:t>
      </w:r>
      <w:r>
        <w:rPr>
          <w:rFonts w:ascii="Times New Roman" w:hAnsi="Times New Roman"/>
          <w:color w:val="000000"/>
          <w:sz w:val="24"/>
        </w:rPr>
        <w:t>means Clearside’s device master file number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1.23 </w:t>
      </w:r>
      <w:r>
        <w:rPr>
          <w:rFonts w:ascii="Times New Roman" w:hAnsi="Times New Roman"/>
          <w:color w:val="000000"/>
          <w:sz w:val="20"/>
        </w:rPr>
        <w:t>“</w:t>
      </w:r>
      <w:r>
        <w:rPr>
          <w:rFonts w:ascii="Times New Roman" w:hAnsi="Times New Roman"/>
          <w:b/>
          <w:color w:val="000000"/>
          <w:sz w:val="24"/>
        </w:rPr>
        <w:t>Clearside</w:t>
      </w:r>
      <w:r>
        <w:rPr>
          <w:rFonts w:ascii="Times New Roman" w:hAnsi="Times New Roman"/>
          <w:color w:val="000000"/>
          <w:sz w:val="20"/>
        </w:rPr>
        <w:t xml:space="preserve"> </w:t>
      </w:r>
      <w:r>
        <w:rPr>
          <w:rFonts w:ascii="Times New Roman" w:hAnsi="Times New Roman"/>
          <w:b/>
          <w:color w:val="000000"/>
          <w:sz w:val="24"/>
        </w:rPr>
        <w:t>Indemnified</w:t>
      </w:r>
      <w:r>
        <w:rPr>
          <w:rFonts w:ascii="Times New Roman" w:hAnsi="Times New Roman"/>
          <w:color w:val="000000"/>
          <w:sz w:val="20"/>
        </w:rPr>
        <w:t xml:space="preserve">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BioCryst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1.24 </w:t>
      </w:r>
      <w:r>
        <w:rPr>
          <w:rFonts w:ascii="Times New Roman" w:hAnsi="Times New Roman"/>
          <w:color w:val="000000"/>
          <w:sz w:val="20"/>
        </w:rPr>
        <w:t>“</w:t>
      </w:r>
      <w:r>
        <w:rPr>
          <w:rFonts w:ascii="Times New Roman" w:hAnsi="Times New Roman"/>
          <w:b/>
          <w:color w:val="000000"/>
          <w:sz w:val="24"/>
        </w:rPr>
        <w:t>Clearside Inventions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6.5(b)(ii)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Clearside Solely-Owned IP</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53" w:name="docxtextref14"/>
      <w:bookmarkEnd w:id="53"/>
      <w:r>
        <w:rPr>
          <w:rFonts w:ascii="Times New Roman" w:hAnsi="Times New Roman"/>
          <w:b/>
          <w:color w:val="000000"/>
          <w:sz w:val="24"/>
        </w:rPr>
        <w:t xml:space="preserve">1.25 </w:t>
      </w:r>
      <w:r>
        <w:rPr>
          <w:rFonts w:ascii="Times New Roman" w:hAnsi="Times New Roman"/>
          <w:color w:val="000000"/>
          <w:sz w:val="20"/>
        </w:rPr>
        <w:t>“</w:t>
      </w:r>
      <w:r>
        <w:rPr>
          <w:rFonts w:ascii="Times New Roman" w:hAnsi="Times New Roman"/>
          <w:b/>
          <w:color w:val="000000"/>
          <w:sz w:val="24"/>
        </w:rPr>
        <w:t>Clearside</w:t>
      </w:r>
      <w:r>
        <w:rPr>
          <w:rFonts w:ascii="Times New Roman" w:hAnsi="Times New Roman"/>
          <w:color w:val="000000"/>
          <w:sz w:val="20"/>
        </w:rPr>
        <w:t xml:space="preserve"> </w:t>
      </w:r>
      <w:r>
        <w:rPr>
          <w:rFonts w:ascii="Times New Roman" w:hAnsi="Times New Roman"/>
          <w:b/>
          <w:color w:val="000000"/>
          <w:sz w:val="24"/>
        </w:rPr>
        <w:t>Know-How</w:t>
      </w:r>
      <w:r>
        <w:rPr>
          <w:rFonts w:ascii="Times New Roman" w:hAnsi="Times New Roman"/>
          <w:color w:val="000000"/>
          <w:sz w:val="20"/>
        </w:rPr>
        <w:t xml:space="preserve">” </w:t>
      </w:r>
      <w:r>
        <w:rPr>
          <w:rFonts w:ascii="Times New Roman" w:hAnsi="Times New Roman"/>
          <w:color w:val="000000"/>
          <w:sz w:val="24"/>
        </w:rPr>
        <w:t>means all Know-How that (a)</w:t>
      </w:r>
      <w:r>
        <w:rPr>
          <w:rFonts w:ascii="Times New Roman" w:hAnsi="Times New Roman"/>
          <w:color w:val="000000"/>
          <w:sz w:val="20"/>
        </w:rPr>
        <w:t xml:space="preserve"> </w:t>
      </w:r>
      <w:r>
        <w:rPr>
          <w:rFonts w:ascii="Times New Roman" w:hAnsi="Times New Roman"/>
          <w:color w:val="000000"/>
          <w:sz w:val="24"/>
        </w:rPr>
        <w:t xml:space="preserve">is Controlled by Clearside or any of its Affiliates as of the Effective Date or becomes Controlled by Clearside or any of its Affiliates during the Term </w:t>
      </w:r>
      <w:bookmarkStart w:id="54" w:name="docxtextref15"/>
      <w:bookmarkEnd w:id="54"/>
      <w:r>
        <w:rPr>
          <w:rFonts w:ascii="Times New Roman" w:hAnsi="Times New Roman"/>
          <w:color w:val="000000"/>
          <w:sz w:val="24"/>
        </w:rPr>
        <w:t>and (b)</w:t>
      </w:r>
      <w:r>
        <w:rPr>
          <w:rFonts w:ascii="Times New Roman" w:hAnsi="Times New Roman"/>
          <w:color w:val="000000"/>
          <w:sz w:val="20"/>
        </w:rPr>
        <w:t xml:space="preserve"> </w:t>
      </w:r>
      <w:r>
        <w:rPr>
          <w:rFonts w:ascii="Times New Roman" w:hAnsi="Times New Roman"/>
          <w:color w:val="000000"/>
          <w:sz w:val="24"/>
        </w:rPr>
        <w:t xml:space="preserve">is necessary or useful for the Exploitation of a Clearside Device or administration of the BioCryst Compound using a Clearside Device. Without limiting the foregoing, Clearside Know-How includes Know-How relating to administration of any biological molecule, compound or other active ingredient or biologically active substance using a Clearside Device, </w:t>
      </w:r>
      <w:bookmarkStart w:id="55" w:name="docxtextref18"/>
      <w:bookmarkEnd w:id="55"/>
      <w:r>
        <w:rPr>
          <w:rFonts w:ascii="Times New Roman" w:hAnsi="Times New Roman"/>
          <w:color w:val="000000"/>
          <w:sz w:val="24"/>
        </w:rPr>
        <w:t>and design of pre-clinical and clinical studies to test the safety and efficacy of a Clearside Device.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1.26 </w:t>
      </w:r>
      <w:r>
        <w:rPr>
          <w:rFonts w:ascii="Times New Roman" w:hAnsi="Times New Roman"/>
          <w:color w:val="000000"/>
          <w:sz w:val="20"/>
        </w:rPr>
        <w:t>“</w:t>
      </w:r>
      <w:r>
        <w:rPr>
          <w:rFonts w:ascii="Times New Roman" w:hAnsi="Times New Roman"/>
          <w:b/>
          <w:color w:val="000000"/>
          <w:sz w:val="24"/>
        </w:rPr>
        <w:t>Clearside Manufacturing Know-How</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Transfer of Know-How</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1.27 </w:t>
      </w:r>
      <w:r>
        <w:rPr>
          <w:rFonts w:ascii="Times New Roman" w:hAnsi="Times New Roman"/>
          <w:color w:val="000000"/>
          <w:sz w:val="20"/>
        </w:rPr>
        <w:t>“</w:t>
      </w:r>
      <w:r>
        <w:rPr>
          <w:rFonts w:ascii="Times New Roman" w:hAnsi="Times New Roman"/>
          <w:b/>
          <w:color w:val="000000"/>
          <w:sz w:val="24"/>
        </w:rPr>
        <w:t>Clearside Patent Rights</w:t>
      </w:r>
      <w:r>
        <w:rPr>
          <w:rFonts w:ascii="Times New Roman" w:hAnsi="Times New Roman"/>
          <w:color w:val="000000"/>
          <w:sz w:val="20"/>
        </w:rPr>
        <w:t xml:space="preserve">” </w:t>
      </w:r>
      <w:r>
        <w:rPr>
          <w:rFonts w:ascii="Times New Roman" w:hAnsi="Times New Roman"/>
          <w:color w:val="000000"/>
          <w:sz w:val="24"/>
        </w:rPr>
        <w:t xml:space="preserve">means (a) those Patent Rights Controlled by Clearside or any of its Affiliates as of the Effective Date and (b) any Patent Rights that become Controlled by Clearside or any of its Affiliates during the Term, in each case of (a) and (b), that Cover the Exploitation of the Covered Product. The Clearside Patent Rights existing as of the Effective Date include the Patent Rights identified in </w:t>
      </w:r>
      <w:r>
        <w:rPr>
          <w:rFonts w:ascii="Times New Roman" w:hAnsi="Times New Roman"/>
          <w:color w:val="000000"/>
          <w:sz w:val="24"/>
          <w:u w:val="single"/>
        </w:rPr>
        <w:t>Exhibit 1.27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mallCaps/>
          <w:color w:val="000000"/>
          <w:sz w:val="24"/>
        </w:rPr>
        <w:t>Clearside Patent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1.28 </w:t>
      </w:r>
      <w:r>
        <w:rPr>
          <w:rFonts w:ascii="Times New Roman" w:hAnsi="Times New Roman"/>
          <w:color w:val="000000"/>
          <w:sz w:val="20"/>
        </w:rPr>
        <w:t>“</w:t>
      </w:r>
      <w:r>
        <w:rPr>
          <w:rFonts w:ascii="Times New Roman" w:hAnsi="Times New Roman"/>
          <w:b/>
          <w:color w:val="000000"/>
          <w:sz w:val="24"/>
        </w:rPr>
        <w:t>Clearside Technology</w:t>
      </w:r>
      <w:r>
        <w:rPr>
          <w:rFonts w:ascii="Times New Roman" w:hAnsi="Times New Roman"/>
          <w:color w:val="000000"/>
          <w:sz w:val="20"/>
        </w:rPr>
        <w:t xml:space="preserve">” </w:t>
      </w:r>
      <w:r>
        <w:rPr>
          <w:rFonts w:ascii="Times New Roman" w:hAnsi="Times New Roman"/>
          <w:color w:val="000000"/>
          <w:sz w:val="24"/>
        </w:rPr>
        <w:t>means the Clearside Patent Rights and the Clearside Know-How.</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1.29 </w:t>
      </w:r>
      <w:r>
        <w:rPr>
          <w:rFonts w:ascii="Times New Roman" w:hAnsi="Times New Roman"/>
          <w:color w:val="000000"/>
          <w:sz w:val="20"/>
        </w:rPr>
        <w:t>“</w:t>
      </w:r>
      <w:r>
        <w:rPr>
          <w:rFonts w:ascii="Times New Roman" w:hAnsi="Times New Roman"/>
          <w:b/>
          <w:color w:val="000000"/>
          <w:sz w:val="24"/>
        </w:rPr>
        <w:t>Continuation Notice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9.2(e)(i)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1.30 </w:t>
      </w:r>
      <w:r>
        <w:rPr>
          <w:rFonts w:ascii="Times New Roman" w:hAnsi="Times New Roman"/>
          <w:color w:val="000000"/>
          <w:sz w:val="20"/>
        </w:rPr>
        <w:t>“</w:t>
      </w:r>
      <w:r>
        <w:rPr>
          <w:rFonts w:ascii="Times New Roman" w:hAnsi="Times New Roman"/>
          <w:b/>
          <w:color w:val="000000"/>
          <w:sz w:val="24"/>
        </w:rPr>
        <w:t>Cost of Goods Sold</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COGS</w:t>
      </w:r>
      <w:r>
        <w:rPr>
          <w:rFonts w:ascii="Times New Roman" w:hAnsi="Times New Roman"/>
          <w:color w:val="000000"/>
          <w:sz w:val="20"/>
        </w:rPr>
        <w:t xml:space="preserve">” </w:t>
      </w:r>
      <w:r>
        <w:rPr>
          <w:rFonts w:ascii="Times New Roman" w:hAnsi="Times New Roman"/>
          <w:color w:val="000000"/>
          <w:sz w:val="24"/>
        </w:rPr>
        <w:t>means, with respect to a particular Clearside Device, the reasonable internal and Out-of-Pocket Costs of Clearside or any of its Affiliates incurred in Manufacturing such Clearside Device, including: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to the extent that a Clearside Device is Manufactured by Clearside or any of its Affiliates, direct material and direct labor costs, logistics costs, plus manufacturing overhead directly attributable only to such Clearside Device (including quality assurance and quality control activities, sales, excise or other taxes imposed thereon, customs duties, import, export and other charges levied by Government Authorities, all costs of shipping and insuring such materials, facility start-up costs, directly incurred manufacturing variances, warehousing costs, costs to maintain inventory and a reasonable allocation of related manufacturing administrative and facilities costs (including depreciation)), all determined in accordance with the books and records of Clearside or its applicable Affiliate(s) maintained in accordance with Accounting Standards, consistently applied; and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to the extent that a Clearside Device is Manufactured for Clearside by a Third Party manufacturer for provision by Clearside to BioCryst (or any of its Affiliates, subcontractors, or Sublicensees), the Out-of-Pocket Costs paid by Clearside or any of its Affiliates to the Third Party for the Manufacture of such Clearside Device, plus all reasonably allocated costs of Clearside and its Affiliates as described in the foregoing clause (a) incurred in managing or overseeing the sourcing of such Clearside Device from such Third Party, determined in accordance with the books and records of Clearside or its applicable Affiliate(s) maintained in accordance with Accounting Standards, consistently applied.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1.31 </w:t>
      </w:r>
      <w:r>
        <w:rPr>
          <w:rFonts w:ascii="Times New Roman" w:hAnsi="Times New Roman"/>
          <w:color w:val="000000"/>
          <w:sz w:val="20"/>
        </w:rPr>
        <w:t>“</w:t>
      </w:r>
      <w:r>
        <w:rPr>
          <w:rFonts w:ascii="Times New Roman" w:hAnsi="Times New Roman"/>
          <w:b/>
          <w:color w:val="000000"/>
          <w:sz w:val="24"/>
        </w:rPr>
        <w:t>Commercial Milestone”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Milestones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1.32 </w:t>
      </w:r>
      <w:r>
        <w:rPr>
          <w:rFonts w:ascii="Times New Roman" w:hAnsi="Times New Roman"/>
          <w:color w:val="000000"/>
          <w:sz w:val="20"/>
        </w:rPr>
        <w:t>“</w:t>
      </w:r>
      <w:r>
        <w:rPr>
          <w:rFonts w:ascii="Times New Roman" w:hAnsi="Times New Roman"/>
          <w:b/>
          <w:color w:val="000000"/>
          <w:sz w:val="24"/>
        </w:rPr>
        <w:t>Commercial Milestone Payment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Milestones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1.33 </w:t>
      </w:r>
      <w:r>
        <w:rPr>
          <w:rFonts w:ascii="Times New Roman" w:hAnsi="Times New Roman"/>
          <w:color w:val="000000"/>
          <w:sz w:val="20"/>
        </w:rPr>
        <w:t>“</w:t>
      </w:r>
      <w:r>
        <w:rPr>
          <w:rFonts w:ascii="Times New Roman" w:hAnsi="Times New Roman"/>
          <w:b/>
          <w:color w:val="000000"/>
          <w:sz w:val="24"/>
        </w:rPr>
        <w:t>Commercial Supply Agreement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Manufacture and Supply of Clearside Devices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1.34 </w:t>
      </w:r>
      <w:r>
        <w:rPr>
          <w:rFonts w:ascii="Times New Roman" w:hAnsi="Times New Roman"/>
          <w:color w:val="000000"/>
          <w:sz w:val="20"/>
        </w:rPr>
        <w:t>“</w:t>
      </w:r>
      <w:r>
        <w:rPr>
          <w:rFonts w:ascii="Times New Roman" w:hAnsi="Times New Roman"/>
          <w:b/>
          <w:color w:val="000000"/>
          <w:sz w:val="24"/>
        </w:rPr>
        <w:t>Commercialization</w:t>
      </w:r>
      <w:r>
        <w:rPr>
          <w:rFonts w:ascii="Times New Roman" w:hAnsi="Times New Roman"/>
          <w:color w:val="000000"/>
          <w:sz w:val="20"/>
        </w:rPr>
        <w:t xml:space="preserve">” </w:t>
      </w:r>
      <w:r>
        <w:rPr>
          <w:rFonts w:ascii="Times New Roman" w:hAnsi="Times New Roman"/>
          <w:color w:val="000000"/>
          <w:sz w:val="24"/>
        </w:rPr>
        <w:t>means any and all activities directed to the preparation for sale of, offering for sale of or sale of a product, including activities related to marketing, promoting, detailing, distributing, importing and exporting such product, and interacting with Regulatory Authorities regarding any of the foregoing. When used as a verb, “</w:t>
      </w:r>
      <w:r>
        <w:rPr>
          <w:rFonts w:ascii="Times New Roman" w:hAnsi="Times New Roman"/>
          <w:b/>
          <w:color w:val="000000"/>
          <w:sz w:val="24"/>
        </w:rPr>
        <w:t>to Commercialize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Commercializing</w:t>
      </w:r>
      <w:r>
        <w:rPr>
          <w:rFonts w:ascii="Times New Roman" w:hAnsi="Times New Roman"/>
          <w:color w:val="000000"/>
          <w:sz w:val="20"/>
        </w:rPr>
        <w:t xml:space="preserve">” </w:t>
      </w:r>
      <w:r>
        <w:rPr>
          <w:rFonts w:ascii="Times New Roman" w:hAnsi="Times New Roman"/>
          <w:color w:val="000000"/>
          <w:sz w:val="24"/>
        </w:rPr>
        <w:t>means to engage in Commercialization and “</w:t>
      </w:r>
      <w:r>
        <w:rPr>
          <w:rFonts w:ascii="Times New Roman" w:hAnsi="Times New Roman"/>
          <w:b/>
          <w:color w:val="000000"/>
          <w:sz w:val="24"/>
        </w:rPr>
        <w:t>Commercialized</w:t>
      </w:r>
      <w:r>
        <w:rPr>
          <w:rFonts w:ascii="Times New Roman" w:hAnsi="Times New Roman"/>
          <w:color w:val="000000"/>
          <w:sz w:val="20"/>
        </w:rPr>
        <w:t xml:space="preserve">” </w:t>
      </w:r>
      <w:r>
        <w:rPr>
          <w:rFonts w:ascii="Times New Roman" w:hAnsi="Times New Roman"/>
          <w:color w:val="000000"/>
          <w:sz w:val="24"/>
        </w:rPr>
        <w:t>has a corresponding meaning.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1.35 </w:t>
      </w:r>
      <w:r>
        <w:rPr>
          <w:rFonts w:ascii="Times New Roman" w:hAnsi="Times New Roman"/>
          <w:color w:val="000000"/>
          <w:sz w:val="20"/>
        </w:rPr>
        <w:t>“</w:t>
      </w:r>
      <w:r>
        <w:rPr>
          <w:rFonts w:ascii="Times New Roman" w:hAnsi="Times New Roman"/>
          <w:b/>
          <w:color w:val="000000"/>
          <w:sz w:val="24"/>
        </w:rPr>
        <w:t>Commercially Reasonable Efforts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1.36 </w:t>
      </w:r>
      <w:r>
        <w:rPr>
          <w:rFonts w:ascii="Times New Roman" w:hAnsi="Times New Roman"/>
          <w:color w:val="000000"/>
          <w:sz w:val="20"/>
        </w:rPr>
        <w:t>“</w:t>
      </w:r>
      <w:r>
        <w:rPr>
          <w:rFonts w:ascii="Times New Roman" w:hAnsi="Times New Roman"/>
          <w:b/>
          <w:color w:val="000000"/>
          <w:sz w:val="24"/>
        </w:rPr>
        <w:t>Competing Activities</w:t>
      </w:r>
      <w:r>
        <w:rPr>
          <w:rFonts w:ascii="Times New Roman" w:hAnsi="Times New Roman"/>
          <w:color w:val="000000"/>
          <w:sz w:val="20"/>
        </w:rPr>
        <w:t xml:space="preserve">” </w:t>
      </w:r>
      <w:r>
        <w:rPr>
          <w:rFonts w:ascii="Times New Roman" w:hAnsi="Times New Roman"/>
          <w:color w:val="000000"/>
          <w:sz w:val="24"/>
        </w:rPr>
        <w:t xml:space="preserve">means any activities that, if conducted by a Party or any of its Affiliates, would constitute a breach of </w:t>
      </w:r>
      <w:r>
        <w:rPr>
          <w:rFonts w:ascii="Times New Roman" w:hAnsi="Times New Roman"/>
          <w:color w:val="000000"/>
          <w:sz w:val="24"/>
          <w:u w:val="single"/>
        </w:rPr>
        <w:t>Section 2.6(a)(i)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Clearside Obligations</w:t>
      </w:r>
      <w:r>
        <w:rPr>
          <w:rFonts w:ascii="Times New Roman" w:hAnsi="Times New Roman"/>
          <w:color w:val="000000"/>
          <w:sz w:val="24"/>
        </w:rPr>
        <w:t xml:space="preserve">) or </w:t>
      </w:r>
      <w:r>
        <w:rPr>
          <w:rFonts w:ascii="Times New Roman" w:hAnsi="Times New Roman"/>
          <w:color w:val="000000"/>
          <w:sz w:val="24"/>
          <w:u w:val="single"/>
        </w:rPr>
        <w:t>Section 2.6(b)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BioCryst Obligations</w:t>
      </w:r>
      <w:r>
        <w:rPr>
          <w:rFonts w:ascii="Times New Roman" w:hAnsi="Times New Roman"/>
          <w:color w:val="000000"/>
          <w:sz w:val="24"/>
        </w:rPr>
        <w:t xml:space="preserve">), in each case, without consideration of </w:t>
      </w:r>
      <w:r>
        <w:rPr>
          <w:rFonts w:ascii="Times New Roman" w:hAnsi="Times New Roman"/>
          <w:color w:val="000000"/>
          <w:sz w:val="24"/>
          <w:u w:val="single"/>
        </w:rPr>
        <w:t>Section 2.6(c)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Exceptions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1.37</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1.38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1.39 </w:t>
      </w:r>
      <w:r>
        <w:rPr>
          <w:rFonts w:ascii="Times New Roman" w:hAnsi="Times New Roman"/>
          <w:color w:val="000000"/>
          <w:sz w:val="20"/>
        </w:rPr>
        <w:t>“</w:t>
      </w:r>
      <w:r>
        <w:rPr>
          <w:rFonts w:ascii="Times New Roman" w:hAnsi="Times New Roman"/>
          <w:b/>
          <w:color w:val="000000"/>
          <w:sz w:val="24"/>
        </w:rPr>
        <w:t>Confidential Dispute Information</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1.40 </w:t>
      </w:r>
      <w:r>
        <w:rPr>
          <w:rFonts w:ascii="Times New Roman" w:hAnsi="Times New Roman"/>
          <w:color w:val="000000"/>
          <w:sz w:val="20"/>
        </w:rPr>
        <w:t>“</w:t>
      </w:r>
      <w:r>
        <w:rPr>
          <w:rFonts w:ascii="Times New Roman" w:hAnsi="Times New Roman"/>
          <w:b/>
          <w:color w:val="000000"/>
          <w:sz w:val="24"/>
        </w:rPr>
        <w:t>Confidential</w:t>
      </w:r>
      <w:r>
        <w:rPr>
          <w:rFonts w:ascii="Times New Roman" w:hAnsi="Times New Roman"/>
          <w:color w:val="000000"/>
          <w:sz w:val="20"/>
        </w:rPr>
        <w:t xml:space="preserve"> </w:t>
      </w:r>
      <w:r>
        <w:rPr>
          <w:rFonts w:ascii="Times New Roman" w:hAnsi="Times New Roman"/>
          <w:b/>
          <w:color w:val="000000"/>
          <w:sz w:val="24"/>
        </w:rPr>
        <w:t>Information</w:t>
      </w:r>
      <w:r>
        <w:rPr>
          <w:rFonts w:ascii="Times New Roman" w:hAnsi="Times New Roman"/>
          <w:color w:val="000000"/>
          <w:sz w:val="20"/>
        </w:rPr>
        <w:t xml:space="preserve">” </w:t>
      </w:r>
      <w:r>
        <w:rPr>
          <w:rFonts w:ascii="Times New Roman" w:hAnsi="Times New Roman"/>
          <w:color w:val="000000"/>
          <w:sz w:val="24"/>
        </w:rPr>
        <w:t>of a Party means all Know-How or other proprietary information and materials (whether or not patentable) regarding such Party’s technology, products, business or objectives, that is communicated in any way or form by the Disclosing Party to the Receiving Party, either prior to the Effective Date pursuant to the Confidentiality Agreement, Material Transfer Agreement or Technology Access Agreement, or after the Effective Date of this Agreement, and whether or not such Know-How or other non-public or confidential information is identified as confidential at the time of disclosure. “</w:t>
      </w:r>
      <w:r>
        <w:rPr>
          <w:rFonts w:ascii="Times New Roman" w:hAnsi="Times New Roman"/>
          <w:i/>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does not include information that: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was in the lawful knowledge and possession of the Receiving Party or its Affiliates prior to the time it was disclosed to the Receiving Party or its Affiliates, or was otherwise developed independently by the Receiving Party or its Affiliates, in each case, as evidenced by written records kept in the ordinary course of business, or other documentary proof of the Receiving Party or its Affiliates;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was generally available to the public or otherwise part of the public domain at the time of its disclosure to the Receiving Party or its Affiliates;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became generally available to the public or otherwise part of the public domain after its disclosure and other than through any act or omission of the Receiving Party or its Affiliates in breach of this Agreement; or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was disclosed to the Receiving Party or its Affiliates, other than under an obligation of confidentiality, by a Third Party who had no obligation to the Disclosing Party or its Affiliates not to disclose such information to others.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1.41 </w:t>
      </w:r>
      <w:r>
        <w:rPr>
          <w:rFonts w:ascii="Times New Roman" w:hAnsi="Times New Roman"/>
          <w:color w:val="000000"/>
          <w:sz w:val="20"/>
        </w:rPr>
        <w:t>“</w:t>
      </w:r>
      <w:r>
        <w:rPr>
          <w:rFonts w:ascii="Times New Roman" w:hAnsi="Times New Roman"/>
          <w:b/>
          <w:color w:val="000000"/>
          <w:sz w:val="24"/>
        </w:rPr>
        <w:t>Confidentiality</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means the Mutual Confidentiality Agreement, by and between Clearside and BioCryst, dated January 5, 2021.</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1.42 </w:t>
      </w:r>
      <w:r>
        <w:rPr>
          <w:rFonts w:ascii="Times New Roman" w:hAnsi="Times New Roman"/>
          <w:color w:val="000000"/>
          <w:sz w:val="20"/>
        </w:rPr>
        <w:t>“</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Controlled</w:t>
      </w:r>
      <w:r>
        <w:rPr>
          <w:rFonts w:ascii="Times New Roman" w:hAnsi="Times New Roman"/>
          <w:color w:val="000000"/>
          <w:sz w:val="20"/>
        </w:rPr>
        <w:t xml:space="preserve">” </w:t>
      </w:r>
      <w:r>
        <w:rPr>
          <w:rFonts w:ascii="Times New Roman" w:hAnsi="Times New Roman"/>
          <w:color w:val="000000"/>
          <w:sz w:val="24"/>
        </w:rPr>
        <w:t>means, with respect to any item of information, including Know-How, or with respect to any Intellectual Property, the possession (whether by ownership interest or license, other than pursuant to this Agreement) by a Party or its Affiliates of the ability to grant to the other Party access to or a license under such item or right, as provided herein, without violating the terms of any agreement or other arrangements with any Third Party. Notwithstanding anything to the contrary under this Agreement, with respect to any Third Party that becomes an Affiliate of Clearside after the Effective Date (including an Acquirer), no Intellectual Property of such Third Party owned or controlled by such Third Party immediately prior to the date such Third Party becoming an Affiliate of Clearside hereunder will be deemed Controlled by Clearside by virtue of such Third Party becoming an Affiliate of Clearside unless Clearside actually uses such Intellectual Property in the Exploitation of a Clearside Device during the Term.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1.43 </w:t>
      </w:r>
      <w:r>
        <w:rPr>
          <w:rFonts w:ascii="Times New Roman" w:hAnsi="Times New Roman"/>
          <w:color w:val="000000"/>
          <w:sz w:val="20"/>
        </w:rPr>
        <w:t>“</w:t>
      </w:r>
      <w:r>
        <w:rPr>
          <w:rFonts w:ascii="Times New Roman" w:hAnsi="Times New Roman"/>
          <w:b/>
          <w:color w:val="000000"/>
          <w:sz w:val="24"/>
        </w:rPr>
        <w:t>Cover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Covering</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Covered</w:t>
      </w:r>
      <w:r>
        <w:rPr>
          <w:rFonts w:ascii="Times New Roman" w:hAnsi="Times New Roman"/>
          <w:color w:val="000000"/>
          <w:sz w:val="20"/>
        </w:rPr>
        <w:t xml:space="preserve">” </w:t>
      </w:r>
      <w:r>
        <w:rPr>
          <w:rFonts w:ascii="Times New Roman" w:hAnsi="Times New Roman"/>
          <w:color w:val="000000"/>
          <w:sz w:val="24"/>
        </w:rPr>
        <w:t>means, with respect to any Intellectual Property and an activity or product, that the performance of such activity or the making, having made, using, selling, offering for sale, importing, reproducing, creating of derivative works based upon, displaying, distributing, Developing, Commercializing or otherwise Exploiting of such product would, absent a license to such Intellectual Property, infringe, violate or misappropriate such Intellectual Property in the applicable country.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1.44 </w:t>
      </w:r>
      <w:r>
        <w:rPr>
          <w:rFonts w:ascii="Times New Roman" w:hAnsi="Times New Roman"/>
          <w:color w:val="000000"/>
          <w:sz w:val="20"/>
        </w:rPr>
        <w:t>“</w:t>
      </w:r>
      <w:r>
        <w:rPr>
          <w:rFonts w:ascii="Times New Roman" w:hAnsi="Times New Roman"/>
          <w:b/>
          <w:color w:val="000000"/>
          <w:sz w:val="24"/>
        </w:rPr>
        <w:t>Covered Product</w:t>
      </w:r>
      <w:r>
        <w:rPr>
          <w:rFonts w:ascii="Times New Roman" w:hAnsi="Times New Roman"/>
          <w:color w:val="000000"/>
          <w:sz w:val="20"/>
        </w:rPr>
        <w:t xml:space="preserve">” </w:t>
      </w:r>
      <w:r>
        <w:rPr>
          <w:rFonts w:ascii="Times New Roman" w:hAnsi="Times New Roman"/>
          <w:color w:val="000000"/>
          <w:sz w:val="24"/>
        </w:rPr>
        <w:t xml:space="preserve">means the BioCryst Compound that is planned or anticipated to be administered using, or is actually administered using, a Clearside Device;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Covered Product excludes the BioCryst Compound if the BioCryst Compound is actually administered through a method other than a Clearside Device.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1.45 </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1.46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1.47 </w:t>
      </w:r>
      <w:r>
        <w:rPr>
          <w:rFonts w:ascii="Times New Roman" w:hAnsi="Times New Roman"/>
          <w:color w:val="000000"/>
          <w:sz w:val="20"/>
        </w:rPr>
        <w:t>“</w:t>
      </w:r>
      <w:r>
        <w:rPr>
          <w:rFonts w:ascii="Times New Roman" w:hAnsi="Times New Roman"/>
          <w:b/>
          <w:color w:val="000000"/>
          <w:sz w:val="24"/>
        </w:rPr>
        <w:t>Development</w:t>
      </w:r>
      <w:r>
        <w:rPr>
          <w:rFonts w:ascii="Times New Roman" w:hAnsi="Times New Roman"/>
          <w:color w:val="000000"/>
          <w:sz w:val="20"/>
        </w:rPr>
        <w:t xml:space="preserve">” </w:t>
      </w:r>
      <w:r>
        <w:rPr>
          <w:rFonts w:ascii="Times New Roman" w:hAnsi="Times New Roman"/>
          <w:color w:val="000000"/>
          <w:sz w:val="24"/>
        </w:rPr>
        <w:t>means all activities related to research, pre-clinical and other non-clinical testing, test method development and stability testing, toxicology, formulation, process development, qualification and validation, clinical studies (including through Phase IV Clinical Trials), statistical analysis and report writing, the preparation and submission of Drug Approval Applications, regulatory affairs with respect to the foregoing and all other activities necessary or reasonably useful or otherwise requested or required by a Regulatory Authority as a condition or in support of obtaining or maintaining a Regulatory Approval. When used as a verb, “</w:t>
      </w:r>
      <w:r>
        <w:rPr>
          <w:rFonts w:ascii="Times New Roman" w:hAnsi="Times New Roman"/>
          <w:b/>
          <w:color w:val="000000"/>
          <w:sz w:val="24"/>
        </w:rPr>
        <w:t>Develop</w:t>
      </w:r>
      <w:r>
        <w:rPr>
          <w:rFonts w:ascii="Times New Roman" w:hAnsi="Times New Roman"/>
          <w:color w:val="000000"/>
          <w:sz w:val="20"/>
        </w:rPr>
        <w:t xml:space="preserve">” </w:t>
      </w:r>
      <w:r>
        <w:rPr>
          <w:rFonts w:ascii="Times New Roman" w:hAnsi="Times New Roman"/>
          <w:color w:val="000000"/>
          <w:sz w:val="24"/>
        </w:rPr>
        <w:t>means to engage in Development.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1.48 </w:t>
      </w:r>
      <w:r>
        <w:rPr>
          <w:rFonts w:ascii="Times New Roman" w:hAnsi="Times New Roman"/>
          <w:color w:val="000000"/>
          <w:sz w:val="20"/>
        </w:rPr>
        <w:t>“</w:t>
      </w:r>
      <w:r>
        <w:rPr>
          <w:rFonts w:ascii="Times New Roman" w:hAnsi="Times New Roman"/>
          <w:b/>
          <w:color w:val="000000"/>
          <w:sz w:val="24"/>
        </w:rPr>
        <w:t>Development Milestone</w:t>
      </w:r>
      <w:r>
        <w:rPr>
          <w:rFonts w:ascii="Times New Roman" w:hAnsi="Times New Roman"/>
          <w:color w:val="000000"/>
          <w:sz w:val="20"/>
        </w:rPr>
        <w:t xml:space="preserve">” </w:t>
      </w:r>
      <w:r>
        <w:rPr>
          <w:rFonts w:ascii="Times New Roman" w:hAnsi="Times New Roman"/>
          <w:color w:val="000000"/>
          <w:sz w:val="24"/>
        </w:rPr>
        <w:t xml:space="preserve">means the events that trigger Development Milestone Payments as described in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and Regulatory Milestone Payments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1.49 </w:t>
      </w:r>
      <w:r>
        <w:rPr>
          <w:rFonts w:ascii="Times New Roman" w:hAnsi="Times New Roman"/>
          <w:color w:val="000000"/>
          <w:sz w:val="20"/>
        </w:rPr>
        <w:t>“</w:t>
      </w:r>
      <w:r>
        <w:rPr>
          <w:rFonts w:ascii="Times New Roman" w:hAnsi="Times New Roman"/>
          <w:b/>
          <w:color w:val="000000"/>
          <w:sz w:val="24"/>
        </w:rPr>
        <w:t>Development Milestone Payment</w:t>
      </w:r>
      <w:r>
        <w:rPr>
          <w:rFonts w:ascii="Times New Roman" w:hAnsi="Times New Roman"/>
          <w:color w:val="000000"/>
          <w:sz w:val="20"/>
        </w:rPr>
        <w:t xml:space="preserve">” </w:t>
      </w:r>
      <w:r>
        <w:rPr>
          <w:rFonts w:ascii="Times New Roman" w:hAnsi="Times New Roman"/>
          <w:color w:val="000000"/>
          <w:sz w:val="24"/>
        </w:rPr>
        <w:t xml:space="preserve">means the payments set forth in </w:t>
      </w:r>
      <w:r>
        <w:rPr>
          <w:rFonts w:ascii="Times New Roman" w:hAnsi="Times New Roman"/>
          <w:color w:val="000000"/>
          <w:sz w:val="24"/>
          <w:u w:val="single"/>
        </w:rPr>
        <w:t xml:space="preserve">Section 5.2 </w:t>
      </w:r>
      <w:r>
        <w:rPr>
          <w:rFonts w:ascii="Times New Roman" w:hAnsi="Times New Roman"/>
          <w:color w:val="000000"/>
          <w:sz w:val="24"/>
        </w:rPr>
        <w:t>(</w:t>
      </w:r>
      <w:r>
        <w:rPr>
          <w:rFonts w:ascii="Times New Roman" w:hAnsi="Times New Roman"/>
          <w:i/>
          <w:color w:val="000000"/>
          <w:sz w:val="24"/>
        </w:rPr>
        <w:t>Development and Regulatory Milestone Payments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1.50 </w:t>
      </w:r>
      <w:r>
        <w:rPr>
          <w:rFonts w:ascii="Times New Roman" w:hAnsi="Times New Roman"/>
          <w:color w:val="000000"/>
          <w:sz w:val="20"/>
        </w:rPr>
        <w:t>“</w:t>
      </w:r>
      <w:r>
        <w:rPr>
          <w:rFonts w:ascii="Times New Roman" w:hAnsi="Times New Roman"/>
          <w:b/>
          <w:color w:val="000000"/>
          <w:sz w:val="24"/>
        </w:rPr>
        <w:t>Development Order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4.2(a)(ii)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1.51 </w:t>
      </w:r>
      <w:r>
        <w:rPr>
          <w:rFonts w:ascii="Times New Roman" w:hAnsi="Times New Roman"/>
          <w:color w:val="000000"/>
          <w:sz w:val="20"/>
        </w:rPr>
        <w:t>“</w:t>
      </w:r>
      <w:r>
        <w:rPr>
          <w:rFonts w:ascii="Times New Roman" w:hAnsi="Times New Roman"/>
          <w:b/>
          <w:color w:val="000000"/>
          <w:sz w:val="24"/>
        </w:rPr>
        <w:t>Development Services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3.2(d)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Services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1.52 </w:t>
      </w:r>
      <w:r>
        <w:rPr>
          <w:rFonts w:ascii="Times New Roman" w:hAnsi="Times New Roman"/>
          <w:color w:val="000000"/>
          <w:sz w:val="20"/>
        </w:rPr>
        <w:t>“</w:t>
      </w:r>
      <w:r>
        <w:rPr>
          <w:rFonts w:ascii="Times New Roman" w:hAnsi="Times New Roman"/>
          <w:b/>
          <w:color w:val="000000"/>
          <w:sz w:val="24"/>
        </w:rPr>
        <w:t>Disclosing</w:t>
      </w:r>
      <w:r>
        <w:rPr>
          <w:rFonts w:ascii="Times New Roman" w:hAnsi="Times New Roman"/>
          <w:color w:val="000000"/>
          <w:sz w:val="20"/>
        </w:rPr>
        <w:t xml:space="preserve">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Protection of Confidential Information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1.53 </w:t>
      </w:r>
      <w:r>
        <w:rPr>
          <w:rFonts w:ascii="Times New Roman" w:hAnsi="Times New Roman"/>
          <w:color w:val="000000"/>
          <w:sz w:val="20"/>
        </w:rPr>
        <w:t>“</w:t>
      </w:r>
      <w:r>
        <w:rPr>
          <w:rFonts w:ascii="Times New Roman" w:hAnsi="Times New Roman"/>
          <w:b/>
          <w:color w:val="000000"/>
          <w:sz w:val="24"/>
        </w:rPr>
        <w:t>Distributor</w:t>
      </w:r>
      <w:r>
        <w:rPr>
          <w:rFonts w:ascii="Times New Roman" w:hAnsi="Times New Roman"/>
          <w:color w:val="000000"/>
          <w:sz w:val="20"/>
        </w:rPr>
        <w:t xml:space="preserve">” </w:t>
      </w:r>
      <w:r>
        <w:rPr>
          <w:rFonts w:ascii="Times New Roman" w:hAnsi="Times New Roman"/>
          <w:color w:val="000000"/>
          <w:sz w:val="24"/>
        </w:rPr>
        <w:t>means any Person(s) appointed by BioCryst or any of its Affiliates or its or their Sublicensees to distribute, market and sell the Covered Product, with or without packaging rights[***].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1.54 </w:t>
      </w:r>
      <w:r>
        <w:rPr>
          <w:rFonts w:ascii="Times New Roman" w:hAnsi="Times New Roman"/>
          <w:color w:val="000000"/>
          <w:sz w:val="20"/>
        </w:rPr>
        <w:t>“</w:t>
      </w:r>
      <w:r>
        <w:rPr>
          <w:rFonts w:ascii="Times New Roman" w:hAnsi="Times New Roman"/>
          <w:b/>
          <w:color w:val="000000"/>
          <w:sz w:val="24"/>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means United States Dollars.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1.55 </w:t>
      </w:r>
      <w:r>
        <w:rPr>
          <w:rFonts w:ascii="Times New Roman" w:hAnsi="Times New Roman"/>
          <w:color w:val="000000"/>
          <w:sz w:val="20"/>
        </w:rPr>
        <w:t>“</w:t>
      </w:r>
      <w:r>
        <w:rPr>
          <w:rFonts w:ascii="Times New Roman" w:hAnsi="Times New Roman"/>
          <w:b/>
          <w:color w:val="000000"/>
          <w:sz w:val="24"/>
        </w:rPr>
        <w:t>Drug Approval Application</w:t>
      </w:r>
      <w:r>
        <w:rPr>
          <w:rFonts w:ascii="Times New Roman" w:hAnsi="Times New Roman"/>
          <w:color w:val="000000"/>
          <w:sz w:val="20"/>
        </w:rPr>
        <w:t xml:space="preserve">” </w:t>
      </w:r>
      <w:r>
        <w:rPr>
          <w:rFonts w:ascii="Times New Roman" w:hAnsi="Times New Roman"/>
          <w:color w:val="000000"/>
          <w:sz w:val="24"/>
        </w:rPr>
        <w:t>means an NDA, IND or other applications or dossier filed with a Regulatory Authority for the purpose of seeking Regulatory Approval, as applicable.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1.56 </w:t>
      </w:r>
      <w:r>
        <w:rPr>
          <w:rFonts w:ascii="Times New Roman" w:hAnsi="Times New Roman"/>
          <w:color w:val="000000"/>
          <w:sz w:val="20"/>
        </w:rPr>
        <w:t>“</w:t>
      </w:r>
      <w:r>
        <w:rPr>
          <w:rFonts w:ascii="Times New Roman" w:hAnsi="Times New Roman"/>
          <w:b/>
          <w:color w:val="000000"/>
          <w:sz w:val="24"/>
        </w:rPr>
        <w:t>Effective</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is defined in the introduction to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1.57 </w:t>
      </w:r>
      <w:r>
        <w:rPr>
          <w:rFonts w:ascii="Times New Roman" w:hAnsi="Times New Roman"/>
          <w:color w:val="000000"/>
          <w:sz w:val="20"/>
        </w:rPr>
        <w:t>“</w:t>
      </w:r>
      <w:r>
        <w:rPr>
          <w:rFonts w:ascii="Times New Roman" w:hAnsi="Times New Roman"/>
          <w:b/>
          <w:color w:val="000000"/>
          <w:sz w:val="24"/>
        </w:rPr>
        <w:t>EMA</w:t>
      </w:r>
      <w:r>
        <w:rPr>
          <w:rFonts w:ascii="Times New Roman" w:hAnsi="Times New Roman"/>
          <w:color w:val="000000"/>
          <w:sz w:val="20"/>
        </w:rPr>
        <w:t xml:space="preserve">” </w:t>
      </w:r>
      <w:r>
        <w:rPr>
          <w:rFonts w:ascii="Times New Roman" w:hAnsi="Times New Roman"/>
          <w:color w:val="000000"/>
          <w:sz w:val="24"/>
        </w:rPr>
        <w:t>means the European Medicines Agency and any successor agency thereto.</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1.58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1.59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1.60 </w:t>
      </w:r>
      <w:r>
        <w:rPr>
          <w:rFonts w:ascii="Times New Roman" w:hAnsi="Times New Roman"/>
          <w:color w:val="000000"/>
          <w:sz w:val="24"/>
        </w:rPr>
        <w:t>[***</w:t>
      </w:r>
      <w:r>
        <w:rPr>
          <w:rFonts w:ascii="Times New Roman" w:hAnsi="Times New Roman"/>
          <w:smallCaps/>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1.61 </w:t>
      </w:r>
      <w:r>
        <w:rPr>
          <w:rFonts w:ascii="Times New Roman" w:hAnsi="Times New Roman"/>
          <w:color w:val="000000"/>
          <w:sz w:val="20"/>
        </w:rPr>
        <w:t>“</w:t>
      </w:r>
      <w:r>
        <w:rPr>
          <w:rFonts w:ascii="Times New Roman" w:hAnsi="Times New Roman"/>
          <w:b/>
          <w:color w:val="000000"/>
          <w:sz w:val="24"/>
        </w:rPr>
        <w:t>European Major Market Countries</w:t>
      </w:r>
      <w:r>
        <w:rPr>
          <w:rFonts w:ascii="Times New Roman" w:hAnsi="Times New Roman"/>
          <w:color w:val="000000"/>
          <w:sz w:val="20"/>
        </w:rPr>
        <w:t xml:space="preserve">” </w:t>
      </w:r>
      <w:r>
        <w:rPr>
          <w:rFonts w:ascii="Times New Roman" w:hAnsi="Times New Roman"/>
          <w:color w:val="000000"/>
          <w:sz w:val="24"/>
        </w:rPr>
        <w:t>means France, Germany, Italy, Spain and the United Kingdom.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1.62 </w:t>
      </w:r>
      <w:r>
        <w:rPr>
          <w:rFonts w:ascii="Times New Roman" w:hAnsi="Times New Roman"/>
          <w:color w:val="000000"/>
          <w:sz w:val="20"/>
        </w:rPr>
        <w:t>“</w:t>
      </w:r>
      <w:r>
        <w:rPr>
          <w:rFonts w:ascii="Times New Roman" w:hAnsi="Times New Roman"/>
          <w:b/>
          <w:color w:val="000000"/>
          <w:sz w:val="24"/>
        </w:rPr>
        <w:t>Existing Supplier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Existing Supply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1.63 </w:t>
      </w:r>
      <w:r>
        <w:rPr>
          <w:rFonts w:ascii="Times New Roman" w:hAnsi="Times New Roman"/>
          <w:color w:val="000000"/>
          <w:sz w:val="20"/>
        </w:rPr>
        <w:t>“</w:t>
      </w:r>
      <w:r>
        <w:rPr>
          <w:rFonts w:ascii="Times New Roman" w:hAnsi="Times New Roman"/>
          <w:b/>
          <w:color w:val="000000"/>
          <w:sz w:val="24"/>
        </w:rPr>
        <w:t>Existing Supply Agreements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Existing Supply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1.64 </w:t>
      </w:r>
      <w:r>
        <w:rPr>
          <w:rFonts w:ascii="Times New Roman" w:hAnsi="Times New Roman"/>
          <w:color w:val="000000"/>
          <w:sz w:val="20"/>
        </w:rPr>
        <w:t>“</w:t>
      </w:r>
      <w:r>
        <w:rPr>
          <w:rFonts w:ascii="Times New Roman" w:hAnsi="Times New Roman"/>
          <w:b/>
          <w:color w:val="000000"/>
          <w:sz w:val="24"/>
        </w:rPr>
        <w:t>Expert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9.2(e)(iii)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1.65 </w:t>
      </w:r>
      <w:r>
        <w:rPr>
          <w:rFonts w:ascii="Times New Roman" w:hAnsi="Times New Roman"/>
          <w:color w:val="000000"/>
          <w:sz w:val="20"/>
        </w:rPr>
        <w:t>“</w:t>
      </w:r>
      <w:r>
        <w:rPr>
          <w:rFonts w:ascii="Times New Roman" w:hAnsi="Times New Roman"/>
          <w:b/>
          <w:color w:val="000000"/>
          <w:sz w:val="24"/>
        </w:rPr>
        <w:t>Exploit</w:t>
      </w:r>
      <w:r>
        <w:rPr>
          <w:rFonts w:ascii="Times New Roman" w:hAnsi="Times New Roman"/>
          <w:color w:val="000000"/>
          <w:sz w:val="20"/>
        </w:rPr>
        <w:t xml:space="preserve">” </w:t>
      </w:r>
      <w:r>
        <w:rPr>
          <w:rFonts w:ascii="Times New Roman" w:hAnsi="Times New Roman"/>
          <w:color w:val="000000"/>
          <w:sz w:val="24"/>
        </w:rPr>
        <w:t>means to make, have made, use, have used, sell, offer for sale, import and otherwise exploit, including to Develop, Commercialize, hold or keep (whether for disposal or otherwise), Manufacture, export, transport, distribute, conduct medical affairs activities with respect to, promote, and market. “</w:t>
      </w:r>
      <w:r>
        <w:rPr>
          <w:rFonts w:ascii="Times New Roman" w:hAnsi="Times New Roman"/>
          <w:b/>
          <w:color w:val="000000"/>
          <w:sz w:val="24"/>
        </w:rPr>
        <w:t>Exploitation</w:t>
      </w:r>
      <w:r>
        <w:rPr>
          <w:rFonts w:ascii="Times New Roman" w:hAnsi="Times New Roman"/>
          <w:color w:val="000000"/>
          <w:sz w:val="20"/>
        </w:rPr>
        <w:t xml:space="preserve">” </w:t>
      </w:r>
      <w:r>
        <w:rPr>
          <w:rFonts w:ascii="Times New Roman" w:hAnsi="Times New Roman"/>
          <w:color w:val="000000"/>
          <w:sz w:val="24"/>
        </w:rPr>
        <w:t>means the act of Exploiting.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1.66 </w:t>
      </w:r>
      <w:r>
        <w:rPr>
          <w:rFonts w:ascii="Times New Roman" w:hAnsi="Times New Roman"/>
          <w:color w:val="000000"/>
          <w:sz w:val="20"/>
        </w:rPr>
        <w:t>“</w:t>
      </w:r>
      <w:r>
        <w:rPr>
          <w:rFonts w:ascii="Times New Roman" w:hAnsi="Times New Roman"/>
          <w:b/>
          <w:color w:val="000000"/>
          <w:sz w:val="24"/>
        </w:rPr>
        <w:t>FDA</w:t>
      </w:r>
      <w:r>
        <w:rPr>
          <w:rFonts w:ascii="Times New Roman" w:hAnsi="Times New Roman"/>
          <w:color w:val="000000"/>
          <w:sz w:val="20"/>
        </w:rPr>
        <w:t xml:space="preserve">” </w:t>
      </w:r>
      <w:r>
        <w:rPr>
          <w:rFonts w:ascii="Times New Roman" w:hAnsi="Times New Roman"/>
          <w:color w:val="000000"/>
          <w:sz w:val="24"/>
        </w:rPr>
        <w:t>means the United States Food and Drug Administration and any successor agency thereto.</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1.67 </w:t>
      </w:r>
      <w:r>
        <w:rPr>
          <w:rFonts w:ascii="Times New Roman" w:hAnsi="Times New Roman"/>
          <w:color w:val="000000"/>
          <w:sz w:val="20"/>
        </w:rPr>
        <w:t>“</w:t>
      </w:r>
      <w:r>
        <w:rPr>
          <w:rFonts w:ascii="Times New Roman" w:hAnsi="Times New Roman"/>
          <w:b/>
          <w:color w:val="000000"/>
          <w:sz w:val="24"/>
        </w:rPr>
        <w:t>Field</w:t>
      </w:r>
      <w:r>
        <w:rPr>
          <w:rFonts w:ascii="Times New Roman" w:hAnsi="Times New Roman"/>
          <w:color w:val="000000"/>
          <w:sz w:val="20"/>
        </w:rPr>
        <w:t xml:space="preserve">” </w:t>
      </w:r>
      <w:r>
        <w:rPr>
          <w:rFonts w:ascii="Times New Roman" w:hAnsi="Times New Roman"/>
          <w:color w:val="000000"/>
          <w:sz w:val="24"/>
        </w:rPr>
        <w:t>means the treatment and prevention of diabetic macular edema.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56" w:name="docxtextref316"/>
      <w:bookmarkEnd w:id="56"/>
      <w:r>
        <w:rPr>
          <w:rFonts w:ascii="Times New Roman" w:hAnsi="Times New Roman"/>
          <w:b/>
          <w:color w:val="000000"/>
          <w:sz w:val="24"/>
        </w:rPr>
        <w:t xml:space="preserve">1.68 </w:t>
      </w:r>
      <w:r>
        <w:rPr>
          <w:rFonts w:ascii="Times New Roman" w:hAnsi="Times New Roman"/>
          <w:color w:val="000000"/>
          <w:sz w:val="20"/>
        </w:rPr>
        <w:t>“</w:t>
      </w:r>
      <w:r>
        <w:rPr>
          <w:rFonts w:ascii="Times New Roman" w:hAnsi="Times New Roman"/>
          <w:b/>
          <w:color w:val="000000"/>
          <w:sz w:val="24"/>
        </w:rPr>
        <w:t>Firewall</w:t>
      </w:r>
      <w:r>
        <w:rPr>
          <w:rFonts w:ascii="Times New Roman" w:hAnsi="Times New Roman"/>
          <w:color w:val="000000"/>
          <w:sz w:val="20"/>
        </w:rPr>
        <w:t xml:space="preserve">” </w:t>
      </w:r>
      <w:r>
        <w:rPr>
          <w:rFonts w:ascii="Times New Roman" w:hAnsi="Times New Roman"/>
          <w:color w:val="000000"/>
          <w:sz w:val="24"/>
        </w:rPr>
        <w:t>means reasonable and practical technical and administrative safeguards established by a Party that separate activities outside of this Agreement from activities under this Agreement, including to: (a)</w:t>
      </w:r>
      <w:r>
        <w:rPr>
          <w:rFonts w:ascii="Times New Roman" w:hAnsi="Times New Roman"/>
          <w:color w:val="000000"/>
          <w:sz w:val="20"/>
        </w:rPr>
        <w:t xml:space="preserve"> </w:t>
      </w:r>
      <w:r>
        <w:rPr>
          <w:rFonts w:ascii="Times New Roman" w:hAnsi="Times New Roman"/>
          <w:color w:val="000000"/>
          <w:sz w:val="24"/>
        </w:rPr>
        <w:t xml:space="preserve">restrict access of personnel involved in performing activities outside of this Agreement to any Confidential Information of the other Party; and </w:t>
      </w:r>
      <w:bookmarkStart w:id="57" w:name="docxtextref317"/>
      <w:bookmarkEnd w:id="57"/>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restrict access of personnel involved in performing activities under this Agreement to non-public plans or non-public information relating to such activities; </w:t>
      </w:r>
      <w:r>
        <w:rPr>
          <w:rFonts w:ascii="Times New Roman" w:hAnsi="Times New Roman"/>
          <w:i/>
          <w:color w:val="000000"/>
          <w:sz w:val="24"/>
        </w:rPr>
        <w:t>provided</w:t>
      </w:r>
      <w:r>
        <w:rPr>
          <w:rFonts w:ascii="Times New Roman" w:hAnsi="Times New Roman"/>
          <w:color w:val="000000"/>
          <w:sz w:val="24"/>
        </w:rPr>
        <w:t>, that, in each case ((a) and (b)), senior management personnel may review and evaluate plans and information regarding such activities solely in connection with monitoring the progress of products, including portfolio decision-making among product opportunities. When used as a verb, “</w:t>
      </w:r>
      <w:r>
        <w:rPr>
          <w:rFonts w:ascii="Times New Roman" w:hAnsi="Times New Roman"/>
          <w:b/>
          <w:color w:val="000000"/>
          <w:sz w:val="24"/>
        </w:rPr>
        <w:t>Firewall</w:t>
      </w:r>
      <w:r>
        <w:rPr>
          <w:rFonts w:ascii="Times New Roman" w:hAnsi="Times New Roman"/>
          <w:color w:val="000000"/>
          <w:sz w:val="20"/>
        </w:rPr>
        <w:t xml:space="preserve">” </w:t>
      </w:r>
      <w:r>
        <w:rPr>
          <w:rFonts w:ascii="Times New Roman" w:hAnsi="Times New Roman"/>
          <w:color w:val="000000"/>
          <w:sz w:val="24"/>
        </w:rPr>
        <w:t>means to establish a Firewall.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1.69 </w:t>
      </w:r>
      <w:r>
        <w:rPr>
          <w:rFonts w:ascii="Times New Roman" w:hAnsi="Times New Roman"/>
          <w:color w:val="000000"/>
          <w:sz w:val="20"/>
        </w:rPr>
        <w:t>“</w:t>
      </w:r>
      <w:r>
        <w:rPr>
          <w:rFonts w:ascii="Times New Roman" w:hAnsi="Times New Roman"/>
          <w:b/>
          <w:color w:val="000000"/>
          <w:sz w:val="24"/>
        </w:rPr>
        <w:t>First Commercial Sale</w:t>
      </w:r>
      <w:r>
        <w:rPr>
          <w:rFonts w:ascii="Times New Roman" w:hAnsi="Times New Roman"/>
          <w:color w:val="000000"/>
          <w:sz w:val="20"/>
        </w:rPr>
        <w:t xml:space="preserve">” </w:t>
      </w:r>
      <w:r>
        <w:rPr>
          <w:rFonts w:ascii="Times New Roman" w:hAnsi="Times New Roman"/>
          <w:color w:val="000000"/>
          <w:sz w:val="24"/>
        </w:rPr>
        <w:t>means, with respect to the Covered Product and a country, the first sale for monetary value for use or consumption to the end user of the Covered Product in such country after Regulatory Approval for the Covered Product has been obtained in such country. Sales prior to receipt of Regulatory Approval for the Covered Product, such as so-called “treatment IND sales,” “named patient sales,” and “compassionate use sales,” will not be construed as a First Commercial Sale.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1.70 </w:t>
      </w:r>
      <w:r>
        <w:rPr>
          <w:rFonts w:ascii="Times New Roman" w:hAnsi="Times New Roman"/>
          <w:color w:val="000000"/>
          <w:sz w:val="20"/>
        </w:rPr>
        <w:t>“</w:t>
      </w:r>
      <w:r>
        <w:rPr>
          <w:rFonts w:ascii="Times New Roman" w:hAnsi="Times New Roman"/>
          <w:b/>
          <w:color w:val="000000"/>
          <w:sz w:val="24"/>
        </w:rPr>
        <w:t>Forecast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4.2(a)(ii)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1.71 </w:t>
      </w:r>
      <w:r>
        <w:rPr>
          <w:rFonts w:ascii="Times New Roman" w:hAnsi="Times New Roman"/>
          <w:color w:val="000000"/>
          <w:sz w:val="20"/>
        </w:rPr>
        <w:t>“</w:t>
      </w:r>
      <w:r>
        <w:rPr>
          <w:rFonts w:ascii="Times New Roman" w:hAnsi="Times New Roman"/>
          <w:b/>
          <w:color w:val="000000"/>
          <w:sz w:val="24"/>
        </w:rPr>
        <w:t>Foreground IP</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6.5(b)(i)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BioCryst Solely-Owned IP</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1.72 </w:t>
      </w:r>
      <w:r>
        <w:rPr>
          <w:rFonts w:ascii="Times New Roman" w:hAnsi="Times New Roman"/>
          <w:color w:val="000000"/>
          <w:sz w:val="20"/>
        </w:rPr>
        <w:t>“</w:t>
      </w:r>
      <w:r>
        <w:rPr>
          <w:rFonts w:ascii="Times New Roman" w:hAnsi="Times New Roman"/>
          <w:b/>
          <w:color w:val="000000"/>
          <w:sz w:val="24"/>
        </w:rPr>
        <w:t>Generic Product</w:t>
      </w:r>
      <w:r>
        <w:rPr>
          <w:rFonts w:ascii="Times New Roman" w:hAnsi="Times New Roman"/>
          <w:color w:val="000000"/>
          <w:sz w:val="20"/>
        </w:rPr>
        <w:t xml:space="preserve">” </w:t>
      </w:r>
      <w:r>
        <w:rPr>
          <w:rFonts w:ascii="Times New Roman" w:hAnsi="Times New Roman"/>
          <w:color w:val="000000"/>
          <w:sz w:val="24"/>
        </w:rPr>
        <w:t>means, with respect to the Covered Product in a country, a pharmaceutical product delivered to the suprachoroidal space of the eye using a drug delivery device (other than the Covered Product) that (a) is sold by a Third Party other than a Distributor or Sublicensee under license from BioCryst in such country, (b) is authorized for use in such country in one or more of the indications for which the Covered Product has Regulatory Approval in such country; and (c) either (i) contains the same active pharmaceutical ingredient(s) as the Covered Product or (ii) is a product approved by way of an abbreviated regulatory mechanism by the Regulatory Authority in such country that, in each case, meets the equivalency determination by the applicable Regulatory Authority (including a determination that the product is “comparable”, “interchangeable”, “bioequivalent”, “biosimilar” or other term of similar meaning, if applicable, with respect to the Covered Product).</w:t>
      </w:r>
    </w:p>
    <w:p>
      <w:pPr>
        <w:pStyle w:val="TextBody"/>
        <w:bidi w:val="0"/>
        <w:spacing w:before="0" w:after="240"/>
        <w:jc w:val="both"/>
        <w:rPr>
          <w:rFonts w:ascii="Times New Roman" w:hAnsi="Times New Roman"/>
          <w:sz w:val="20"/>
        </w:rPr>
      </w:pPr>
      <w:bookmarkStart w:id="58" w:name="docxtextref21"/>
      <w:bookmarkEnd w:id="58"/>
      <w:r>
        <w:rPr>
          <w:rFonts w:ascii="Times New Roman" w:hAnsi="Times New Roman"/>
          <w:b/>
          <w:color w:val="000000"/>
          <w:sz w:val="24"/>
        </w:rPr>
        <w:t xml:space="preserve">1.73 </w:t>
      </w:r>
      <w:r>
        <w:rPr>
          <w:rFonts w:ascii="Times New Roman" w:hAnsi="Times New Roman"/>
          <w:color w:val="000000"/>
          <w:sz w:val="20"/>
        </w:rPr>
        <w:t>“</w:t>
      </w:r>
      <w:r>
        <w:rPr>
          <w:rFonts w:ascii="Times New Roman" w:hAnsi="Times New Roman"/>
          <w:b/>
          <w:color w:val="000000"/>
          <w:sz w:val="24"/>
        </w:rPr>
        <w:t>GMP</w:t>
      </w:r>
      <w:r>
        <w:rPr>
          <w:rFonts w:ascii="Times New Roman" w:hAnsi="Times New Roman"/>
          <w:color w:val="000000"/>
          <w:sz w:val="20"/>
        </w:rPr>
        <w:t xml:space="preserve">” </w:t>
      </w:r>
      <w:r>
        <w:rPr>
          <w:rFonts w:ascii="Times New Roman" w:hAnsi="Times New Roman"/>
          <w:color w:val="000000"/>
          <w:sz w:val="24"/>
        </w:rPr>
        <w:t>means the principle of good manufacturing practice in respect of medicinal products for human use and investigational medicinal products for human use as required by Applicable Law, including quality/technical arrangements required under Pharmaceutical Inspection Convention and Pharmaceutical Inspection Co-operation Scheme (PIC/S), European Commission Directive 2003/94/EC, EudraLex Volume 4</w:t>
      </w:r>
      <w:r>
        <w:rPr>
          <w:rFonts w:ascii="Times New Roman" w:hAnsi="Times New Roman"/>
          <w:color w:val="000000"/>
          <w:sz w:val="20"/>
        </w:rPr>
        <w:t xml:space="preserve"> </w:t>
      </w:r>
      <w:r>
        <w:rPr>
          <w:rFonts w:ascii="Times New Roman" w:hAnsi="Times New Roman"/>
          <w:color w:val="000000"/>
          <w:sz w:val="24"/>
        </w:rPr>
        <w:t xml:space="preserve">and FDA </w:t>
      </w:r>
      <w:bookmarkStart w:id="59" w:name="docxtextref22"/>
      <w:bookmarkEnd w:id="59"/>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 xml:space="preserve">CFR Parts </w:t>
      </w:r>
      <w:bookmarkStart w:id="60" w:name="docxtextref20"/>
      <w:bookmarkEnd w:id="60"/>
      <w:r>
        <w:rPr>
          <w:rFonts w:ascii="Times New Roman" w:hAnsi="Times New Roman"/>
          <w:color w:val="000000"/>
          <w:sz w:val="24"/>
        </w:rPr>
        <w:t xml:space="preserve">11, </w:t>
      </w:r>
      <w:bookmarkStart w:id="61" w:name="docxtextref23"/>
      <w:bookmarkEnd w:id="61"/>
      <w:r>
        <w:rPr>
          <w:rFonts w:ascii="Times New Roman" w:hAnsi="Times New Roman"/>
          <w:color w:val="000000"/>
          <w:sz w:val="24"/>
        </w:rPr>
        <w:t xml:space="preserve">210, </w:t>
      </w:r>
      <w:bookmarkStart w:id="62" w:name="docxtextref24"/>
      <w:bookmarkEnd w:id="62"/>
      <w:r>
        <w:rPr>
          <w:rFonts w:ascii="Times New Roman" w:hAnsi="Times New Roman"/>
          <w:color w:val="000000"/>
          <w:sz w:val="24"/>
        </w:rPr>
        <w:t xml:space="preserve">211, </w:t>
      </w:r>
      <w:bookmarkStart w:id="63" w:name="docxtextref25"/>
      <w:bookmarkEnd w:id="63"/>
      <w:r>
        <w:rPr>
          <w:rFonts w:ascii="Times New Roman" w:hAnsi="Times New Roman"/>
          <w:color w:val="000000"/>
          <w:sz w:val="24"/>
        </w:rPr>
        <w:t xml:space="preserve">600-680, </w:t>
      </w:r>
      <w:bookmarkStart w:id="64" w:name="docxtextref26"/>
      <w:bookmarkEnd w:id="64"/>
      <w:r>
        <w:rPr>
          <w:rFonts w:ascii="Times New Roman" w:hAnsi="Times New Roman"/>
          <w:color w:val="000000"/>
          <w:sz w:val="24"/>
        </w:rPr>
        <w:t>820</w:t>
      </w:r>
      <w:r>
        <w:rPr>
          <w:rFonts w:ascii="Times New Roman" w:hAnsi="Times New Roman"/>
          <w:color w:val="000000"/>
          <w:sz w:val="20"/>
        </w:rPr>
        <w:t xml:space="preserve"> </w:t>
      </w:r>
      <w:r>
        <w:rPr>
          <w:rFonts w:ascii="Times New Roman" w:hAnsi="Times New Roman"/>
          <w:color w:val="000000"/>
          <w:sz w:val="24"/>
        </w:rPr>
        <w:t>as well as any successor legislation, any national legislation implementing the aforesaid Directive and any relevant guidance relating thereto.</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1.74 </w:t>
      </w:r>
      <w:r>
        <w:rPr>
          <w:rFonts w:ascii="Times New Roman" w:hAnsi="Times New Roman"/>
          <w:color w:val="000000"/>
          <w:sz w:val="2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court, agency, department, authority or other instrumentality of any nation, supranational body, state, county, city or other political subdivision.</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65" w:name="docxtextref27"/>
      <w:bookmarkEnd w:id="65"/>
      <w:r>
        <w:rPr>
          <w:rFonts w:ascii="Times New Roman" w:hAnsi="Times New Roman"/>
          <w:b/>
          <w:color w:val="000000"/>
          <w:sz w:val="24"/>
        </w:rPr>
        <w:t xml:space="preserve">1.75 </w:t>
      </w:r>
      <w:r>
        <w:rPr>
          <w:rFonts w:ascii="Times New Roman" w:hAnsi="Times New Roman"/>
          <w:color w:val="000000"/>
          <w:sz w:val="20"/>
        </w:rPr>
        <w:t>“</w:t>
      </w:r>
      <w:r>
        <w:rPr>
          <w:rFonts w:ascii="Times New Roman" w:hAnsi="Times New Roman"/>
          <w:b/>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means (a)</w:t>
      </w:r>
      <w:r>
        <w:rPr>
          <w:rFonts w:ascii="Times New Roman" w:hAnsi="Times New Roman"/>
          <w:color w:val="000000"/>
          <w:sz w:val="20"/>
        </w:rPr>
        <w:t xml:space="preserve"> </w:t>
      </w:r>
      <w:r>
        <w:rPr>
          <w:rFonts w:ascii="Times New Roman" w:hAnsi="Times New Roman"/>
          <w:color w:val="000000"/>
          <w:sz w:val="24"/>
        </w:rPr>
        <w:t xml:space="preserve">Patent Rights; </w:t>
      </w:r>
      <w:bookmarkStart w:id="66" w:name="docxtextref28"/>
      <w:bookmarkEnd w:id="66"/>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copyrights in both published and unpublished works (including any registrations, applications and renewals for any of the foregoing) and other rights of authorship; </w:t>
      </w:r>
      <w:bookmarkStart w:id="67" w:name="docxtextref29"/>
      <w:bookmarkEnd w:id="67"/>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Know-How; </w:t>
      </w:r>
      <w:bookmarkStart w:id="68" w:name="docxtextref30"/>
      <w:bookmarkEnd w:id="68"/>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trademarks; and </w:t>
      </w:r>
      <w:bookmarkStart w:id="69" w:name="docxtextref31"/>
      <w:bookmarkEnd w:id="69"/>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all other intellectual property and proprietary rights throughout the world.</w:t>
      </w:r>
    </w:p>
    <w:p>
      <w:pPr>
        <w:pStyle w:val="TextBody"/>
        <w:bidi w:val="0"/>
        <w:spacing w:before="0" w:after="240"/>
        <w:jc w:val="both"/>
        <w:rPr>
          <w:rFonts w:ascii="Times New Roman" w:hAnsi="Times New Roman"/>
          <w:sz w:val="20"/>
        </w:rPr>
      </w:pPr>
      <w:bookmarkStart w:id="70" w:name="docxtextref32"/>
      <w:bookmarkEnd w:id="70"/>
      <w:r>
        <w:rPr>
          <w:rFonts w:ascii="Times New Roman" w:hAnsi="Times New Roman"/>
          <w:b/>
          <w:color w:val="000000"/>
          <w:sz w:val="24"/>
        </w:rPr>
        <w:t xml:space="preserve">1.76 </w:t>
      </w:r>
      <w:r>
        <w:rPr>
          <w:rFonts w:ascii="Times New Roman" w:hAnsi="Times New Roman"/>
          <w:color w:val="000000"/>
          <w:sz w:val="20"/>
        </w:rPr>
        <w:t>“</w:t>
      </w:r>
      <w:r>
        <w:rPr>
          <w:rFonts w:ascii="Times New Roman" w:hAnsi="Times New Roman"/>
          <w:b/>
          <w:color w:val="000000"/>
          <w:sz w:val="24"/>
        </w:rPr>
        <w:t>IND</w:t>
      </w:r>
      <w:r>
        <w:rPr>
          <w:rFonts w:ascii="Times New Roman" w:hAnsi="Times New Roman"/>
          <w:color w:val="000000"/>
          <w:sz w:val="20"/>
        </w:rPr>
        <w:t xml:space="preserve">” </w:t>
      </w:r>
      <w:r>
        <w:rPr>
          <w:rFonts w:ascii="Times New Roman" w:hAnsi="Times New Roman"/>
          <w:color w:val="000000"/>
          <w:sz w:val="24"/>
        </w:rPr>
        <w:t>means (a)</w:t>
      </w:r>
      <w:r>
        <w:rPr>
          <w:rFonts w:ascii="Times New Roman" w:hAnsi="Times New Roman"/>
          <w:color w:val="000000"/>
          <w:sz w:val="20"/>
        </w:rPr>
        <w:t xml:space="preserve"> </w:t>
      </w:r>
      <w:r>
        <w:rPr>
          <w:rFonts w:ascii="Times New Roman" w:hAnsi="Times New Roman"/>
          <w:color w:val="000000"/>
          <w:sz w:val="24"/>
        </w:rPr>
        <w:t>an investigational new drug application filed with the FDA for authorization to commence clinical studies and its equivalent in other countries or regulatory jurisdictions, such as a Clinical Trial Application and (b) all supplements and amendments that may be filed with respect to the foregoing.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1.77 </w:t>
      </w:r>
      <w:r>
        <w:rPr>
          <w:rFonts w:ascii="Times New Roman" w:hAnsi="Times New Roman"/>
          <w:color w:val="000000"/>
          <w:sz w:val="20"/>
        </w:rPr>
        <w:t>“</w:t>
      </w:r>
      <w:r>
        <w:rPr>
          <w:rFonts w:ascii="Times New Roman" w:hAnsi="Times New Roman"/>
          <w:b/>
          <w:color w:val="000000"/>
          <w:sz w:val="24"/>
        </w:rPr>
        <w:t>Indemnified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10.4(a)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1.78 </w:t>
      </w:r>
      <w:r>
        <w:rPr>
          <w:rFonts w:ascii="Times New Roman" w:hAnsi="Times New Roman"/>
          <w:color w:val="000000"/>
          <w:sz w:val="20"/>
        </w:rPr>
        <w:t>“</w:t>
      </w:r>
      <w:r>
        <w:rPr>
          <w:rFonts w:ascii="Times New Roman" w:hAnsi="Times New Roman"/>
          <w:b/>
          <w:color w:val="000000"/>
          <w:sz w:val="24"/>
        </w:rPr>
        <w:t>Indemnifying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10.4(a)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1.79 </w:t>
      </w:r>
      <w:r>
        <w:rPr>
          <w:rFonts w:ascii="Times New Roman" w:hAnsi="Times New Roman"/>
          <w:color w:val="000000"/>
          <w:sz w:val="20"/>
        </w:rPr>
        <w:t>“</w:t>
      </w:r>
      <w:r>
        <w:rPr>
          <w:rFonts w:ascii="Times New Roman" w:hAnsi="Times New Roman"/>
          <w:b/>
          <w:color w:val="000000"/>
          <w:sz w:val="24"/>
        </w:rPr>
        <w:t>Insolvency Proceedings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Termination for Insolvency</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71" w:name="docxtextref33"/>
      <w:bookmarkEnd w:id="71"/>
      <w:r>
        <w:rPr>
          <w:rFonts w:ascii="Times New Roman" w:hAnsi="Times New Roman"/>
          <w:b/>
          <w:color w:val="000000"/>
          <w:sz w:val="24"/>
        </w:rPr>
        <w:t xml:space="preserve">1.80 </w:t>
      </w:r>
      <w:r>
        <w:rPr>
          <w:rFonts w:ascii="Times New Roman" w:hAnsi="Times New Roman"/>
          <w:color w:val="000000"/>
          <w:sz w:val="20"/>
        </w:rPr>
        <w:t>“</w:t>
      </w:r>
      <w:r>
        <w:rPr>
          <w:rFonts w:ascii="Times New Roman" w:hAnsi="Times New Roman"/>
          <w:b/>
          <w:color w:val="000000"/>
          <w:sz w:val="24"/>
        </w:rPr>
        <w:t>Invented</w:t>
      </w:r>
      <w:r>
        <w:rPr>
          <w:rFonts w:ascii="Times New Roman" w:hAnsi="Times New Roman"/>
          <w:color w:val="000000"/>
          <w:sz w:val="20"/>
        </w:rPr>
        <w:t xml:space="preserve">” </w:t>
      </w:r>
      <w:r>
        <w:rPr>
          <w:rFonts w:ascii="Times New Roman" w:hAnsi="Times New Roman"/>
          <w:color w:val="000000"/>
          <w:sz w:val="24"/>
        </w:rPr>
        <w:t>means with respect to Intellectual Property, Intellectual Property that: (a)</w:t>
      </w:r>
      <w:r>
        <w:rPr>
          <w:rFonts w:ascii="Times New Roman" w:hAnsi="Times New Roman"/>
          <w:color w:val="000000"/>
          <w:sz w:val="20"/>
        </w:rPr>
        <w:t xml:space="preserve"> </w:t>
      </w:r>
      <w:r>
        <w:rPr>
          <w:rFonts w:ascii="Times New Roman" w:hAnsi="Times New Roman"/>
          <w:color w:val="000000"/>
          <w:sz w:val="24"/>
        </w:rPr>
        <w:t xml:space="preserve">with respect to patentable Intellectual Property, is “invented” as determined in accordance with US Patent law; </w:t>
      </w:r>
      <w:bookmarkStart w:id="72" w:name="docxtextref34"/>
      <w:bookmarkEnd w:id="72"/>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with respect to copyrightable Intellectual Property, is “authored” as determined in accordance with US copyright law; or </w:t>
      </w:r>
      <w:bookmarkStart w:id="73" w:name="docxtextref35"/>
      <w:bookmarkEnd w:id="73"/>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with respect to all other Intellectual Property, is first developed, created or otherwise established. “</w:t>
      </w:r>
      <w:r>
        <w:rPr>
          <w:rFonts w:ascii="Times New Roman" w:hAnsi="Times New Roman"/>
          <w:b/>
          <w:color w:val="000000"/>
          <w:sz w:val="24"/>
        </w:rPr>
        <w:t>Invent</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Invention</w:t>
      </w:r>
      <w:r>
        <w:rPr>
          <w:rFonts w:ascii="Times New Roman" w:hAnsi="Times New Roman"/>
          <w:color w:val="000000"/>
          <w:sz w:val="20"/>
        </w:rPr>
        <w:t xml:space="preserve">” </w:t>
      </w:r>
      <w:r>
        <w:rPr>
          <w:rFonts w:ascii="Times New Roman" w:hAnsi="Times New Roman"/>
          <w:color w:val="000000"/>
          <w:sz w:val="24"/>
        </w:rPr>
        <w:t>have correlating meanings.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1.81 </w:t>
      </w:r>
      <w:r>
        <w:rPr>
          <w:rFonts w:ascii="Times New Roman" w:hAnsi="Times New Roman"/>
          <w:color w:val="000000"/>
          <w:sz w:val="20"/>
        </w:rPr>
        <w:t>“</w:t>
      </w:r>
      <w:r>
        <w:rPr>
          <w:rFonts w:ascii="Times New Roman" w:hAnsi="Times New Roman"/>
          <w:b/>
          <w:color w:val="000000"/>
          <w:sz w:val="24"/>
        </w:rPr>
        <w:t>Joint Inventions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6.5(b)(iii)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Jointly-Owned IP</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1.82 </w:t>
      </w:r>
      <w:r>
        <w:rPr>
          <w:rFonts w:ascii="Times New Roman" w:hAnsi="Times New Roman"/>
          <w:color w:val="000000"/>
          <w:sz w:val="20"/>
        </w:rPr>
        <w:t>“</w:t>
      </w:r>
      <w:r>
        <w:rPr>
          <w:rFonts w:ascii="Times New Roman" w:hAnsi="Times New Roman"/>
          <w:b/>
          <w:color w:val="000000"/>
          <w:sz w:val="24"/>
        </w:rPr>
        <w:t>Joint Patent Rights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6.1(c)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Joint Patent Rights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1.83 </w:t>
      </w:r>
      <w:r>
        <w:rPr>
          <w:rFonts w:ascii="Times New Roman" w:hAnsi="Times New Roman"/>
          <w:color w:val="000000"/>
          <w:sz w:val="20"/>
        </w:rPr>
        <w:t>“</w:t>
      </w:r>
      <w:r>
        <w:rPr>
          <w:rFonts w:ascii="Times New Roman" w:hAnsi="Times New Roman"/>
          <w:b/>
          <w:color w:val="000000"/>
          <w:sz w:val="24"/>
        </w:rPr>
        <w:t>Know-How</w:t>
      </w:r>
      <w:r>
        <w:rPr>
          <w:rFonts w:ascii="Times New Roman" w:hAnsi="Times New Roman"/>
          <w:color w:val="000000"/>
          <w:sz w:val="20"/>
        </w:rPr>
        <w:t xml:space="preserve">” </w:t>
      </w:r>
      <w:r>
        <w:rPr>
          <w:rFonts w:ascii="Times New Roman" w:hAnsi="Times New Roman"/>
          <w:color w:val="000000"/>
          <w:sz w:val="24"/>
        </w:rPr>
        <w:t>means any invention, trade secret, discovery, idea, data, information, process, method, technique, material, technology, result or other know-how, whether or not patentable.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1.84 </w:t>
      </w:r>
      <w:r>
        <w:rPr>
          <w:rFonts w:ascii="Times New Roman" w:hAnsi="Times New Roman"/>
          <w:color w:val="000000"/>
          <w:sz w:val="20"/>
        </w:rPr>
        <w:t>“</w:t>
      </w:r>
      <w:r>
        <w:rPr>
          <w:rFonts w:ascii="Times New Roman" w:hAnsi="Times New Roman"/>
          <w:b/>
          <w:color w:val="000000"/>
          <w:sz w:val="24"/>
        </w:rPr>
        <w:t>Knowledge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Knows</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1.85 </w:t>
      </w:r>
      <w:r>
        <w:rPr>
          <w:rFonts w:ascii="Times New Roman" w:hAnsi="Times New Roman"/>
          <w:color w:val="000000"/>
          <w:sz w:val="20"/>
        </w:rPr>
        <w:t>“</w:t>
      </w:r>
      <w:r>
        <w:rPr>
          <w:rFonts w:ascii="Times New Roman" w:hAnsi="Times New Roman"/>
          <w:b/>
          <w:color w:val="000000"/>
          <w:sz w:val="24"/>
        </w:rPr>
        <w:t>Liability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BioCryst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1.86 </w:t>
      </w:r>
      <w:r>
        <w:rPr>
          <w:rFonts w:ascii="Times New Roman" w:hAnsi="Times New Roman"/>
          <w:color w:val="000000"/>
          <w:sz w:val="20"/>
        </w:rPr>
        <w:t>“</w:t>
      </w:r>
      <w:r>
        <w:rPr>
          <w:rFonts w:ascii="Times New Roman" w:hAnsi="Times New Roman"/>
          <w:b/>
          <w:color w:val="000000"/>
          <w:sz w:val="24"/>
        </w:rPr>
        <w:t>Major Market Countries</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1.87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1.88 </w:t>
      </w:r>
      <w:r>
        <w:rPr>
          <w:rFonts w:ascii="Times New Roman" w:hAnsi="Times New Roman"/>
          <w:color w:val="000000"/>
          <w:sz w:val="20"/>
        </w:rPr>
        <w:t>“</w:t>
      </w:r>
      <w:r>
        <w:rPr>
          <w:rFonts w:ascii="Times New Roman" w:hAnsi="Times New Roman"/>
          <w:b/>
          <w:color w:val="000000"/>
          <w:sz w:val="24"/>
        </w:rPr>
        <w:t>Manufacture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Manufacturing</w:t>
      </w:r>
      <w:r>
        <w:rPr>
          <w:rFonts w:ascii="Times New Roman" w:hAnsi="Times New Roman"/>
          <w:color w:val="000000"/>
          <w:sz w:val="20"/>
        </w:rPr>
        <w:t xml:space="preserve">” </w:t>
      </w:r>
      <w:r>
        <w:rPr>
          <w:rFonts w:ascii="Times New Roman" w:hAnsi="Times New Roman"/>
          <w:color w:val="000000"/>
          <w:sz w:val="24"/>
        </w:rPr>
        <w:t>means all activities related to the production, manufacture, processing, formulation, filling, finishing, packaging, labeling, shipping and holding of a product or any intermediate thereof, including process development, process qualification and validation, scale-up, pre-clinical, clinical and commercial manufacture and analytic development, product characterization, stability testing, quality assurance and quality control, in each case as applicable to a therapeutic product or device. “</w:t>
      </w:r>
      <w:r>
        <w:rPr>
          <w:rFonts w:ascii="Times New Roman" w:hAnsi="Times New Roman"/>
          <w:b/>
          <w:color w:val="000000"/>
          <w:sz w:val="24"/>
        </w:rPr>
        <w:t>Manufactured</w:t>
      </w:r>
      <w:r>
        <w:rPr>
          <w:rFonts w:ascii="Times New Roman" w:hAnsi="Times New Roman"/>
          <w:color w:val="000000"/>
          <w:sz w:val="20"/>
        </w:rPr>
        <w:t xml:space="preserve">” </w:t>
      </w:r>
      <w:r>
        <w:rPr>
          <w:rFonts w:ascii="Times New Roman" w:hAnsi="Times New Roman"/>
          <w:color w:val="000000"/>
          <w:sz w:val="24"/>
        </w:rPr>
        <w:t>shall have a corresponding meaning.</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1.89 </w:t>
      </w:r>
      <w:r>
        <w:rPr>
          <w:rFonts w:ascii="Times New Roman" w:hAnsi="Times New Roman"/>
          <w:color w:val="000000"/>
          <w:sz w:val="20"/>
        </w:rPr>
        <w:t>“</w:t>
      </w:r>
      <w:r>
        <w:rPr>
          <w:rFonts w:ascii="Times New Roman" w:hAnsi="Times New Roman"/>
          <w:b/>
          <w:color w:val="000000"/>
          <w:sz w:val="24"/>
        </w:rPr>
        <w:t>Material Safety Issue</w:t>
      </w:r>
      <w:r>
        <w:rPr>
          <w:rFonts w:ascii="Times New Roman" w:hAnsi="Times New Roman"/>
          <w:color w:val="000000"/>
          <w:sz w:val="20"/>
        </w:rPr>
        <w:t xml:space="preserve">” </w:t>
      </w:r>
      <w:r>
        <w:rPr>
          <w:rFonts w:ascii="Times New Roman" w:hAnsi="Times New Roman"/>
          <w:color w:val="000000"/>
          <w:sz w:val="24"/>
        </w:rPr>
        <w:t>means, with respect to a Clearside Device or the Covered Product, a Party’s good faith belief that there is an unacceptable risk for harm in humans.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1.90 </w:t>
      </w:r>
      <w:r>
        <w:rPr>
          <w:rFonts w:ascii="Times New Roman" w:hAnsi="Times New Roman"/>
          <w:color w:val="000000"/>
          <w:sz w:val="20"/>
        </w:rPr>
        <w:t>“</w:t>
      </w:r>
      <w:r>
        <w:rPr>
          <w:rFonts w:ascii="Times New Roman" w:hAnsi="Times New Roman"/>
          <w:b/>
          <w:color w:val="000000"/>
          <w:sz w:val="24"/>
        </w:rPr>
        <w:t>Material Transfer Agreement</w:t>
      </w:r>
      <w:r>
        <w:rPr>
          <w:rFonts w:ascii="Times New Roman" w:hAnsi="Times New Roman"/>
          <w:color w:val="000000"/>
          <w:sz w:val="20"/>
        </w:rPr>
        <w:t xml:space="preserve">” </w:t>
      </w:r>
      <w:r>
        <w:rPr>
          <w:rFonts w:ascii="Times New Roman" w:hAnsi="Times New Roman"/>
          <w:color w:val="000000"/>
          <w:sz w:val="24"/>
        </w:rPr>
        <w:t>means that certain Material Transfer Agreement dated as of March 30, 2018, as amended and restated by the Amended and Restated Material Transfer Agreement, effective as of March 30, 2018.</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1.91 </w:t>
      </w:r>
      <w:r>
        <w:rPr>
          <w:rFonts w:ascii="Times New Roman" w:hAnsi="Times New Roman"/>
          <w:color w:val="000000"/>
          <w:sz w:val="20"/>
        </w:rPr>
        <w:t>“</w:t>
      </w:r>
      <w:r>
        <w:rPr>
          <w:rFonts w:ascii="Times New Roman" w:hAnsi="Times New Roman"/>
          <w:b/>
          <w:color w:val="000000"/>
          <w:sz w:val="24"/>
        </w:rPr>
        <w:t>MHRA</w:t>
      </w:r>
      <w:r>
        <w:rPr>
          <w:rFonts w:ascii="Times New Roman" w:hAnsi="Times New Roman"/>
          <w:color w:val="000000"/>
          <w:sz w:val="20"/>
        </w:rPr>
        <w:t xml:space="preserve">” </w:t>
      </w:r>
      <w:r>
        <w:rPr>
          <w:rFonts w:ascii="Times New Roman" w:hAnsi="Times New Roman"/>
          <w:color w:val="000000"/>
          <w:sz w:val="24"/>
        </w:rPr>
        <w:t>means, in the United Kingdom, Medicines and Healthcare products Regulatory Agency, and any successor agency thereto.</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1.92 </w:t>
      </w:r>
      <w:r>
        <w:rPr>
          <w:rFonts w:ascii="Times New Roman" w:hAnsi="Times New Roman"/>
          <w:color w:val="000000"/>
          <w:sz w:val="20"/>
        </w:rPr>
        <w:t>“</w:t>
      </w:r>
      <w:r>
        <w:rPr>
          <w:rFonts w:ascii="Times New Roman" w:hAnsi="Times New Roman"/>
          <w:b/>
          <w:color w:val="000000"/>
          <w:sz w:val="24"/>
        </w:rPr>
        <w:t>NDA</w:t>
      </w:r>
      <w:r>
        <w:rPr>
          <w:rFonts w:ascii="Times New Roman" w:hAnsi="Times New Roman"/>
          <w:color w:val="000000"/>
          <w:sz w:val="20"/>
        </w:rPr>
        <w:t xml:space="preserve">” </w:t>
      </w:r>
      <w:r>
        <w:rPr>
          <w:rFonts w:ascii="Times New Roman" w:hAnsi="Times New Roman"/>
          <w:color w:val="000000"/>
          <w:sz w:val="24"/>
        </w:rPr>
        <w:t>means a New Drug Application, as defined in the U.S. Federal Food, Drug &amp; Cosmetic Act, as amended, and applicable regulations promulgated thereunder by the FDA, or equivalent application for approval (but not including pricing and reimbursement approvals) to market a pharmaceutical product in a country or jurisdiction outside the United States.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1.93 </w:t>
      </w:r>
      <w:r>
        <w:rPr>
          <w:rFonts w:ascii="Times New Roman" w:hAnsi="Times New Roman"/>
          <w:color w:val="000000"/>
          <w:sz w:val="20"/>
        </w:rPr>
        <w:t>“</w:t>
      </w:r>
      <w:r>
        <w:rPr>
          <w:rFonts w:ascii="Times New Roman" w:hAnsi="Times New Roman"/>
          <w:b/>
          <w:color w:val="000000"/>
          <w:sz w:val="24"/>
        </w:rPr>
        <w:t>Net Sales</w:t>
      </w:r>
      <w:r>
        <w:rPr>
          <w:rFonts w:ascii="Times New Roman" w:hAnsi="Times New Roman"/>
          <w:color w:val="000000"/>
          <w:sz w:val="20"/>
        </w:rPr>
        <w:t xml:space="preserve">” </w:t>
      </w:r>
      <w:r>
        <w:rPr>
          <w:rFonts w:ascii="Times New Roman" w:hAnsi="Times New Roman"/>
          <w:color w:val="000000"/>
          <w:sz w:val="24"/>
        </w:rPr>
        <w:t>means, with respect to the Covered Product for any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1.94 </w:t>
      </w:r>
      <w:r>
        <w:rPr>
          <w:rFonts w:ascii="Times New Roman" w:hAnsi="Times New Roman"/>
          <w:color w:val="000000"/>
          <w:sz w:val="20"/>
        </w:rPr>
        <w:t>“</w:t>
      </w:r>
      <w:r>
        <w:rPr>
          <w:rFonts w:ascii="Times New Roman" w:hAnsi="Times New Roman"/>
          <w:b/>
          <w:color w:val="000000"/>
          <w:sz w:val="24"/>
        </w:rPr>
        <w:t>Non-Breaching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Material Breach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1.95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1.96 </w:t>
      </w:r>
      <w:r>
        <w:rPr>
          <w:rFonts w:ascii="Times New Roman" w:hAnsi="Times New Roman"/>
          <w:color w:val="000000"/>
          <w:sz w:val="20"/>
        </w:rPr>
        <w:t>“</w:t>
      </w:r>
      <w:r>
        <w:rPr>
          <w:rFonts w:ascii="Times New Roman" w:hAnsi="Times New Roman"/>
          <w:b/>
          <w:color w:val="000000"/>
          <w:sz w:val="24"/>
        </w:rPr>
        <w:t>Notice Period</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Material Breach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1.97 </w:t>
      </w:r>
      <w:r>
        <w:rPr>
          <w:rFonts w:ascii="Times New Roman" w:hAnsi="Times New Roman"/>
          <w:color w:val="000000"/>
          <w:sz w:val="20"/>
        </w:rPr>
        <w:t>“</w:t>
      </w:r>
      <w:r>
        <w:rPr>
          <w:rFonts w:ascii="Times New Roman" w:hAnsi="Times New Roman"/>
          <w:b/>
          <w:color w:val="000000"/>
          <w:sz w:val="24"/>
        </w:rPr>
        <w:t>Out-of-Pocket Costs</w:t>
      </w:r>
      <w:r>
        <w:rPr>
          <w:rFonts w:ascii="Times New Roman" w:hAnsi="Times New Roman"/>
          <w:color w:val="000000"/>
          <w:sz w:val="20"/>
        </w:rPr>
        <w:t xml:space="preserve">” </w:t>
      </w:r>
      <w:r>
        <w:rPr>
          <w:rFonts w:ascii="Times New Roman" w:hAnsi="Times New Roman"/>
          <w:color w:val="000000"/>
          <w:sz w:val="24"/>
        </w:rPr>
        <w:t>means amounts paid or payable by a Party or any of its Affiliates to a Third Party that are (a) accrued in accordance with Accounting Standards, and (b) directly incurred in the conduct of activities under this Agreement, but shall not include such Party’s, or any of its Affiliates’, internal or general overhead costs or expenses.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1.98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1.99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1.100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1.101 </w:t>
      </w:r>
      <w:r>
        <w:rPr>
          <w:rFonts w:ascii="Times New Roman" w:hAnsi="Times New Roman"/>
          <w:color w:val="000000"/>
          <w:sz w:val="20"/>
        </w:rPr>
        <w:t>“</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is defined in the introduction to this Agreement.</w:t>
      </w:r>
    </w:p>
    <w:p>
      <w:pPr>
        <w:pStyle w:val="TextBody"/>
        <w:bidi w:val="0"/>
        <w:spacing w:before="0" w:after="240"/>
        <w:jc w:val="both"/>
        <w:rPr>
          <w:rFonts w:ascii="Times New Roman" w:hAnsi="Times New Roman"/>
          <w:sz w:val="20"/>
        </w:rPr>
      </w:pPr>
      <w:bookmarkStart w:id="74" w:name="docxtextref41"/>
      <w:bookmarkEnd w:id="74"/>
      <w:r>
        <w:rPr>
          <w:rFonts w:ascii="Times New Roman" w:hAnsi="Times New Roman"/>
          <w:b/>
          <w:color w:val="000000"/>
          <w:sz w:val="24"/>
        </w:rPr>
        <w:t xml:space="preserve">1.102 </w:t>
      </w:r>
      <w:r>
        <w:rPr>
          <w:rFonts w:ascii="Times New Roman" w:hAnsi="Times New Roman"/>
          <w:color w:val="000000"/>
          <w:sz w:val="20"/>
        </w:rPr>
        <w:t>“</w:t>
      </w:r>
      <w:r>
        <w:rPr>
          <w:rFonts w:ascii="Times New Roman" w:hAnsi="Times New Roman"/>
          <w:b/>
          <w:color w:val="000000"/>
          <w:sz w:val="24"/>
        </w:rPr>
        <w:t>Patent Rights</w:t>
      </w:r>
      <w:r>
        <w:rPr>
          <w:rFonts w:ascii="Times New Roman" w:hAnsi="Times New Roman"/>
          <w:color w:val="000000"/>
          <w:sz w:val="20"/>
        </w:rPr>
        <w:t xml:space="preserve">” </w:t>
      </w:r>
      <w:r>
        <w:rPr>
          <w:rFonts w:ascii="Times New Roman" w:hAnsi="Times New Roman"/>
          <w:color w:val="000000"/>
          <w:sz w:val="24"/>
        </w:rPr>
        <w:t>means any and all (a)</w:t>
      </w:r>
      <w:r>
        <w:rPr>
          <w:rFonts w:ascii="Times New Roman" w:hAnsi="Times New Roman"/>
          <w:color w:val="000000"/>
          <w:sz w:val="20"/>
        </w:rPr>
        <w:t xml:space="preserve"> </w:t>
      </w:r>
      <w:r>
        <w:rPr>
          <w:rFonts w:ascii="Times New Roman" w:hAnsi="Times New Roman"/>
          <w:color w:val="000000"/>
          <w:sz w:val="24"/>
        </w:rPr>
        <w:t xml:space="preserve">patents, </w:t>
      </w:r>
      <w:bookmarkStart w:id="75" w:name="docxtextref42"/>
      <w:bookmarkEnd w:id="75"/>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pending patent applications, including all provisional applications, substitutions, continuations, continuations-in-part, divisions and renewals, and all patents granted thereon, </w:t>
      </w:r>
      <w:bookmarkStart w:id="76" w:name="docxtextref43"/>
      <w:bookmarkEnd w:id="76"/>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all patents-of-addition, reissues, reexaminations, reviews (including </w:t>
      </w:r>
      <w:r>
        <w:rPr>
          <w:rFonts w:ascii="Times New Roman" w:hAnsi="Times New Roman"/>
          <w:i/>
          <w:color w:val="000000"/>
          <w:sz w:val="24"/>
        </w:rPr>
        <w:t xml:space="preserve">inter partes </w:t>
      </w:r>
      <w:r>
        <w:rPr>
          <w:rFonts w:ascii="Times New Roman" w:hAnsi="Times New Roman"/>
          <w:color w:val="000000"/>
          <w:sz w:val="24"/>
        </w:rPr>
        <w:t xml:space="preserve">reviews), and extensions or restorations by existing or future extension or restoration mechanisms, including patent term extensions, supplementary protection certificates or the equivalent thereof, </w:t>
      </w:r>
      <w:bookmarkStart w:id="77" w:name="docxtextref44"/>
      <w:bookmarkEnd w:id="77"/>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inventor’s certificates, </w:t>
      </w:r>
      <w:bookmarkStart w:id="78" w:name="docxtextref45"/>
      <w:bookmarkEnd w:id="78"/>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any other form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79" w:name="docxtextref46"/>
      <w:bookmarkEnd w:id="79"/>
      <w:r>
        <w:rPr>
          <w:rFonts w:ascii="Times New Roman" w:hAnsi="Times New Roman"/>
          <w:color w:val="000000"/>
          <w:sz w:val="24"/>
        </w:rPr>
        <w:t>government-issued right substantially similar to any of the foregoing and (f)</w:t>
      </w:r>
      <w:r>
        <w:rPr>
          <w:rFonts w:ascii="Times New Roman" w:hAnsi="Times New Roman"/>
          <w:color w:val="000000"/>
          <w:sz w:val="20"/>
        </w:rPr>
        <w:t xml:space="preserve"> </w:t>
      </w:r>
      <w:r>
        <w:rPr>
          <w:rFonts w:ascii="Times New Roman" w:hAnsi="Times New Roman"/>
          <w:color w:val="000000"/>
          <w:sz w:val="24"/>
        </w:rPr>
        <w:t>all United States and foreign counterparts of any of the foregoing.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1.103 </w:t>
      </w:r>
      <w:r>
        <w:rPr>
          <w:rFonts w:ascii="Times New Roman" w:hAnsi="Times New Roman"/>
          <w:color w:val="000000"/>
          <w:sz w:val="20"/>
        </w:rPr>
        <w:t>“</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5.8(a)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Taxes—General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1.104 </w:t>
      </w:r>
      <w:r>
        <w:rPr>
          <w:rFonts w:ascii="Times New Roman" w:hAnsi="Times New Roman"/>
          <w:color w:val="000000"/>
          <w:sz w:val="2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sole proprietorship, partnership, limited partnership, limited liability partnership, corporation, limited liability company, business trust, joint stock company, trust, incorporated association, joint venture or similar entity or organization (whether or not having a separate legal personality), including a government or political subdivision or department or agency of a government.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1.105 </w:t>
      </w:r>
      <w:r>
        <w:rPr>
          <w:rFonts w:ascii="Times New Roman" w:hAnsi="Times New Roman"/>
          <w:color w:val="000000"/>
          <w:sz w:val="20"/>
        </w:rPr>
        <w:t>“</w:t>
      </w:r>
      <w:r>
        <w:rPr>
          <w:rFonts w:ascii="Times New Roman" w:hAnsi="Times New Roman"/>
          <w:b/>
          <w:color w:val="000000"/>
          <w:sz w:val="24"/>
        </w:rPr>
        <w:t>Pharmacovigilance Agreement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3.2(c)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Global Safety Database</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80" w:name="docxtextref48"/>
      <w:bookmarkEnd w:id="80"/>
      <w:r>
        <w:rPr>
          <w:rFonts w:ascii="Times New Roman" w:hAnsi="Times New Roman"/>
          <w:b/>
          <w:color w:val="000000"/>
          <w:sz w:val="24"/>
        </w:rPr>
        <w:t xml:space="preserve">1.106 </w:t>
      </w:r>
      <w:r>
        <w:rPr>
          <w:rFonts w:ascii="Times New Roman" w:hAnsi="Times New Roman"/>
          <w:color w:val="000000"/>
          <w:sz w:val="20"/>
        </w:rPr>
        <w:t>“</w:t>
      </w:r>
      <w:r>
        <w:rPr>
          <w:rFonts w:ascii="Times New Roman" w:hAnsi="Times New Roman"/>
          <w:b/>
          <w:color w:val="000000"/>
          <w:sz w:val="24"/>
        </w:rPr>
        <w:t>Phase II Clinical Trial</w:t>
      </w:r>
      <w:r>
        <w:rPr>
          <w:rFonts w:ascii="Times New Roman" w:hAnsi="Times New Roman"/>
          <w:color w:val="000000"/>
          <w:sz w:val="20"/>
        </w:rPr>
        <w:t xml:space="preserve">” </w:t>
      </w:r>
      <w:r>
        <w:rPr>
          <w:rFonts w:ascii="Times New Roman" w:hAnsi="Times New Roman"/>
          <w:color w:val="000000"/>
          <w:sz w:val="24"/>
        </w:rPr>
        <w:t>means a human clinical study of a product in any country that would satisfy the requirements of 21</w:t>
      </w:r>
      <w:r>
        <w:rPr>
          <w:rFonts w:ascii="Times New Roman" w:hAnsi="Times New Roman"/>
          <w:color w:val="000000"/>
          <w:sz w:val="20"/>
        </w:rPr>
        <w:t xml:space="preserve"> </w:t>
      </w:r>
      <w:r>
        <w:rPr>
          <w:rFonts w:ascii="Times New Roman" w:hAnsi="Times New Roman"/>
          <w:color w:val="000000"/>
          <w:sz w:val="24"/>
        </w:rPr>
        <w:t xml:space="preserve">C.F.R. </w:t>
      </w:r>
      <w:bookmarkStart w:id="81" w:name="docxtextref47"/>
      <w:bookmarkEnd w:id="81"/>
      <w:r>
        <w:rPr>
          <w:rFonts w:ascii="Times New Roman" w:hAnsi="Times New Roman"/>
          <w:color w:val="000000"/>
          <w:sz w:val="24"/>
        </w:rPr>
        <w:t>312.21(b), or a similar clinical study prescribed by the relevant Regulatory Authorities or Applicable Law in a country other than the United States.</w:t>
      </w:r>
    </w:p>
    <w:p>
      <w:pPr>
        <w:pStyle w:val="TextBody"/>
        <w:bidi w:val="0"/>
        <w:spacing w:before="0" w:after="240"/>
        <w:jc w:val="both"/>
        <w:rPr>
          <w:rFonts w:ascii="Times New Roman" w:hAnsi="Times New Roman"/>
          <w:sz w:val="20"/>
        </w:rPr>
      </w:pPr>
      <w:bookmarkStart w:id="82" w:name="docxtextref50"/>
      <w:bookmarkEnd w:id="82"/>
      <w:r>
        <w:rPr>
          <w:rFonts w:ascii="Times New Roman" w:hAnsi="Times New Roman"/>
          <w:b/>
          <w:color w:val="000000"/>
          <w:sz w:val="24"/>
        </w:rPr>
        <w:t xml:space="preserve">1.107 </w:t>
      </w:r>
      <w:r>
        <w:rPr>
          <w:rFonts w:ascii="Times New Roman" w:hAnsi="Times New Roman"/>
          <w:color w:val="000000"/>
          <w:sz w:val="20"/>
        </w:rPr>
        <w:t>“</w:t>
      </w:r>
      <w:r>
        <w:rPr>
          <w:rFonts w:ascii="Times New Roman" w:hAnsi="Times New Roman"/>
          <w:b/>
          <w:color w:val="000000"/>
          <w:sz w:val="24"/>
        </w:rPr>
        <w:t>Phase III Clinical Trial</w:t>
      </w:r>
      <w:r>
        <w:rPr>
          <w:rFonts w:ascii="Times New Roman" w:hAnsi="Times New Roman"/>
          <w:color w:val="000000"/>
          <w:sz w:val="20"/>
        </w:rPr>
        <w:t xml:space="preserve">” </w:t>
      </w:r>
      <w:r>
        <w:rPr>
          <w:rFonts w:ascii="Times New Roman" w:hAnsi="Times New Roman"/>
          <w:color w:val="000000"/>
          <w:sz w:val="24"/>
        </w:rPr>
        <w:t>means a human clinical study of a product in any country that would satisfy the requirements of 21</w:t>
      </w:r>
      <w:r>
        <w:rPr>
          <w:rFonts w:ascii="Times New Roman" w:hAnsi="Times New Roman"/>
          <w:color w:val="000000"/>
          <w:sz w:val="20"/>
        </w:rPr>
        <w:t xml:space="preserve"> </w:t>
      </w:r>
      <w:r>
        <w:rPr>
          <w:rFonts w:ascii="Times New Roman" w:hAnsi="Times New Roman"/>
          <w:color w:val="000000"/>
          <w:sz w:val="24"/>
        </w:rPr>
        <w:t>C.F.R</w:t>
      </w:r>
      <w:bookmarkStart w:id="83" w:name="docxtextref49"/>
      <w:bookmarkEnd w:id="83"/>
      <w:r>
        <w:rPr>
          <w:rFonts w:ascii="Times New Roman" w:hAnsi="Times New Roman"/>
          <w:color w:val="000000"/>
          <w:sz w:val="24"/>
        </w:rPr>
        <w:t>. 312.21(c)</w:t>
      </w:r>
      <w:r>
        <w:rPr>
          <w:rFonts w:ascii="Times New Roman" w:hAnsi="Times New Roman"/>
          <w:color w:val="000000"/>
          <w:sz w:val="20"/>
        </w:rPr>
        <w:t xml:space="preserve"> </w:t>
      </w:r>
      <w:r>
        <w:rPr>
          <w:rFonts w:ascii="Times New Roman" w:hAnsi="Times New Roman"/>
          <w:color w:val="000000"/>
          <w:sz w:val="24"/>
        </w:rPr>
        <w:t xml:space="preserve">and that is designed or intended to </w:t>
      </w:r>
      <w:bookmarkStart w:id="84" w:name="docxtextref51"/>
      <w:bookmarkEnd w:id="84"/>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establish that the product is safe and efficacious for its intended use, </w:t>
      </w:r>
      <w:bookmarkStart w:id="85" w:name="docxtextref52"/>
      <w:bookmarkEnd w:id="85"/>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define warnings, precautions and adverse reactions that are associated with the product in the dosage range to be prescribed, and </w:t>
      </w:r>
      <w:bookmarkStart w:id="86" w:name="docxtextref53"/>
      <w:bookmarkEnd w:id="86"/>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support Regulatory Approval for such product.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1.108 </w:t>
      </w:r>
      <w:r>
        <w:rPr>
          <w:rFonts w:ascii="Times New Roman" w:hAnsi="Times New Roman"/>
          <w:color w:val="000000"/>
          <w:sz w:val="20"/>
        </w:rPr>
        <w:t>“</w:t>
      </w:r>
      <w:r>
        <w:rPr>
          <w:rFonts w:ascii="Times New Roman" w:hAnsi="Times New Roman"/>
          <w:b/>
          <w:color w:val="000000"/>
          <w:sz w:val="24"/>
        </w:rPr>
        <w:t>Phase IV Clinical Trial</w:t>
      </w:r>
      <w:r>
        <w:rPr>
          <w:rFonts w:ascii="Times New Roman" w:hAnsi="Times New Roman"/>
          <w:color w:val="000000"/>
          <w:sz w:val="20"/>
        </w:rPr>
        <w:t xml:space="preserve">” </w:t>
      </w:r>
      <w:r>
        <w:rPr>
          <w:rFonts w:ascii="Times New Roman" w:hAnsi="Times New Roman"/>
          <w:color w:val="000000"/>
          <w:sz w:val="24"/>
        </w:rPr>
        <w:t>means clinical studies, other clinical activities or other activities that either Party is required by the applicable Regulatory Authority or otherwise commits to perform after obtaining Regulatory Approval for a pharmaceutical product in such country.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1.109 </w:t>
      </w:r>
      <w:r>
        <w:rPr>
          <w:rFonts w:ascii="Times New Roman" w:hAnsi="Times New Roman"/>
          <w:color w:val="000000"/>
          <w:sz w:val="20"/>
        </w:rPr>
        <w:t>“</w:t>
      </w:r>
      <w:r>
        <w:rPr>
          <w:rFonts w:ascii="Times New Roman" w:hAnsi="Times New Roman"/>
          <w:b/>
          <w:color w:val="000000"/>
          <w:sz w:val="24"/>
        </w:rPr>
        <w:t>Prosecution and Maintenance</w:t>
      </w:r>
      <w:r>
        <w:rPr>
          <w:rFonts w:ascii="Times New Roman" w:hAnsi="Times New Roman"/>
          <w:color w:val="000000"/>
          <w:sz w:val="20"/>
        </w:rPr>
        <w:t xml:space="preserve">” </w:t>
      </w:r>
      <w:r>
        <w:rPr>
          <w:rFonts w:ascii="Times New Roman" w:hAnsi="Times New Roman"/>
          <w:color w:val="000000"/>
          <w:sz w:val="24"/>
        </w:rPr>
        <w:t xml:space="preserve">means, with respect to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oppositions, </w:t>
      </w:r>
      <w:r>
        <w:rPr>
          <w:rFonts w:ascii="Times New Roman" w:hAnsi="Times New Roman"/>
          <w:i/>
          <w:color w:val="000000"/>
          <w:sz w:val="24"/>
        </w:rPr>
        <w:t>inter partes</w:t>
      </w:r>
      <w:r>
        <w:rPr>
          <w:rFonts w:ascii="Times New Roman" w:hAnsi="Times New Roman"/>
          <w:color w:val="000000"/>
          <w:sz w:val="20"/>
        </w:rPr>
        <w:t xml:space="preserve"> </w:t>
      </w:r>
      <w:r>
        <w:rPr>
          <w:rFonts w:ascii="Times New Roman" w:hAnsi="Times New Roman"/>
          <w:color w:val="000000"/>
          <w:sz w:val="24"/>
        </w:rPr>
        <w:t>reviews, post-grant proceedings, and other similar proceedings (including any nullity, revocation, or compulsory license proceedings) with respect to such Patent Rights, and any appeals therefrom, but excluding, for clarity, any other enforcement actions taken with respect to such Patent Rights, and “</w:t>
      </w:r>
      <w:r>
        <w:rPr>
          <w:rFonts w:ascii="Times New Roman" w:hAnsi="Times New Roman"/>
          <w:b/>
          <w:color w:val="000000"/>
          <w:sz w:val="24"/>
        </w:rPr>
        <w:t>Prosecute and Maintain</w:t>
      </w:r>
      <w:r>
        <w:rPr>
          <w:rFonts w:ascii="Times New Roman" w:hAnsi="Times New Roman"/>
          <w:color w:val="000000"/>
          <w:sz w:val="20"/>
        </w:rPr>
        <w:t xml:space="preserve">” </w:t>
      </w:r>
      <w:r>
        <w:rPr>
          <w:rFonts w:ascii="Times New Roman" w:hAnsi="Times New Roman"/>
          <w:color w:val="000000"/>
          <w:sz w:val="24"/>
        </w:rPr>
        <w:t>shall have a corresponding meaning.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1.110 </w:t>
      </w:r>
      <w:r>
        <w:rPr>
          <w:rFonts w:ascii="Times New Roman" w:hAnsi="Times New Roman"/>
          <w:color w:val="000000"/>
          <w:sz w:val="20"/>
        </w:rPr>
        <w:t>“</w:t>
      </w:r>
      <w:r>
        <w:rPr>
          <w:rFonts w:ascii="Times New Roman" w:hAnsi="Times New Roman"/>
          <w:b/>
          <w:color w:val="000000"/>
          <w:sz w:val="24"/>
        </w:rPr>
        <w:t>Quality Agreement</w:t>
      </w:r>
      <w:r>
        <w:rPr>
          <w:rFonts w:ascii="Times New Roman" w:hAnsi="Times New Roman"/>
          <w:color w:val="000000"/>
          <w:sz w:val="20"/>
        </w:rPr>
        <w:t xml:space="preserve">” </w:t>
      </w:r>
      <w:r>
        <w:rPr>
          <w:rFonts w:ascii="Times New Roman" w:hAnsi="Times New Roman"/>
          <w:color w:val="000000"/>
          <w:sz w:val="24"/>
        </w:rPr>
        <w:t>means each agreement outlining the division of roles and responsibilities between the Parties and setting forth the terms and conditions on which the Parties shall conduct their quality activities, including quality control and quality assurance, in connection with the Manufacture and supply of a Clearside Device.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1.111 </w:t>
      </w:r>
      <w:r>
        <w:rPr>
          <w:rFonts w:ascii="Times New Roman" w:hAnsi="Times New Roman"/>
          <w:color w:val="000000"/>
          <w:sz w:val="20"/>
        </w:rPr>
        <w:t>“</w:t>
      </w:r>
      <w:r>
        <w:rPr>
          <w:rFonts w:ascii="Times New Roman" w:hAnsi="Times New Roman"/>
          <w:b/>
          <w:color w:val="000000"/>
          <w:sz w:val="24"/>
        </w:rPr>
        <w:t>Receiving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Protection of Confidential Information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87" w:name="docxtextref54"/>
      <w:bookmarkEnd w:id="87"/>
      <w:r>
        <w:rPr>
          <w:rFonts w:ascii="Times New Roman" w:hAnsi="Times New Roman"/>
          <w:b/>
          <w:color w:val="000000"/>
          <w:sz w:val="24"/>
        </w:rPr>
        <w:t xml:space="preserve">1.112 </w:t>
      </w:r>
      <w:r>
        <w:rPr>
          <w:rFonts w:ascii="Times New Roman" w:hAnsi="Times New Roman"/>
          <w:color w:val="000000"/>
          <w:sz w:val="20"/>
        </w:rPr>
        <w:t>“</w:t>
      </w:r>
      <w:r>
        <w:rPr>
          <w:rFonts w:ascii="Times New Roman" w:hAnsi="Times New Roman"/>
          <w:b/>
          <w:color w:val="000000"/>
          <w:sz w:val="24"/>
        </w:rPr>
        <w:t>Regulatory Approval</w:t>
      </w:r>
      <w:r>
        <w:rPr>
          <w:rFonts w:ascii="Times New Roman" w:hAnsi="Times New Roman"/>
          <w:color w:val="000000"/>
          <w:sz w:val="20"/>
        </w:rPr>
        <w:t xml:space="preserve">” </w:t>
      </w:r>
      <w:r>
        <w:rPr>
          <w:rFonts w:ascii="Times New Roman" w:hAnsi="Times New Roman"/>
          <w:color w:val="000000"/>
          <w:sz w:val="24"/>
        </w:rPr>
        <w:t>means, with respect to a country in the Territory, any and all approvals, licenses, registrations or authorizations of any Regulatory Authority necessary to commercially distribute, sell or market a pharmaceutical product in such country, including, where applicable, (a)</w:t>
      </w:r>
      <w:r>
        <w:rPr>
          <w:rFonts w:ascii="Times New Roman" w:hAnsi="Times New Roman"/>
          <w:color w:val="000000"/>
          <w:sz w:val="20"/>
        </w:rPr>
        <w:t xml:space="preserve"> </w:t>
      </w:r>
      <w:r>
        <w:rPr>
          <w:rFonts w:ascii="Times New Roman" w:hAnsi="Times New Roman"/>
          <w:color w:val="000000"/>
          <w:sz w:val="24"/>
        </w:rPr>
        <w:t>pricing or reimbursement approval in such country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1.113 </w:t>
      </w:r>
      <w:r>
        <w:rPr>
          <w:rFonts w:ascii="Times New Roman" w:hAnsi="Times New Roman"/>
          <w:color w:val="000000"/>
          <w:sz w:val="20"/>
        </w:rPr>
        <w:t>“</w:t>
      </w:r>
      <w:r>
        <w:rPr>
          <w:rFonts w:ascii="Times New Roman" w:hAnsi="Times New Roman"/>
          <w:b/>
          <w:color w:val="000000"/>
          <w:sz w:val="24"/>
        </w:rPr>
        <w:t>Regulatory Authority</w:t>
      </w:r>
      <w:r>
        <w:rPr>
          <w:rFonts w:ascii="Times New Roman" w:hAnsi="Times New Roman"/>
          <w:color w:val="000000"/>
          <w:sz w:val="20"/>
        </w:rPr>
        <w:t xml:space="preserve">” </w:t>
      </w:r>
      <w:r>
        <w:rPr>
          <w:rFonts w:ascii="Times New Roman" w:hAnsi="Times New Roman"/>
          <w:color w:val="000000"/>
          <w:sz w:val="24"/>
        </w:rPr>
        <w:t>means any Governmental Authorities regulating or otherwise exercising authority with respect to the Exploitation of a product in the Territory, including, without limitation, the FDA in the United States, the MHRA in the United Kingdom, and the EMA in the other European Major Market Countries.</w:t>
      </w:r>
    </w:p>
    <w:p>
      <w:pPr>
        <w:pStyle w:val="TextBody"/>
        <w:bidi w:val="0"/>
        <w:spacing w:before="0" w:after="240"/>
        <w:jc w:val="both"/>
        <w:rPr>
          <w:rFonts w:ascii="Times New Roman" w:hAnsi="Times New Roman"/>
          <w:sz w:val="20"/>
        </w:rPr>
      </w:pPr>
      <w:bookmarkStart w:id="88" w:name="docxtextref57"/>
      <w:bookmarkEnd w:id="88"/>
      <w:r>
        <w:rPr>
          <w:rFonts w:ascii="Times New Roman" w:hAnsi="Times New Roman"/>
          <w:b/>
          <w:color w:val="000000"/>
          <w:sz w:val="24"/>
        </w:rPr>
        <w:t xml:space="preserve">1.114 </w:t>
      </w:r>
      <w:r>
        <w:rPr>
          <w:rFonts w:ascii="Times New Roman" w:hAnsi="Times New Roman"/>
          <w:color w:val="000000"/>
          <w:sz w:val="20"/>
        </w:rPr>
        <w:t>“</w:t>
      </w:r>
      <w:r>
        <w:rPr>
          <w:rFonts w:ascii="Times New Roman" w:hAnsi="Times New Roman"/>
          <w:b/>
          <w:color w:val="000000"/>
          <w:sz w:val="24"/>
        </w:rPr>
        <w:t>Regulatory Documentation</w:t>
      </w:r>
      <w:r>
        <w:rPr>
          <w:rFonts w:ascii="Times New Roman" w:hAnsi="Times New Roman"/>
          <w:color w:val="000000"/>
          <w:sz w:val="20"/>
        </w:rPr>
        <w:t xml:space="preserve">” </w:t>
      </w:r>
      <w:r>
        <w:rPr>
          <w:rFonts w:ascii="Times New Roman" w:hAnsi="Times New Roman"/>
          <w:color w:val="000000"/>
          <w:sz w:val="24"/>
        </w:rPr>
        <w:t>means: all (a)</w:t>
      </w:r>
      <w:r>
        <w:rPr>
          <w:rFonts w:ascii="Times New Roman" w:hAnsi="Times New Roman"/>
          <w:color w:val="000000"/>
          <w:sz w:val="20"/>
        </w:rPr>
        <w:t xml:space="preserve"> </w:t>
      </w:r>
      <w:r>
        <w:rPr>
          <w:rFonts w:ascii="Times New Roman" w:hAnsi="Times New Roman"/>
          <w:color w:val="000000"/>
          <w:sz w:val="24"/>
        </w:rPr>
        <w:t>applications (including all Drug Approval Applications),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(c) clinical and other data contained or relied upon in any of the foregoing; in each case ((a), (b), and (c)) relating to a pharmaceutical product.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1.115 </w:t>
      </w:r>
      <w:r>
        <w:rPr>
          <w:rFonts w:ascii="Times New Roman" w:hAnsi="Times New Roman"/>
          <w:color w:val="000000"/>
          <w:sz w:val="20"/>
        </w:rPr>
        <w:t>“</w:t>
      </w:r>
      <w:r>
        <w:rPr>
          <w:rFonts w:ascii="Times New Roman" w:hAnsi="Times New Roman"/>
          <w:b/>
          <w:color w:val="000000"/>
          <w:sz w:val="24"/>
        </w:rPr>
        <w:t>Representatives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Disclosure of Confidential Information</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89" w:name="docxtextref58"/>
      <w:bookmarkEnd w:id="89"/>
      <w:r>
        <w:rPr>
          <w:rFonts w:ascii="Times New Roman" w:hAnsi="Times New Roman"/>
          <w:b/>
          <w:color w:val="000000"/>
          <w:sz w:val="24"/>
        </w:rPr>
        <w:t xml:space="preserve">1.116 </w:t>
      </w:r>
      <w:r>
        <w:rPr>
          <w:rFonts w:ascii="Times New Roman" w:hAnsi="Times New Roman"/>
          <w:color w:val="000000"/>
          <w:sz w:val="20"/>
        </w:rPr>
        <w:t>“</w:t>
      </w:r>
      <w:r>
        <w:rPr>
          <w:rFonts w:ascii="Times New Roman" w:hAnsi="Times New Roman"/>
          <w:b/>
          <w:color w:val="000000"/>
          <w:sz w:val="24"/>
        </w:rPr>
        <w:t>Royalty Term</w:t>
      </w:r>
      <w:r>
        <w:rPr>
          <w:rFonts w:ascii="Times New Roman" w:hAnsi="Times New Roman"/>
          <w:color w:val="000000"/>
          <w:sz w:val="20"/>
        </w:rPr>
        <w:t xml:space="preserve">” </w:t>
      </w:r>
      <w:r>
        <w:rPr>
          <w:rFonts w:ascii="Times New Roman" w:hAnsi="Times New Roman"/>
          <w:color w:val="000000"/>
          <w:sz w:val="24"/>
        </w:rPr>
        <w:t>means, with respect to the Covered Product and each country in the Territory, the period beginning on the date of the First Commercial Sale of the Covered Product in such country and ending on the later to occur of: (a)</w:t>
      </w:r>
      <w:r>
        <w:rPr>
          <w:rFonts w:ascii="Times New Roman" w:hAnsi="Times New Roman"/>
          <w:color w:val="000000"/>
          <w:sz w:val="20"/>
        </w:rPr>
        <w:t xml:space="preserve"> </w:t>
      </w:r>
      <w:r>
        <w:rPr>
          <w:rFonts w:ascii="Times New Roman" w:hAnsi="Times New Roman"/>
          <w:color w:val="000000"/>
          <w:sz w:val="24"/>
        </w:rPr>
        <w:t xml:space="preserve">the expiration or invalidation of the last Valid Claim of a Clearside Patent Right or Covered Product Patent Right in such country that Covers the Covered Product or the administration thereof, or </w:t>
      </w:r>
      <w:bookmarkStart w:id="90" w:name="docxtextref59"/>
      <w:bookmarkEnd w:id="90"/>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after the date of the First Commercial Sale in the applicable country.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1.117 </w:t>
      </w:r>
      <w:r>
        <w:rPr>
          <w:rFonts w:ascii="Times New Roman" w:hAnsi="Times New Roman"/>
          <w:color w:val="000000"/>
          <w:sz w:val="20"/>
        </w:rPr>
        <w:t>“</w:t>
      </w:r>
      <w:r>
        <w:rPr>
          <w:rFonts w:ascii="Times New Roman" w:hAnsi="Times New Roman"/>
          <w:b/>
          <w:color w:val="000000"/>
          <w:sz w:val="24"/>
        </w:rPr>
        <w:t>Rules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1.118 </w:t>
      </w:r>
      <w:r>
        <w:rPr>
          <w:rFonts w:ascii="Times New Roman" w:hAnsi="Times New Roman"/>
          <w:color w:val="000000"/>
          <w:sz w:val="20"/>
        </w:rPr>
        <w:t>“</w:t>
      </w:r>
      <w:r>
        <w:rPr>
          <w:rFonts w:ascii="Times New Roman" w:hAnsi="Times New Roman"/>
          <w:b/>
          <w:color w:val="000000"/>
          <w:sz w:val="24"/>
        </w:rPr>
        <w:t>Safety Stock</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Safety Stock</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1.119 </w:t>
      </w:r>
      <w:r>
        <w:rPr>
          <w:rFonts w:ascii="Times New Roman" w:hAnsi="Times New Roman"/>
          <w:color w:val="000000"/>
          <w:sz w:val="20"/>
        </w:rPr>
        <w:t>“</w:t>
      </w:r>
      <w:r>
        <w:rPr>
          <w:rFonts w:ascii="Times New Roman" w:hAnsi="Times New Roman"/>
          <w:b/>
          <w:color w:val="000000"/>
          <w:sz w:val="24"/>
        </w:rPr>
        <w:t>Safety Stock Price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Safety Stock</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1.120 </w:t>
      </w:r>
      <w:r>
        <w:rPr>
          <w:rFonts w:ascii="Times New Roman" w:hAnsi="Times New Roman"/>
          <w:color w:val="000000"/>
          <w:sz w:val="20"/>
        </w:rPr>
        <w:t>“</w:t>
      </w:r>
      <w:r>
        <w:rPr>
          <w:rFonts w:ascii="Times New Roman" w:hAnsi="Times New Roman"/>
          <w:b/>
          <w:color w:val="000000"/>
          <w:sz w:val="24"/>
        </w:rPr>
        <w:t>SEC</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1.121 </w:t>
      </w:r>
      <w:r>
        <w:rPr>
          <w:rFonts w:ascii="Times New Roman" w:hAnsi="Times New Roman"/>
          <w:color w:val="000000"/>
          <w:sz w:val="20"/>
        </w:rPr>
        <w:t>“</w:t>
      </w:r>
      <w:r>
        <w:rPr>
          <w:rFonts w:ascii="Times New Roman" w:hAnsi="Times New Roman"/>
          <w:b/>
          <w:color w:val="000000"/>
          <w:sz w:val="24"/>
        </w:rPr>
        <w:t>Services Fee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3.2(d)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Services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1.122 </w:t>
      </w:r>
      <w:r>
        <w:rPr>
          <w:rFonts w:ascii="Times New Roman" w:hAnsi="Times New Roman"/>
          <w:color w:val="000000"/>
          <w:sz w:val="20"/>
        </w:rPr>
        <w:t>“</w:t>
      </w:r>
      <w:r>
        <w:rPr>
          <w:rFonts w:ascii="Times New Roman" w:hAnsi="Times New Roman"/>
          <w:b/>
          <w:color w:val="000000"/>
          <w:sz w:val="24"/>
        </w:rPr>
        <w:t>Sublicense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Sublicenses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1.123 </w:t>
      </w:r>
      <w:r>
        <w:rPr>
          <w:rFonts w:ascii="Times New Roman" w:hAnsi="Times New Roman"/>
          <w:color w:val="000000"/>
          <w:sz w:val="20"/>
        </w:rPr>
        <w:t>“</w:t>
      </w:r>
      <w:r>
        <w:rPr>
          <w:rFonts w:ascii="Times New Roman" w:hAnsi="Times New Roman"/>
          <w:b/>
          <w:color w:val="000000"/>
          <w:sz w:val="24"/>
        </w:rPr>
        <w:t>Sublicensee</w:t>
      </w:r>
      <w:r>
        <w:rPr>
          <w:rFonts w:ascii="Times New Roman" w:hAnsi="Times New Roman"/>
          <w:color w:val="000000"/>
          <w:sz w:val="20"/>
        </w:rPr>
        <w:t xml:space="preserve">” </w:t>
      </w:r>
      <w:r>
        <w:rPr>
          <w:rFonts w:ascii="Times New Roman" w:hAnsi="Times New Roman"/>
          <w:color w:val="000000"/>
          <w:sz w:val="24"/>
        </w:rPr>
        <w:t>means any Third Party (other than a Distributor) to whom BioCryst (or a Sublicensee or Affiliate of BioCryst) grants any rights under intellectual property rights Controlled by BioCryst to Develop, Manufacture, Commercialize or otherwise Exploit the Covered Product.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1.124 </w:t>
      </w:r>
      <w:r>
        <w:rPr>
          <w:rFonts w:ascii="Times New Roman" w:hAnsi="Times New Roman"/>
          <w:color w:val="000000"/>
          <w:sz w:val="20"/>
        </w:rPr>
        <w:t>“</w:t>
      </w:r>
      <w:r>
        <w:rPr>
          <w:rFonts w:ascii="Times New Roman" w:hAnsi="Times New Roman"/>
          <w:b/>
          <w:color w:val="000000"/>
          <w:sz w:val="24"/>
        </w:rPr>
        <w:t>Supply Failure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1.125 </w:t>
      </w:r>
      <w:r>
        <w:rPr>
          <w:rFonts w:ascii="Times New Roman" w:hAnsi="Times New Roman"/>
          <w:color w:val="000000"/>
          <w:sz w:val="20"/>
        </w:rPr>
        <w:t>“</w:t>
      </w:r>
      <w:r>
        <w:rPr>
          <w:rFonts w:ascii="Times New Roman" w:hAnsi="Times New Roman"/>
          <w:b/>
          <w:color w:val="000000"/>
          <w:sz w:val="24"/>
        </w:rPr>
        <w:t>Supply Failure Notice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1.126 </w:t>
      </w:r>
      <w:r>
        <w:rPr>
          <w:rFonts w:ascii="Times New Roman" w:hAnsi="Times New Roman"/>
          <w:color w:val="000000"/>
          <w:sz w:val="20"/>
        </w:rPr>
        <w:t>“</w:t>
      </w:r>
      <w:r>
        <w:rPr>
          <w:rFonts w:ascii="Times New Roman" w:hAnsi="Times New Roman"/>
          <w:b/>
          <w:color w:val="000000"/>
          <w:sz w:val="24"/>
        </w:rPr>
        <w:t>Technology Access Agreement</w:t>
      </w:r>
      <w:r>
        <w:rPr>
          <w:rFonts w:ascii="Times New Roman" w:hAnsi="Times New Roman"/>
          <w:color w:val="000000"/>
          <w:sz w:val="20"/>
        </w:rPr>
        <w:t xml:space="preserve">” </w:t>
      </w:r>
      <w:r>
        <w:rPr>
          <w:rFonts w:ascii="Times New Roman" w:hAnsi="Times New Roman"/>
          <w:color w:val="000000"/>
          <w:sz w:val="24"/>
        </w:rPr>
        <w:t>is defined in the Recitals.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1.127 </w:t>
      </w:r>
      <w:r>
        <w:rPr>
          <w:rFonts w:ascii="Times New Roman" w:hAnsi="Times New Roman"/>
          <w:color w:val="000000"/>
          <w:sz w:val="20"/>
        </w:rPr>
        <w:t>“</w:t>
      </w:r>
      <w:r>
        <w:rPr>
          <w:rFonts w:ascii="Times New Roman" w:hAnsi="Times New Roman"/>
          <w:b/>
          <w:color w:val="000000"/>
          <w:sz w:val="24"/>
        </w:rPr>
        <w:t>Term</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Term</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91" w:name="docxtextref60"/>
      <w:bookmarkEnd w:id="91"/>
      <w:r>
        <w:rPr>
          <w:rFonts w:ascii="Times New Roman" w:hAnsi="Times New Roman"/>
          <w:b/>
          <w:color w:val="000000"/>
          <w:sz w:val="24"/>
        </w:rPr>
        <w:t xml:space="preserve">1.128 </w:t>
      </w:r>
      <w:r>
        <w:rPr>
          <w:rFonts w:ascii="Times New Roman" w:hAnsi="Times New Roman"/>
          <w:color w:val="000000"/>
          <w:sz w:val="20"/>
        </w:rPr>
        <w:t>“</w:t>
      </w:r>
      <w:r>
        <w:rPr>
          <w:rFonts w:ascii="Times New Roman" w:hAnsi="Times New Roman"/>
          <w:b/>
          <w:color w:val="000000"/>
          <w:sz w:val="24"/>
        </w:rPr>
        <w:t>Terminated Territory</w:t>
      </w:r>
      <w:r>
        <w:rPr>
          <w:rFonts w:ascii="Times New Roman" w:hAnsi="Times New Roman"/>
          <w:color w:val="000000"/>
          <w:sz w:val="20"/>
        </w:rPr>
        <w:t xml:space="preserve">” </w:t>
      </w:r>
      <w:r>
        <w:rPr>
          <w:rFonts w:ascii="Times New Roman" w:hAnsi="Times New Roman"/>
          <w:color w:val="000000"/>
          <w:sz w:val="24"/>
        </w:rPr>
        <w:t xml:space="preserve">means each country with respect to which this Agreement is terminated by BioCryst pursuant to </w:t>
      </w:r>
      <w:r>
        <w:rPr>
          <w:rFonts w:ascii="Times New Roman" w:hAnsi="Times New Roman"/>
          <w:color w:val="000000"/>
          <w:sz w:val="24"/>
          <w:u w:val="single"/>
        </w:rPr>
        <w:t>Section 9.2(c)</w:t>
      </w:r>
      <w:r>
        <w:rPr>
          <w:rFonts w:ascii="Times New Roman" w:hAnsi="Times New Roman"/>
          <w:color w:val="000000"/>
          <w:sz w:val="20"/>
        </w:rPr>
        <w:t xml:space="preserve"> </w:t>
      </w:r>
      <w:r>
        <w:rPr>
          <w:rFonts w:ascii="Times New Roman" w:hAnsi="Times New Roman"/>
          <w:color w:val="000000"/>
          <w:sz w:val="24"/>
        </w:rPr>
        <w:t>or, if this Agreement is terminated in its entirety, the entire Territory.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1.129 </w:t>
      </w:r>
      <w:r>
        <w:rPr>
          <w:rFonts w:ascii="Times New Roman" w:hAnsi="Times New Roman"/>
          <w:color w:val="000000"/>
          <w:sz w:val="20"/>
        </w:rPr>
        <w:t>“</w:t>
      </w:r>
      <w:r>
        <w:rPr>
          <w:rFonts w:ascii="Times New Roman" w:hAnsi="Times New Roman"/>
          <w:b/>
          <w:color w:val="000000"/>
          <w:sz w:val="24"/>
        </w:rPr>
        <w:t>Termination Notice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Material Breach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1.130 </w:t>
      </w:r>
      <w:r>
        <w:rPr>
          <w:rFonts w:ascii="Times New Roman" w:hAnsi="Times New Roman"/>
          <w:color w:val="000000"/>
          <w:sz w:val="20"/>
        </w:rPr>
        <w:t>“</w:t>
      </w:r>
      <w:r>
        <w:rPr>
          <w:rFonts w:ascii="Times New Roman" w:hAnsi="Times New Roman"/>
          <w:b/>
          <w:color w:val="000000"/>
          <w:sz w:val="24"/>
        </w:rPr>
        <w:t>Territory</w:t>
      </w:r>
      <w:r>
        <w:rPr>
          <w:rFonts w:ascii="Times New Roman" w:hAnsi="Times New Roman"/>
          <w:color w:val="000000"/>
          <w:sz w:val="20"/>
        </w:rPr>
        <w:t xml:space="preserve">” </w:t>
      </w:r>
      <w:r>
        <w:rPr>
          <w:rFonts w:ascii="Times New Roman" w:hAnsi="Times New Roman"/>
          <w:color w:val="000000"/>
          <w:sz w:val="24"/>
        </w:rPr>
        <w:t>means the entire world, other than the Terminated Territory.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1.131 </w:t>
      </w:r>
      <w:r>
        <w:rPr>
          <w:rFonts w:ascii="Times New Roman" w:hAnsi="Times New Roman"/>
          <w:color w:val="000000"/>
          <w:sz w:val="20"/>
        </w:rPr>
        <w:t>“</w:t>
      </w:r>
      <w:r>
        <w:rPr>
          <w:rFonts w:ascii="Times New Roman" w:hAnsi="Times New Roman"/>
          <w:b/>
          <w:color w:val="000000"/>
          <w:sz w:val="24"/>
        </w:rPr>
        <w:t>Third Party</w:t>
      </w:r>
      <w:r>
        <w:rPr>
          <w:rFonts w:ascii="Times New Roman" w:hAnsi="Times New Roman"/>
          <w:color w:val="000000"/>
          <w:sz w:val="20"/>
        </w:rPr>
        <w:t xml:space="preserve">” </w:t>
      </w:r>
      <w:r>
        <w:rPr>
          <w:rFonts w:ascii="Times New Roman" w:hAnsi="Times New Roman"/>
          <w:color w:val="000000"/>
          <w:sz w:val="24"/>
        </w:rPr>
        <w:t>means any Person other than BioCryst, Clearside or their respective Affiliates.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1.132 </w:t>
      </w:r>
      <w:r>
        <w:rPr>
          <w:rFonts w:ascii="Times New Roman" w:hAnsi="Times New Roman"/>
          <w:color w:val="000000"/>
          <w:sz w:val="20"/>
        </w:rPr>
        <w:t>“</w:t>
      </w:r>
      <w:r>
        <w:rPr>
          <w:rFonts w:ascii="Times New Roman" w:hAnsi="Times New Roman"/>
          <w:b/>
          <w:color w:val="000000"/>
          <w:sz w:val="24"/>
        </w:rPr>
        <w:t>Third Party Infringement Claim</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6.3(a)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1.133 </w:t>
      </w:r>
      <w:r>
        <w:rPr>
          <w:rFonts w:ascii="Times New Roman" w:hAnsi="Times New Roman"/>
          <w:color w:val="000000"/>
          <w:sz w:val="20"/>
        </w:rPr>
        <w:t>“</w:t>
      </w:r>
      <w:r>
        <w:rPr>
          <w:rFonts w:ascii="Times New Roman" w:hAnsi="Times New Roman"/>
          <w:b/>
          <w:color w:val="000000"/>
          <w:sz w:val="24"/>
        </w:rPr>
        <w:t>Third Party Claim</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10.4(a)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1.134 </w:t>
      </w:r>
      <w:r>
        <w:rPr>
          <w:rFonts w:ascii="Times New Roman" w:hAnsi="Times New Roman"/>
          <w:color w:val="000000"/>
          <w:sz w:val="20"/>
        </w:rPr>
        <w:t>“</w:t>
      </w:r>
      <w:r>
        <w:rPr>
          <w:rFonts w:ascii="Times New Roman" w:hAnsi="Times New Roman"/>
          <w:b/>
          <w:color w:val="000000"/>
          <w:sz w:val="24"/>
        </w:rPr>
        <w:t>Third Party Manufacturer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92" w:name="docxtextref61"/>
      <w:bookmarkEnd w:id="92"/>
      <w:r>
        <w:rPr>
          <w:rFonts w:ascii="Times New Roman" w:hAnsi="Times New Roman"/>
          <w:b/>
          <w:color w:val="000000"/>
          <w:sz w:val="24"/>
        </w:rPr>
        <w:t xml:space="preserve">1.135 </w:t>
      </w:r>
      <w:r>
        <w:rPr>
          <w:rFonts w:ascii="Times New Roman" w:hAnsi="Times New Roman"/>
          <w:color w:val="000000"/>
          <w:sz w:val="20"/>
        </w:rPr>
        <w:t>“</w:t>
      </w:r>
      <w:r>
        <w:rPr>
          <w:rFonts w:ascii="Times New Roman" w:hAnsi="Times New Roman"/>
          <w:b/>
          <w:color w:val="000000"/>
          <w:sz w:val="24"/>
        </w:rPr>
        <w:t>Transfer Price</w:t>
      </w:r>
      <w:r>
        <w:rPr>
          <w:rFonts w:ascii="Times New Roman" w:hAnsi="Times New Roman"/>
          <w:color w:val="000000"/>
          <w:sz w:val="20"/>
        </w:rPr>
        <w:t xml:space="preserve">” </w:t>
      </w:r>
      <w:r>
        <w:rPr>
          <w:rFonts w:ascii="Times New Roman" w:hAnsi="Times New Roman"/>
          <w:color w:val="000000"/>
          <w:sz w:val="24"/>
        </w:rPr>
        <w:t>means the price at which Clearside will supply Clearside Devices to BioCryst (or its Affiliates, Distributors, subcontractors, or Sublicensees), which price will be, on a Clearside Device-by-Clearside Device basis: (a)</w:t>
      </w:r>
      <w:r>
        <w:rPr>
          <w:rFonts w:ascii="Times New Roman" w:hAnsi="Times New Roman"/>
          <w:color w:val="000000"/>
          <w:sz w:val="20"/>
        </w:rPr>
        <w:t xml:space="preserve"> </w:t>
      </w:r>
      <w:r>
        <w:rPr>
          <w:rFonts w:ascii="Times New Roman" w:hAnsi="Times New Roman"/>
          <w:color w:val="000000"/>
          <w:sz w:val="24"/>
        </w:rPr>
        <w:t xml:space="preserve">for Clearside Devices supplied to BioCryst for Development activities conducted under this Agreement, [***] percent ([***]%) of COGS for such Clearside Device; and </w:t>
      </w:r>
      <w:bookmarkStart w:id="93" w:name="docxtextref62"/>
      <w:bookmarkEnd w:id="93"/>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for all other supply of Clearside Devices to BioCryst (including for BioCryst’s Commercial activities, such as the sale of the Covered Product to Third Parties), [***] percent ([***]%) of COGS, subject to adjustments (up or down) to COGS for inflation and changes to device cost as further set forth in the Commercial Supply Agreement.</w:t>
      </w:r>
    </w:p>
    <w:p>
      <w:pPr>
        <w:pStyle w:val="TextBody"/>
        <w:bidi w:val="0"/>
        <w:spacing w:before="0" w:after="240"/>
        <w:jc w:val="both"/>
        <w:rPr>
          <w:rFonts w:ascii="Times New Roman" w:hAnsi="Times New Roman"/>
          <w:sz w:val="20"/>
        </w:rPr>
      </w:pPr>
      <w:bookmarkStart w:id="94" w:name="docxtextref64"/>
      <w:bookmarkEnd w:id="94"/>
      <w:r>
        <w:rPr>
          <w:rFonts w:ascii="Times New Roman" w:hAnsi="Times New Roman"/>
          <w:b/>
          <w:color w:val="000000"/>
          <w:sz w:val="24"/>
        </w:rPr>
        <w:t xml:space="preserve">1.136 </w:t>
      </w:r>
      <w:r>
        <w:rPr>
          <w:rFonts w:ascii="Times New Roman" w:hAnsi="Times New Roman"/>
          <w:color w:val="000000"/>
          <w:sz w:val="20"/>
        </w:rPr>
        <w:t>“</w:t>
      </w:r>
      <w:r>
        <w:rPr>
          <w:rFonts w:ascii="Times New Roman" w:hAnsi="Times New Roman"/>
          <w:b/>
          <w:color w:val="000000"/>
          <w:sz w:val="24"/>
        </w:rPr>
        <w:t>Valid Claim</w:t>
      </w:r>
      <w:r>
        <w:rPr>
          <w:rFonts w:ascii="Times New Roman" w:hAnsi="Times New Roman"/>
          <w:color w:val="000000"/>
          <w:sz w:val="20"/>
        </w:rPr>
        <w:t xml:space="preserve">” </w:t>
      </w:r>
      <w:r>
        <w:rPr>
          <w:rFonts w:ascii="Times New Roman" w:hAnsi="Times New Roman"/>
          <w:color w:val="000000"/>
          <w:sz w:val="24"/>
        </w:rPr>
        <w:t>means (a) a claim of any issued and unexpired Patent Rights (including the term of any patent term extension, supplemental protection certificate, renewal or other extension) whose validity, enforceability or patentability has not been affected by (i)</w:t>
      </w:r>
      <w:r>
        <w:rPr>
          <w:rFonts w:ascii="Times New Roman" w:hAnsi="Times New Roman"/>
          <w:color w:val="000000"/>
          <w:sz w:val="20"/>
        </w:rPr>
        <w:t xml:space="preserve"> </w:t>
      </w:r>
      <w:r>
        <w:rPr>
          <w:rFonts w:ascii="Times New Roman" w:hAnsi="Times New Roman"/>
          <w:color w:val="000000"/>
          <w:sz w:val="24"/>
        </w:rPr>
        <w:t xml:space="preserve">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claim of a pending Patent Rights application that was filed and is being prosecuted in good faith and has not been abandoned or finally disallowed without the possibility of appeal of the application; </w:t>
      </w:r>
      <w:r>
        <w:rPr>
          <w:rFonts w:ascii="Times New Roman" w:hAnsi="Times New Roman"/>
          <w:i/>
          <w:color w:val="000000"/>
          <w:sz w:val="24"/>
        </w:rPr>
        <w:t>provided</w:t>
      </w:r>
      <w:r>
        <w:rPr>
          <w:rFonts w:ascii="Times New Roman" w:hAnsi="Times New Roman"/>
          <w:color w:val="000000"/>
          <w:sz w:val="24"/>
        </w:rPr>
        <w:t>, that such prosecution has not been ongoing for more than [***] ([***]) years from its earliest priority date and provided further that if, thereafter, a patent containing such claim issues, then such claim will thereafter be considered a Valid Claim in accordance with subclause (a) above.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w:t>
      </w:r>
      <w:r>
        <w:rPr>
          <w:rFonts w:ascii="Times New Roman" w:hAnsi="Times New Roman"/>
          <w:caps/>
          <w:color w:val="000000"/>
          <w:sz w:val="24"/>
        </w:rPr>
        <w:br/>
      </w:r>
      <w:r>
        <w:rPr>
          <w:rFonts w:ascii="Times New Roman" w:hAnsi="Times New Roman"/>
          <w:b/>
          <w:caps/>
          <w:color w:val="000000"/>
          <w:sz w:val="24"/>
        </w:rPr>
        <w:t>LICENSES AND RELATED GRANTS OF RIGHTS</w:t>
      </w:r>
    </w:p>
    <w:p>
      <w:pPr>
        <w:pStyle w:val="TextBody"/>
        <w:bidi w:val="0"/>
        <w:spacing w:before="0" w:after="240"/>
        <w:jc w:val="both"/>
        <w:rPr>
          <w:rFonts w:ascii="Times New Roman" w:hAnsi="Times New Roman"/>
          <w:sz w:val="20"/>
        </w:rPr>
      </w:pPr>
      <w:r>
        <w:rPr>
          <w:rFonts w:ascii="Times New Roman" w:hAnsi="Times New Roman"/>
          <w:b/>
          <w:color w:val="000000"/>
          <w:sz w:val="24"/>
        </w:rPr>
        <w:t>2.1 License Grant</w:t>
      </w:r>
      <w:r>
        <w:rPr>
          <w:rFonts w:ascii="Times New Roman" w:hAnsi="Times New Roman"/>
          <w:color w:val="000000"/>
          <w:sz w:val="24"/>
        </w:rPr>
        <w:t xml:space="preserve">. Clearside hereby grants to BioCryst and its Affiliates an exclusive (including with regard to Clearside and its Affiliates), nontransferable (except as set forth in </w:t>
      </w:r>
      <w:r>
        <w:rPr>
          <w:rFonts w:ascii="Times New Roman" w:hAnsi="Times New Roman"/>
          <w:color w:val="000000"/>
          <w:sz w:val="24"/>
          <w:u w:val="single"/>
        </w:rPr>
        <w:t>Section 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Assignment</w:t>
      </w:r>
      <w:r>
        <w:rPr>
          <w:rFonts w:ascii="Times New Roman" w:hAnsi="Times New Roman"/>
          <w:color w:val="000000"/>
          <w:sz w:val="24"/>
        </w:rPr>
        <w:t xml:space="preserve">)), sublicensable (as set forth in </w:t>
      </w: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Sublicenses</w:t>
      </w:r>
      <w:r>
        <w:rPr>
          <w:rFonts w:ascii="Times New Roman" w:hAnsi="Times New Roman"/>
          <w:color w:val="000000"/>
          <w:sz w:val="24"/>
        </w:rPr>
        <w:t xml:space="preserve">)), right and license under the Clearside Technology, all Patent Rights and Know-How Covering Joint Inventions[***] to Exploit the Clearside Devices for use in connection with the Covered Product in the Field in the Territory;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BioCryst covenants that it will not, and it will not permit Third Parties or its Affiliates, Distributors or Sublicensees to, Manufacture the Clearside Devices except as permitted pursuant to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 or the Commercial Supply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2.2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2.3 Sublicenses</w:t>
      </w:r>
      <w:r>
        <w:rPr>
          <w:rFonts w:ascii="Times New Roman" w:hAnsi="Times New Roman"/>
          <w:color w:val="000000"/>
          <w:sz w:val="24"/>
        </w:rPr>
        <w:t xml:space="preserve">. Clearside agrees that BioCryst has the right to grant sublicenses of the licenses set forth in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License Grant</w:t>
      </w:r>
      <w:r>
        <w:rPr>
          <w:rFonts w:ascii="Times New Roman" w:hAnsi="Times New Roman"/>
          <w:color w:val="000000"/>
          <w:sz w:val="24"/>
        </w:rPr>
        <w:t>) (each, a “</w:t>
      </w:r>
      <w:r>
        <w:rPr>
          <w:rFonts w:ascii="Times New Roman" w:hAnsi="Times New Roman"/>
          <w:b/>
          <w:color w:val="000000"/>
          <w:sz w:val="24"/>
        </w:rPr>
        <w:t>Sublicense</w:t>
      </w:r>
      <w:r>
        <w:rPr>
          <w:rFonts w:ascii="Times New Roman" w:hAnsi="Times New Roman"/>
          <w:color w:val="000000"/>
          <w:sz w:val="20"/>
        </w:rPr>
        <w:t>”</w:t>
      </w:r>
      <w:r>
        <w:rPr>
          <w:rFonts w:ascii="Times New Roman" w:hAnsi="Times New Roman"/>
          <w:color w:val="000000"/>
          <w:sz w:val="24"/>
        </w:rPr>
        <w:t xml:space="preserve">), through multiple tiers of Sublicensees, Affiliates, or Distributors upon receipt of Clearside’s prior written consent, not to be unreasonably withheld, conditioned or delayed;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Sublicenses will be subject to the terms and conditions of this Agreement. Notwithstanding the foregoing, BioCryst has the right to grant Sublicenses without such consent to its Affiliates, Distributors and to any contractors or commercial partners performing activities in furtherance of BioCryst’s or its Affiliates’ Exploitation of the Covered Product.</w:t>
      </w:r>
    </w:p>
    <w:p>
      <w:pPr>
        <w:pStyle w:val="TextBody"/>
        <w:bidi w:val="0"/>
        <w:spacing w:before="0" w:after="240"/>
        <w:jc w:val="both"/>
        <w:rPr>
          <w:rFonts w:ascii="Times New Roman" w:hAnsi="Times New Roman"/>
          <w:sz w:val="20"/>
        </w:rPr>
      </w:pPr>
      <w:r>
        <w:rPr>
          <w:rFonts w:ascii="Times New Roman" w:hAnsi="Times New Roman"/>
          <w:b/>
          <w:color w:val="000000"/>
          <w:sz w:val="24"/>
        </w:rPr>
        <w:t>2.4 Subcontracting</w:t>
      </w:r>
      <w:r>
        <w:rPr>
          <w:rFonts w:ascii="Times New Roman" w:hAnsi="Times New Roman"/>
          <w:color w:val="000000"/>
          <w:sz w:val="24"/>
        </w:rPr>
        <w:t xml:space="preserve">. Each Party will have the right to engage Affiliates and Third Party subcontractors to perform certain of its obligations under this Agreement as such Party deems appropriate, subject to the terms and conditions of this Agreement (including, for clarity,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2.5 Transfer of Know-How</w:t>
      </w:r>
      <w:r>
        <w:rPr>
          <w:rFonts w:ascii="Times New Roman" w:hAnsi="Times New Roman"/>
          <w:color w:val="000000"/>
          <w:sz w:val="24"/>
        </w:rPr>
        <w:t>. Clearside will provide BioCryst with all assistance reasonably required in order to transfer the Clearside Know-How to BioCryst, except that Clearside will not be required to transfer Clearside Know-How related to Manufacture of a Clearside Device (“</w:t>
      </w:r>
      <w:r>
        <w:rPr>
          <w:rFonts w:ascii="Times New Roman" w:hAnsi="Times New Roman"/>
          <w:b/>
          <w:color w:val="000000"/>
          <w:sz w:val="24"/>
        </w:rPr>
        <w:t>Clearside Manufacturing Know-How</w:t>
      </w:r>
      <w:r>
        <w:rPr>
          <w:rFonts w:ascii="Times New Roman" w:hAnsi="Times New Roman"/>
          <w:color w:val="000000"/>
          <w:sz w:val="20"/>
        </w:rPr>
        <w:t>”</w:t>
      </w:r>
      <w:r>
        <w:rPr>
          <w:rFonts w:ascii="Times New Roman" w:hAnsi="Times New Roman"/>
          <w:color w:val="000000"/>
          <w:sz w:val="24"/>
        </w:rPr>
        <w:t>) to BioCryst. The foregoing assistance will include Clearside making available to BioCryst, including at BioCryst’s facilities or the facilities of BioCryst’s Affiliates, those of Clearside’s employees or contractors as BioCryst may reasonably request for purposes of transferring the Clearside Know</w:t>
        <w:softHyphen/>
        <w:t xml:space="preserve">How to BioCryst or for purposes of BioCryst acquiring expertise on the practical application of such Clearside Know-How. For any such assistance that BioCryst requests be provided on-site, such on-site support will be provided at such times as mutually agreed between the Parties. BioCryst will reimburse Clearside at a rate of [***] Dollars ($[***]) per Clearside employee or independent contractor per hour of on-site support provided following receipt of written invoices in reasonable detail;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first [***] ([***]) hours of support will be provided without charge;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BioCryst will reimburse Clearside for reasonable travel expenses in connection with providing such support.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2.6 Exclusivity Covenants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Clearside Obligations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During the Term, Clearside covenants that it and its Affiliates will not, alone, via an Affiliate, or through partnering with a Third Party, Exploit any kallikrein inhibitor delivered with a Clearside Device for use in ocular disease.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During the Term, Clearside covenants that it and its Affiliates will not, alone or via an Affiliate grant any license to any Third Party under the [***] to Exploit any kallikrein inhibitor delivered with a Clearside Device for use in ocular disease.</w:t>
      </w:r>
    </w:p>
    <w:p>
      <w:pPr>
        <w:pStyle w:val="TextBody"/>
        <w:bidi w:val="0"/>
        <w:spacing w:before="0" w:after="240"/>
        <w:jc w:val="both"/>
        <w:rPr>
          <w:rFonts w:ascii="Times New Roman" w:hAnsi="Times New Roman"/>
          <w:sz w:val="20"/>
        </w:rPr>
      </w:pPr>
      <w:r>
        <w:rPr>
          <w:rFonts w:ascii="Times New Roman" w:hAnsi="Times New Roman"/>
          <w:b/>
          <w:color w:val="000000"/>
          <w:sz w:val="24"/>
        </w:rPr>
        <w:t>(b) BioCryst Obligations</w:t>
      </w:r>
      <w:r>
        <w:rPr>
          <w:rFonts w:ascii="Times New Roman" w:hAnsi="Times New Roman"/>
          <w:color w:val="000000"/>
          <w:sz w:val="24"/>
        </w:rPr>
        <w:t>. During the Term, BioCryst covenants that it and its Affiliates will not, alone, via an Affiliate or through partnering with a Third Party, Exploit a product incorporating (i) the BioCryst Compound for use in ocular disease or (ii) another kallikrein inhibitor in the Field, in each case (i) and (ii), that is administered or delivered through the use of a device for delivery of therapeutic agents to the eye other than a Clearside Device.</w:t>
      </w:r>
    </w:p>
    <w:p>
      <w:pPr>
        <w:pStyle w:val="TextBody"/>
        <w:bidi w:val="0"/>
        <w:spacing w:before="0" w:after="240"/>
        <w:jc w:val="both"/>
        <w:rPr>
          <w:rFonts w:ascii="Times New Roman" w:hAnsi="Times New Roman"/>
          <w:sz w:val="20"/>
        </w:rPr>
      </w:pPr>
      <w:r>
        <w:rPr>
          <w:rFonts w:ascii="Times New Roman" w:hAnsi="Times New Roman"/>
          <w:b/>
          <w:color w:val="000000"/>
          <w:sz w:val="24"/>
        </w:rPr>
        <w:t>(c) Exceptions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3</w:t>
      </w:r>
      <w:r>
        <w:rPr>
          <w:rFonts w:ascii="Times New Roman" w:hAnsi="Times New Roman"/>
          <w:caps/>
          <w:color w:val="000000"/>
          <w:sz w:val="24"/>
        </w:rPr>
        <w:br/>
      </w:r>
      <w:r>
        <w:rPr>
          <w:rFonts w:ascii="Times New Roman" w:hAnsi="Times New Roman"/>
          <w:b/>
          <w:caps/>
          <w:color w:val="000000"/>
          <w:sz w:val="24"/>
        </w:rPr>
        <w:t>DEVELOPMENT, COMMERCIALIZATION AND MANUFACTURE OF COVERED PRODUCT</w:t>
      </w:r>
    </w:p>
    <w:p>
      <w:pPr>
        <w:pStyle w:val="TextBody"/>
        <w:bidi w:val="0"/>
        <w:spacing w:before="0" w:after="240"/>
        <w:jc w:val="both"/>
        <w:rPr>
          <w:rFonts w:ascii="Times New Roman" w:hAnsi="Times New Roman"/>
          <w:sz w:val="20"/>
        </w:rPr>
      </w:pPr>
      <w:r>
        <w:rPr>
          <w:rFonts w:ascii="Times New Roman" w:hAnsi="Times New Roman"/>
          <w:b/>
          <w:color w:val="000000"/>
          <w:sz w:val="24"/>
        </w:rPr>
        <w:t>3.1 Diligence</w:t>
      </w:r>
      <w:r>
        <w:rPr>
          <w:rFonts w:ascii="Times New Roman" w:hAnsi="Times New Roman"/>
          <w:color w:val="000000"/>
          <w:sz w:val="24"/>
        </w:rPr>
        <w:t xml:space="preserve">. BioCryst will (itself or through its Affiliates or Sublicensees) use Commercially Reasonable Efforts to Develop, seek Regulatory Approval for and Commercialize the Covered Product in the Field in the Territory. Within [***] ([***]) days after the Effective Date, BioCryst will provide a non-binding written summary of BioCryst’s planned Development and Commercialization activities for the Covered Product in the Field in the Territory for the subsequent [***] ([***]) month period. BioCryst shall provide Clearside with a non-binding update of such written summary within [***] ([***]) days after the end of each Calendar Year of the Royalty Term during which BioCryst did not provide a report pursuant to </w:t>
      </w:r>
      <w:r>
        <w:rPr>
          <w:rFonts w:ascii="Times New Roman" w:hAnsi="Times New Roman"/>
          <w:color w:val="000000"/>
          <w:sz w:val="24"/>
          <w:u w:val="single"/>
        </w:rPr>
        <w:t>Section 3.6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Progress Reports</w:t>
      </w:r>
      <w:r>
        <w:rPr>
          <w:rFonts w:ascii="Times New Roman" w:hAnsi="Times New Roman"/>
          <w:color w:val="000000"/>
          <w:sz w:val="24"/>
        </w:rPr>
        <w:t xml:space="preserve">). All reports provided by BioCryst under this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Diligence</w:t>
      </w:r>
      <w:r>
        <w:rPr>
          <w:rFonts w:ascii="Times New Roman" w:hAnsi="Times New Roman"/>
          <w:color w:val="000000"/>
          <w:sz w:val="24"/>
        </w:rPr>
        <w:t xml:space="preserve">) will be BioCryst’s Confidential Information, subject to the terms of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95" w:name="docxtextref83"/>
      <w:bookmarkEnd w:id="95"/>
      <w:r>
        <w:rPr>
          <w:rFonts w:ascii="Times New Roman" w:hAnsi="Times New Roman"/>
          <w:b/>
          <w:color w:val="000000"/>
          <w:sz w:val="24"/>
        </w:rPr>
        <w:t>3.2 Development</w:t>
      </w:r>
      <w:r>
        <w:rPr>
          <w:rFonts w:ascii="Times New Roman" w:hAnsi="Times New Roman"/>
          <w:color w:val="000000"/>
          <w:sz w:val="24"/>
        </w:rPr>
        <w:t xml:space="preserve">. Subject to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Diligence</w:t>
      </w:r>
      <w:r>
        <w:rPr>
          <w:rFonts w:ascii="Times New Roman" w:hAnsi="Times New Roman"/>
          <w:color w:val="000000"/>
          <w:sz w:val="24"/>
        </w:rPr>
        <w:t>), BioCryst will have the sole right and responsibility, at its sole expense and in its sole discretion, for all aspects of the Development of the Covered Product. Without limiting the generality of the foregoing, BioCryst will have the sole right and obligation, at its sole expense, to: (a)</w:t>
      </w:r>
      <w:r>
        <w:rPr>
          <w:rFonts w:ascii="Times New Roman" w:hAnsi="Times New Roman"/>
          <w:color w:val="000000"/>
          <w:sz w:val="20"/>
        </w:rPr>
        <w:t xml:space="preserve"> </w:t>
      </w:r>
      <w:r>
        <w:rPr>
          <w:rFonts w:ascii="Times New Roman" w:hAnsi="Times New Roman"/>
          <w:color w:val="000000"/>
          <w:sz w:val="24"/>
        </w:rPr>
        <w:t xml:space="preserve">file all Drug Approval Applications and make all other filings with the Regulatory Authorities, and to otherwise seek all Regulatory Approvals for the Covered Product in the Territory, as well as to conduct all correspondence and communications with Regulatory Authorities regarding such matters; </w:t>
      </w:r>
      <w:bookmarkStart w:id="96" w:name="docxtextref84"/>
      <w:bookmarkEnd w:id="96"/>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report all adverse events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97" w:name="docxtextref85"/>
      <w:bookmarkEnd w:id="97"/>
      <w:r>
        <w:rPr>
          <w:rFonts w:ascii="Times New Roman" w:hAnsi="Times New Roman"/>
          <w:color w:val="000000"/>
          <w:sz w:val="24"/>
        </w:rPr>
        <w:t>related to the Covered Product sold by BioCryst, its Affiliates, Distributors, or Sublicensees to Regulatory Authorities if and to the extent required by Applicable Law; and (c)</w:t>
      </w:r>
      <w:r>
        <w:rPr>
          <w:rFonts w:ascii="Times New Roman" w:hAnsi="Times New Roman"/>
          <w:color w:val="000000"/>
          <w:sz w:val="20"/>
        </w:rPr>
        <w:t xml:space="preserve"> </w:t>
      </w:r>
      <w:r>
        <w:rPr>
          <w:rFonts w:ascii="Times New Roman" w:hAnsi="Times New Roman"/>
          <w:color w:val="000000"/>
          <w:sz w:val="24"/>
        </w:rPr>
        <w:t>provide Clearside with safety data as defined by and within the timelines outlined in the Pharmacovigilance Agreement.</w:t>
      </w:r>
    </w:p>
    <w:p>
      <w:pPr>
        <w:pStyle w:val="TextBody"/>
        <w:bidi w:val="0"/>
        <w:spacing w:before="0" w:after="240"/>
        <w:jc w:val="both"/>
        <w:rPr>
          <w:rFonts w:ascii="Times New Roman" w:hAnsi="Times New Roman"/>
          <w:sz w:val="20"/>
        </w:rPr>
      </w:pPr>
      <w:r>
        <w:rPr>
          <w:rFonts w:ascii="Times New Roman" w:hAnsi="Times New Roman"/>
          <w:b/>
          <w:color w:val="000000"/>
          <w:sz w:val="24"/>
        </w:rPr>
        <w:t>(a) Regulatory Approvals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98" w:name="docxtextref86"/>
      <w:bookmarkEnd w:id="98"/>
      <w:r>
        <w:rPr>
          <w:rFonts w:ascii="Times New Roman" w:hAnsi="Times New Roman"/>
          <w:b/>
          <w:color w:val="000000"/>
          <w:sz w:val="24"/>
        </w:rPr>
        <w:t xml:space="preserve">(i) </w:t>
      </w:r>
      <w:r>
        <w:rPr>
          <w:rFonts w:ascii="Times New Roman" w:hAnsi="Times New Roman"/>
          <w:color w:val="000000"/>
          <w:sz w:val="24"/>
        </w:rPr>
        <w:t>As between the Parties, BioCryst will have the sole right to prepare, obtain and maintain Drug Approval Applications (including the setting of the overall regulatory strategy therefor), other Regulatory Approvals and other submissions and to conduct communications with the Regulatory Authorities, for the Covered Product in the Field in the Territory. Clearside and its Affiliates will support BioCryst, as may be reasonably necessary and at BioCryst’s expense, in obtaining Drug Approval Applications and Regulatory Approvals for the Covered Product in the Field in the Territory and in the activities in support thereof, including providing all documents or other materials Controlled by Clearside or any of its Affiliates as may be necessary or useful for BioCryst or any of its Affiliates or its or their Distributors and Sublicensees to obtain Regulatory Approvals for the Covered Product in the Field in the Territory. In particular: (A)</w:t>
      </w:r>
      <w:r>
        <w:rPr>
          <w:rFonts w:ascii="Times New Roman" w:hAnsi="Times New Roman"/>
          <w:color w:val="000000"/>
          <w:sz w:val="20"/>
        </w:rPr>
        <w:t xml:space="preserve"> </w:t>
      </w:r>
      <w:r>
        <w:rPr>
          <w:rFonts w:ascii="Times New Roman" w:hAnsi="Times New Roman"/>
          <w:color w:val="000000"/>
          <w:sz w:val="24"/>
        </w:rPr>
        <w:t>Clearside will provide to BioCryst, in a timely manner so as not to delay the filing of any Drug Approval Application or any Regulatory Approval, chemistry, manufacturing and controls information and any other relevant Regulatory Documentation in Clearside’s possession as is required to enable BioCryst to make the relevant submission for each IND or any Regulatory Approval; (B) Clearside will provide all support reasonably useful or necessary to enable BioCryst to respond to any request of any Regulatory Authority in respect of any Drug Approval Application or Regulatory Approval; (C) Clearside will provide a letter of authorization granting BioCryst the right of reference to (x) the Clearside DMF and (y) any other relevant Regulatory Documentation, in each case ((x) and (y)), as is reasonably useful or necessary for the Covered Product in the Field in the Territory; and (D) Clearside will notify BioCryst of any amendments or supplemental filings relating to the Clearside DMF or any other relevant Regulatory Documentation provided under subclause (C) that would affect BioCryst’s ability to Exploit the Covered Product.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Except to the extent prohibited by Applicable Law, all Regulatory Documentation (including all Regulatory Approvals) specifically relating to the Covered Product (excluding, for clarity, the Clearside DMF) or the BioCryst Compound in the Field with respect to the Territory created by BioCryst will be owned by and will be held in the name of, BioCryst or its designated Affiliate, Distributor, Sublicensee or designee.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(iii) </w:t>
      </w:r>
      <w:r>
        <w:rPr>
          <w:rFonts w:ascii="Times New Roman" w:hAnsi="Times New Roman"/>
          <w:color w:val="000000"/>
          <w:sz w:val="24"/>
        </w:rPr>
        <w:t>BioCryst shall provide Clearside with copies of all material Regulatory Documentation to the extent making claims relating solely to a Clearside Device or containing statements relating to a Clearside Device that are not previously publicly available or previously approved by Clearside at least [***] ([***]) days prior to submission for review and comment by Clearside, and BioCryst shall consider in good faith any comments received from Clearside. Notwithstanding the foregoing, BioCryst shall notify Clearside of material correspondence received from any Regulatory Authority to the extent including information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might reasonably affect any Regulatory Approval for a Clearside Device within [***] ([***]) Business Days.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(iv) </w:t>
      </w:r>
      <w:r>
        <w:rPr>
          <w:rFonts w:ascii="Times New Roman" w:hAnsi="Times New Roman"/>
          <w:color w:val="000000"/>
          <w:sz w:val="24"/>
        </w:rPr>
        <w:t>BioCryst will inform Clearside of any safety related regulatory action related to a Clearside Device, queries or requests for inspection within the timelines outlined in the Pharmacovigilance Agreement and the Quality Agreement. BioCryst will provide Clearside the opportunity to review and comment on any response to any of the foregoing prior to finalization and submission thereof, and BioCryst shall consider in good faith any such comments received from Clearside.</w:t>
      </w:r>
    </w:p>
    <w:p>
      <w:pPr>
        <w:pStyle w:val="TextBody"/>
        <w:bidi w:val="0"/>
        <w:spacing w:before="0" w:after="240"/>
        <w:jc w:val="both"/>
        <w:rPr>
          <w:rFonts w:ascii="Times New Roman" w:hAnsi="Times New Roman"/>
          <w:sz w:val="20"/>
        </w:rPr>
      </w:pPr>
      <w:r>
        <w:rPr>
          <w:rFonts w:ascii="Times New Roman" w:hAnsi="Times New Roman"/>
          <w:b/>
          <w:color w:val="000000"/>
          <w:sz w:val="24"/>
        </w:rPr>
        <w:t>(b) Recalls, Suspensions or Withdrawals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 xml:space="preserve">BioCryst will notify Clearside within [***] ([***]) Business Days following its determination that any event, incident or circumstance relating to the Covered Product has occurred that may result in the need for a recall, market suspension or market withdrawal of the Covered Product Exploited by BioCryst, its Affiliates, Distributors or Sublicensees in the Territory and will include in such notice the reasoning behind such determination and any supporting facts. As between the Parties, BioCryst will have the right to make the final determination whether to voluntarily implement any such recall, market suspension or market withdrawal in the Territory. If a recall, market suspension or market withdrawal of the Covered Product Exploited by BioCryst, its Affiliates, Distributors, or Sublicensees is mandated by a Regulatory Authority in the Territory, as between the Parties, BioCryst will initiate such a recall, market suspension or market withdrawal in compliance with Applicable Law. For all recalls, market suspensions or market withdrawals undertaken pursuant to this </w:t>
      </w:r>
      <w:r>
        <w:rPr>
          <w:rFonts w:ascii="Times New Roman" w:hAnsi="Times New Roman"/>
          <w:color w:val="000000"/>
          <w:sz w:val="24"/>
          <w:u w:val="single"/>
        </w:rPr>
        <w:t>Section 3.2(b)(i)</w:t>
      </w:r>
      <w:r>
        <w:rPr>
          <w:rFonts w:ascii="Times New Roman" w:hAnsi="Times New Roman"/>
          <w:color w:val="000000"/>
          <w:sz w:val="24"/>
        </w:rPr>
        <w:t xml:space="preserve">, as between the Parties, BioCryst will be solely responsible for the execution of such recalls, market suspensions or market withdrawals and Clearside will reasonably cooperate in all such efforts. BioCryst will be responsible for all costs of any recall, market suspension or market withdrawal of the Covered Product in the Territory, except in the event and to the extent that such recall, market suspension or market withdrawal resulted from (A) Clearside’s or its Affiliate’s material breach of its obligations hereunder or from Clearside’s or its Affiliate’s fraud, negligence or willful misconduct, or (B) any event, incident or circumstance relating to a Clearside Device pursuant to </w:t>
      </w:r>
      <w:r>
        <w:rPr>
          <w:rFonts w:ascii="Times New Roman" w:hAnsi="Times New Roman"/>
          <w:color w:val="000000"/>
          <w:sz w:val="24"/>
          <w:u w:val="single"/>
        </w:rPr>
        <w:t>Section 3.2(b)(ii)</w:t>
      </w:r>
      <w:r>
        <w:rPr>
          <w:rFonts w:ascii="Times New Roman" w:hAnsi="Times New Roman"/>
          <w:color w:val="000000"/>
          <w:sz w:val="24"/>
        </w:rPr>
        <w:t xml:space="preserve">, in which case of ((A) and (B)), Clearside will bear the expense of such recall, market suspension or market withdrawal. In the event of a recall, market suspension or market withdrawal undertaken pursuant to this </w:t>
      </w:r>
      <w:r>
        <w:rPr>
          <w:rFonts w:ascii="Times New Roman" w:hAnsi="Times New Roman"/>
          <w:color w:val="000000"/>
          <w:sz w:val="24"/>
          <w:u w:val="single"/>
        </w:rPr>
        <w:t>Section 3.2(b)(i)</w:t>
      </w:r>
      <w:r>
        <w:rPr>
          <w:rFonts w:ascii="Times New Roman" w:hAnsi="Times New Roman"/>
          <w:color w:val="000000"/>
          <w:sz w:val="24"/>
        </w:rPr>
        <w:t>, BioCryst will keep Clearside reasonably informed with respect to such recall, market suspension or market withdrawal.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Clearside will notify BioCryst within [***] ([***]) Business Days following its determination that any event, incident or circumstance has occurred that may result in the need for a recall, market suspension or market withdrawal of a Clearside Device in the Territory and will include in such notice the reasoning behind such determination and any supporting facts. As between the Parties, Clearside will have the right to make the final determination whether to voluntarily implement any such recall, market suspension or market withdrawal of a Clearside Device in the Territory. If a recall, market suspension or market withdrawal of a Clearside Device in the Territory is mandated by a Regulatory Authority in the Territory, as between the Parties, Clearside will initiate such a recall, market suspension or market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withdrawal in compliance with Applicable Law. For all recalls, market suspensions or market withdrawals undertaken pursuant to this </w:t>
      </w:r>
      <w:r>
        <w:rPr>
          <w:rFonts w:ascii="Times New Roman" w:hAnsi="Times New Roman"/>
          <w:color w:val="000000"/>
          <w:sz w:val="24"/>
          <w:u w:val="single"/>
        </w:rPr>
        <w:t>Section 3.2(b)(ii)</w:t>
      </w:r>
      <w:r>
        <w:rPr>
          <w:rFonts w:ascii="Times New Roman" w:hAnsi="Times New Roman"/>
          <w:color w:val="000000"/>
          <w:sz w:val="24"/>
        </w:rPr>
        <w:t xml:space="preserve">, as between the Parties, Clearside will be solely responsible for the execution of such recalls, market suspensions or market withdrawals and BioCryst will reasonably cooperate in all such efforts. Clearside will be responsible for all costs of any recall, market suspension or market withdrawal of a Clearside Device, except in the event and to the extent that a recall, market suspension or market withdrawal resulted from BioCryst’s or its Affiliate’s material breach of its obligations hereunder or from BioCryst’s or its Affiliate’s fraud, negligence or willful misconduct, in which case, BioCryst will bear the expense of such recall, market suspension or market withdrawal. In the event of a recall, market suspension or market withdrawal undertaken pursuant to this </w:t>
      </w:r>
      <w:r>
        <w:rPr>
          <w:rFonts w:ascii="Times New Roman" w:hAnsi="Times New Roman"/>
          <w:color w:val="000000"/>
          <w:sz w:val="24"/>
          <w:u w:val="single"/>
        </w:rPr>
        <w:t>Section 3.2(b)(ii)</w:t>
      </w:r>
      <w:r>
        <w:rPr>
          <w:rFonts w:ascii="Times New Roman" w:hAnsi="Times New Roman"/>
          <w:color w:val="000000"/>
          <w:sz w:val="24"/>
        </w:rPr>
        <w:t>, Clearside will keep BioCryst reasonably informed with respect to such recall, market suspension or market withdrawal.</w:t>
      </w:r>
    </w:p>
    <w:p>
      <w:pPr>
        <w:pStyle w:val="TextBody"/>
        <w:bidi w:val="0"/>
        <w:spacing w:before="0" w:after="240"/>
        <w:jc w:val="both"/>
        <w:rPr>
          <w:rFonts w:ascii="Times New Roman" w:hAnsi="Times New Roman"/>
          <w:sz w:val="20"/>
        </w:rPr>
      </w:pPr>
      <w:r>
        <w:rPr>
          <w:rFonts w:ascii="Times New Roman" w:hAnsi="Times New Roman"/>
          <w:b/>
          <w:color w:val="000000"/>
          <w:sz w:val="24"/>
        </w:rPr>
        <w:t>(c) Global Safety Database</w:t>
      </w:r>
      <w:r>
        <w:rPr>
          <w:rFonts w:ascii="Times New Roman" w:hAnsi="Times New Roman"/>
          <w:color w:val="000000"/>
          <w:sz w:val="24"/>
        </w:rPr>
        <w:t>. BioCryst will establish, hold and maintain (at BioCryst’s cost and expense) the global safety database for the Covered Product Exploited by BioCryst, its Affiliates, Distributors, or Sublicensees in the Territory. Subject to the terms and conditions of the Pharmacovigilance Agreement (as defined below) to be entered into by the Parties after the Effective Date, Clearside and its Affiliates will provide BioCryst with all information necessary for BioCryst to comply with its pharmacovigilance responsibilities in the Territory, including, as applicable, any adverse events involving a Clearside Device (including outside the Field), in each case in the form reasonably requested by BioCryst. Within [***] ([***]) days after the Effective Date, the Parties will develop and agree in writing upon a safety data exchange agreement (“</w:t>
      </w:r>
      <w:r>
        <w:rPr>
          <w:rFonts w:ascii="Times New Roman" w:hAnsi="Times New Roman"/>
          <w:b/>
          <w:color w:val="000000"/>
          <w:sz w:val="24"/>
        </w:rPr>
        <w:t>Pharmacovigilance Agreement</w:t>
      </w:r>
      <w:r>
        <w:rPr>
          <w:rFonts w:ascii="Times New Roman" w:hAnsi="Times New Roman"/>
          <w:color w:val="000000"/>
          <w:sz w:val="20"/>
        </w:rPr>
        <w:t>”</w:t>
      </w:r>
      <w:r>
        <w:rPr>
          <w:rFonts w:ascii="Times New Roman" w:hAnsi="Times New Roman"/>
          <w:color w:val="000000"/>
          <w:sz w:val="24"/>
        </w:rPr>
        <w:t>) that will enable each Party to comply with its legal and regulatory obligations in the Territory relating to the Covered Product and Clearside Devices.</w:t>
      </w:r>
    </w:p>
    <w:p>
      <w:pPr>
        <w:pStyle w:val="TextBody"/>
        <w:bidi w:val="0"/>
        <w:spacing w:before="0" w:after="240"/>
        <w:jc w:val="both"/>
        <w:rPr>
          <w:rFonts w:ascii="Times New Roman" w:hAnsi="Times New Roman"/>
          <w:sz w:val="20"/>
        </w:rPr>
      </w:pPr>
      <w:r>
        <w:rPr>
          <w:rFonts w:ascii="Times New Roman" w:hAnsi="Times New Roman"/>
          <w:b/>
          <w:color w:val="000000"/>
          <w:sz w:val="24"/>
        </w:rPr>
        <w:t>(d) Development Services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During the period commencing on the Effective Date and ending on the date that an IND is filed for the Covered Product, and on a Calendar Quarter-by-Calendar Quarter basis, (A) BioCryst shall pay Clearside Seventy-Five Thousand Dollars ($75,000) (the “</w:t>
      </w:r>
      <w:r>
        <w:rPr>
          <w:rFonts w:ascii="Times New Roman" w:hAnsi="Times New Roman"/>
          <w:b/>
          <w:color w:val="000000"/>
          <w:sz w:val="24"/>
        </w:rPr>
        <w:t>Services Fee</w:t>
      </w:r>
      <w:r>
        <w:rPr>
          <w:rFonts w:ascii="Times New Roman" w:hAnsi="Times New Roman"/>
          <w:color w:val="000000"/>
          <w:sz w:val="20"/>
        </w:rPr>
        <w:t>”</w:t>
      </w:r>
      <w:r>
        <w:rPr>
          <w:rFonts w:ascii="Times New Roman" w:hAnsi="Times New Roman"/>
          <w:color w:val="000000"/>
          <w:sz w:val="24"/>
        </w:rPr>
        <w:t>) for Clearside’s assistance and support services relating to the Development of the Covered Product, Clearside Devices or the Clearside Technology during such Calendar Quarter, including, without limitation, assistance in the training and use of a Clearside Device or the Clearside Technology, updates to and further development of a Clearside Device (the “</w:t>
      </w:r>
      <w:r>
        <w:rPr>
          <w:rFonts w:ascii="Times New Roman" w:hAnsi="Times New Roman"/>
          <w:b/>
          <w:color w:val="000000"/>
          <w:sz w:val="24"/>
        </w:rPr>
        <w:t>Development Services</w:t>
      </w:r>
      <w:r>
        <w:rPr>
          <w:rFonts w:ascii="Times New Roman" w:hAnsi="Times New Roman"/>
          <w:color w:val="000000"/>
          <w:sz w:val="20"/>
        </w:rPr>
        <w:t>”</w:t>
      </w:r>
      <w:r>
        <w:rPr>
          <w:rFonts w:ascii="Times New Roman" w:hAnsi="Times New Roman"/>
          <w:color w:val="000000"/>
          <w:sz w:val="24"/>
        </w:rPr>
        <w:t xml:space="preserve">), and (B) BioCryst shall reimburse Clearside for any and all Out-of-Pocket Costs incurred by Clearside during each Calendar Quarter in the course of providing the Development Services, including without limitation, any fees or expenses paid to a Third Party laboratory or vendor engaged by Clearside to perform analytical, contract research or manufacturing services in connection with such Development Services. For clarity, Development Services shall exclude, and no fees shall be owed by BioCryst to Clearside for, any assistance required in </w:t>
      </w:r>
      <w:r>
        <w:rPr>
          <w:rFonts w:ascii="Times New Roman" w:hAnsi="Times New Roman"/>
          <w:color w:val="000000"/>
          <w:sz w:val="24"/>
          <w:u w:val="single"/>
        </w:rPr>
        <w:t>Section 2.5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Transfer of Know-How</w:t>
      </w:r>
      <w:r>
        <w:rPr>
          <w:rFonts w:ascii="Times New Roman" w:hAnsi="Times New Roman"/>
          <w:color w:val="000000"/>
          <w:sz w:val="24"/>
        </w:rPr>
        <w:t xml:space="preserve">), required elsewhere in this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w:t>
      </w:r>
      <w:r>
        <w:rPr>
          <w:rFonts w:ascii="Times New Roman" w:hAnsi="Times New Roman"/>
          <w:color w:val="000000"/>
          <w:sz w:val="24"/>
        </w:rPr>
        <w:t>), or otherwise expressly required under this Agreement. Within [***] ([***]) days after the Effective Date, the Parties will agree in writing on the scope of Development Services to be provided and the terms applicable to Clearside’s provision of Development Services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BioCryst, all of which shall be appended hereto as </w:t>
      </w:r>
      <w:r>
        <w:rPr>
          <w:rFonts w:ascii="Times New Roman" w:hAnsi="Times New Roman"/>
          <w:color w:val="000000"/>
          <w:sz w:val="24"/>
          <w:u w:val="single"/>
        </w:rPr>
        <w:t>Exhibit 3.2(d)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mallCaps/>
          <w:color w:val="000000"/>
          <w:sz w:val="24"/>
        </w:rPr>
        <w:t>Clearside Development Services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 xml:space="preserve">Clearside shall invoice the Services Fee and the Out-of-Pocket Costs incurred by Clearside during each Calendar Quarter in the course of providing the Development Services within [***] ([***]) days after the end thereof. BioCryst’s payment of such invoices shall proceed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3.3 Governance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Alliance Managers</w:t>
      </w:r>
      <w:r>
        <w:rPr>
          <w:rFonts w:ascii="Times New Roman" w:hAnsi="Times New Roman"/>
          <w:color w:val="000000"/>
          <w:sz w:val="24"/>
        </w:rPr>
        <w:t>. Each Party will appoint an individual to act as its alliance manager under this Agreement as soon as practicable after the Effective Date (each an “</w:t>
      </w:r>
      <w:r>
        <w:rPr>
          <w:rFonts w:ascii="Times New Roman" w:hAnsi="Times New Roman"/>
          <w:b/>
          <w:color w:val="000000"/>
          <w:sz w:val="24"/>
        </w:rPr>
        <w:t>Alliance Manager</w:t>
      </w:r>
      <w:r>
        <w:rPr>
          <w:rFonts w:ascii="Times New Roman" w:hAnsi="Times New Roman"/>
          <w:color w:val="000000"/>
          <w:sz w:val="20"/>
        </w:rPr>
        <w:t>”</w:t>
      </w:r>
      <w:r>
        <w:rPr>
          <w:rFonts w:ascii="Times New Roman" w:hAnsi="Times New Roman"/>
          <w:color w:val="000000"/>
          <w:sz w:val="24"/>
        </w:rPr>
        <w:t>). The Alliance Managers will: (i) serve as the primary points of contact between the Parties for the purpose of providing the other Party with information on the progress of a Party’s activities under this Agreement; (ii) be responsible for facilitating the flow of information and otherwise promoting communication, coordination, and collaboration between the Parties with respect to the status, progress and results of the Development, Commercialization or other Exploitation of the Covered Product under the Agreement; (iii) facilitate the prompt resolution of any disputes; and (iv) perform such other functions as expressly set forth in this Agreement or allocated to the Alliance Managers by the Parties’ written agreement. An Alliance Manager may also bring any matter to the attention of the executive officers and other personnel as appropriate if such Alliance Manager reasonably believes that such matter warrants such attention. Each Party will use reasonable efforts to keep an appropriate level of continuity but may replace its Alliance Manager at any time upon written notice to the other Party.</w:t>
      </w:r>
    </w:p>
    <w:p>
      <w:pPr>
        <w:pStyle w:val="TextBody"/>
        <w:bidi w:val="0"/>
        <w:spacing w:before="0" w:after="240"/>
        <w:jc w:val="both"/>
        <w:rPr>
          <w:rFonts w:ascii="Times New Roman" w:hAnsi="Times New Roman"/>
          <w:sz w:val="20"/>
        </w:rPr>
      </w:pPr>
      <w:r>
        <w:rPr>
          <w:rFonts w:ascii="Times New Roman" w:hAnsi="Times New Roman"/>
          <w:b/>
          <w:color w:val="000000"/>
          <w:sz w:val="24"/>
        </w:rPr>
        <w:t>(b) Meetings</w:t>
      </w:r>
      <w:r>
        <w:rPr>
          <w:rFonts w:ascii="Times New Roman" w:hAnsi="Times New Roman"/>
          <w:color w:val="000000"/>
          <w:sz w:val="24"/>
        </w:rPr>
        <w:t>. During the Term and until the initiation of a Phase III Clinical Trial for the Covered Product, the Parties shall hold meetings at least [***] per Calendar Year (or such other frequency as mutually agreed by the Parties) for BioCryst to present and share any updates and progress regarding the Exploitation of the Covered Product during such immediately preceding Calendar Year (or such other period as mutually agreed by the Parties). Such meetings may be held in person, by audio or video conference. The Alliance Managers will be responsible for calling meetings and preparing and circulating an agenda to the Parties’ respective executive officers in advance of each meeting.</w:t>
      </w:r>
    </w:p>
    <w:p>
      <w:pPr>
        <w:pStyle w:val="TextBody"/>
        <w:bidi w:val="0"/>
        <w:spacing w:before="0" w:after="240"/>
        <w:jc w:val="both"/>
        <w:rPr>
          <w:rFonts w:ascii="Times New Roman" w:hAnsi="Times New Roman"/>
          <w:sz w:val="20"/>
        </w:rPr>
      </w:pPr>
      <w:r>
        <w:rPr>
          <w:rFonts w:ascii="Times New Roman" w:hAnsi="Times New Roman"/>
          <w:b/>
          <w:color w:val="000000"/>
          <w:sz w:val="24"/>
        </w:rPr>
        <w:t>(c) Decisions</w:t>
      </w:r>
      <w:r>
        <w:rPr>
          <w:rFonts w:ascii="Times New Roman" w:hAnsi="Times New Roman"/>
          <w:color w:val="000000"/>
          <w:sz w:val="24"/>
        </w:rPr>
        <w:t>. Notwithstanding any provision to the contrary set forth in this Agreement, without the other Party’s prior written consent, no decision of the Alliance Managers may: (i) result in a material increase in the other Party’s obligations, costs, or expenses under this Agreement, unless, in each case, such actions are reasonably necessary for each Party to comply with Applicable Law or as the owner and holder of any Regulatory Approval, as applicable, for the Covered Product; (ii) take or decline to take any action that would be reasonably likely to result in a violation of any Applicable Law, the requirements of any Regulatory Authority, or any agreement with any Third Party or would be reasonably likely to result in the infringement or misappropriation of Intellectual Property rights of any Third Party; or (iii) amend, modify, or conflict with this Agreement, any Quality Agreement, the Pharmacovigilance Agreement,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Commercial Supply Agreement, or any other agreement between the Parties related to the subject matter set forth herein.</w:t>
      </w:r>
    </w:p>
    <w:p>
      <w:pPr>
        <w:pStyle w:val="TextBody"/>
        <w:bidi w:val="0"/>
        <w:spacing w:before="0" w:after="240"/>
        <w:jc w:val="both"/>
        <w:rPr>
          <w:rFonts w:ascii="Times New Roman" w:hAnsi="Times New Roman"/>
          <w:sz w:val="20"/>
        </w:rPr>
      </w:pPr>
      <w:r>
        <w:rPr>
          <w:rFonts w:ascii="Times New Roman" w:hAnsi="Times New Roman"/>
          <w:b/>
          <w:color w:val="000000"/>
          <w:sz w:val="24"/>
        </w:rPr>
        <w:t>3.4 Commercialization and Manufacture of Covered Product</w:t>
      </w:r>
      <w:r>
        <w:rPr>
          <w:rFonts w:ascii="Times New Roman" w:hAnsi="Times New Roman"/>
          <w:color w:val="000000"/>
          <w:sz w:val="24"/>
        </w:rPr>
        <w:t xml:space="preserve">. As between the Parties, BioCryst (itself or through its Affiliates, Distributors, or its or their Sublicensees) will have the sole right to Commercialize and Manufacture, subject to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License Grant</w:t>
      </w:r>
      <w:r>
        <w:rPr>
          <w:rFonts w:ascii="Times New Roman" w:hAnsi="Times New Roman"/>
          <w:color w:val="000000"/>
          <w:sz w:val="24"/>
        </w:rPr>
        <w:t xml:space="preserve">) and </w:t>
      </w:r>
      <w:r>
        <w:rPr>
          <w:rFonts w:ascii="Times New Roman" w:hAnsi="Times New Roman"/>
          <w:color w:val="000000"/>
          <w:sz w:val="24"/>
          <w:u w:val="single"/>
        </w:rPr>
        <w:t>Article 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Manufacture and Supply of Clearside Devices</w:t>
      </w:r>
      <w:r>
        <w:rPr>
          <w:rFonts w:ascii="Times New Roman" w:hAnsi="Times New Roman"/>
          <w:color w:val="000000"/>
          <w:sz w:val="24"/>
        </w:rPr>
        <w:t xml:space="preserve">), the Covered Product in the Field and in the Territory at its sole cost and expense. Without limiting the obligations set forth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Diligence</w:t>
      </w:r>
      <w:r>
        <w:rPr>
          <w:rFonts w:ascii="Times New Roman" w:hAnsi="Times New Roman"/>
          <w:color w:val="000000"/>
          <w:sz w:val="24"/>
        </w:rPr>
        <w:t>), Clearside further acknowledges that BioCryst is in the business of Exploiting pharmaceutical products and nothing in this Agreement will be construed as restricting such business or imposing on BioCryst the duty to Exploit the Covered Product to the exclusion of, or in preference to, any other product or in any way other than in accordance with its normal commercial practices.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3.5 Booking of Sales; Distribution</w:t>
      </w:r>
      <w:r>
        <w:rPr>
          <w:rFonts w:ascii="Times New Roman" w:hAnsi="Times New Roman"/>
          <w:color w:val="000000"/>
          <w:sz w:val="24"/>
        </w:rPr>
        <w:t xml:space="preserve">. As between the Parties, BioCryst will have the sole right to invoice and book sales, establish all terms of sale (including pricing and discounts) and warehouse and distribute the Covered Product in the Territory and perform or cause to be performed all related services. Subject to </w:t>
      </w:r>
      <w:r>
        <w:rPr>
          <w:rFonts w:ascii="Times New Roman" w:hAnsi="Times New Roman"/>
          <w:color w:val="000000"/>
          <w:sz w:val="24"/>
          <w:u w:val="single"/>
        </w:rPr>
        <w:t>Section 3.2(b)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Recalls, Suspensions or Withdrawals</w:t>
      </w:r>
      <w:r>
        <w:rPr>
          <w:rFonts w:ascii="Times New Roman" w:hAnsi="Times New Roman"/>
          <w:color w:val="000000"/>
          <w:sz w:val="24"/>
        </w:rPr>
        <w:t>), as between the Parties, BioCryst will handle all returns, recalls or withdrawals, order processing, invoicing, collection, distribution and inventory management with respect to Covered Product in the Territory.</w:t>
      </w:r>
    </w:p>
    <w:p>
      <w:pPr>
        <w:pStyle w:val="TextBody"/>
        <w:bidi w:val="0"/>
        <w:spacing w:before="0" w:after="240"/>
        <w:jc w:val="both"/>
        <w:rPr>
          <w:rFonts w:ascii="Times New Roman" w:hAnsi="Times New Roman"/>
          <w:sz w:val="20"/>
        </w:rPr>
      </w:pPr>
      <w:r>
        <w:rPr>
          <w:rFonts w:ascii="Times New Roman" w:hAnsi="Times New Roman"/>
          <w:b/>
          <w:color w:val="000000"/>
          <w:sz w:val="24"/>
        </w:rPr>
        <w:t>3.6 Progress Reports</w:t>
      </w:r>
      <w:r>
        <w:rPr>
          <w:rFonts w:ascii="Times New Roman" w:hAnsi="Times New Roman"/>
          <w:color w:val="000000"/>
          <w:sz w:val="24"/>
        </w:rPr>
        <w:t xml:space="preserve">. Until the Covered Product receives its first Regulatory Approval anywhere in the Territory, BioCryst shall provide Clearside semi-annual reports summarizing its and its Affiliates’ and Sublicensees’ significant Development and Commercialization activities with respect to the Covered Product, including a summary of the data, timelines and results of such Development and any planned Commercialization activities, and good faith, non-binding estimates of the timing of completion of the milestone events set forth in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and Regulatory Milestone Payments</w:t>
      </w:r>
      <w:r>
        <w:rPr>
          <w:rFonts w:ascii="Times New Roman" w:hAnsi="Times New Roman"/>
          <w:color w:val="000000"/>
          <w:sz w:val="24"/>
        </w:rPr>
        <w:t xml:space="preserve">). BioCryst shall provide reports to Clearside at least [***] every [***] ([***]) months, or such other frequency as mutually agreed by the Parties. All reports provided by BioCryst under this </w:t>
      </w:r>
      <w:r>
        <w:rPr>
          <w:rFonts w:ascii="Times New Roman" w:hAnsi="Times New Roman"/>
          <w:color w:val="000000"/>
          <w:sz w:val="24"/>
          <w:u w:val="single"/>
        </w:rPr>
        <w:t>Section 3.6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Progress Reports</w:t>
      </w:r>
      <w:r>
        <w:rPr>
          <w:rFonts w:ascii="Times New Roman" w:hAnsi="Times New Roman"/>
          <w:color w:val="000000"/>
          <w:sz w:val="24"/>
        </w:rPr>
        <w:t xml:space="preserve">) will be BioCryst’s Confidential Information, subject to the terms of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4</w:t>
      </w:r>
      <w:r>
        <w:rPr>
          <w:rFonts w:ascii="Times New Roman" w:hAnsi="Times New Roman"/>
          <w:caps/>
          <w:color w:val="000000"/>
          <w:sz w:val="24"/>
        </w:rPr>
        <w:br/>
      </w:r>
      <w:r>
        <w:rPr>
          <w:rFonts w:ascii="Times New Roman" w:hAnsi="Times New Roman"/>
          <w:b/>
          <w:caps/>
          <w:color w:val="000000"/>
          <w:sz w:val="24"/>
        </w:rPr>
        <w:t>MANUFACTURE AND SUPPLY OF CLEARSIDE DEVICES</w:t>
      </w:r>
    </w:p>
    <w:p>
      <w:pPr>
        <w:pStyle w:val="TextBody"/>
        <w:bidi w:val="0"/>
        <w:spacing w:before="0" w:after="240"/>
        <w:jc w:val="both"/>
        <w:rPr>
          <w:rFonts w:ascii="Times New Roman" w:hAnsi="Times New Roman"/>
          <w:sz w:val="20"/>
        </w:rPr>
      </w:pPr>
      <w:r>
        <w:rPr>
          <w:rFonts w:ascii="Times New Roman" w:hAnsi="Times New Roman"/>
          <w:b/>
          <w:color w:val="000000"/>
          <w:sz w:val="24"/>
        </w:rPr>
        <w:t>4.1 General Obligation; Continuity of Supply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General Obligations</w:t>
      </w:r>
      <w:r>
        <w:rPr>
          <w:rFonts w:ascii="Times New Roman" w:hAnsi="Times New Roman"/>
          <w:color w:val="000000"/>
          <w:sz w:val="24"/>
        </w:rPr>
        <w:t>. Clearside will (directly or through a Third Party supplier) Manufacture and supply all of BioCryst’s requirements of the Clearside Devices for use with the Covered Product pursuant to this Agreement and the Commercial Supply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Existing Supply</w:t>
      </w:r>
      <w:r>
        <w:rPr>
          <w:rFonts w:ascii="Times New Roman" w:hAnsi="Times New Roman"/>
          <w:color w:val="000000"/>
          <w:sz w:val="24"/>
        </w:rPr>
        <w:t>. Clearside currently obtains the Clearside Devices from one or more contract manufacturing organizations (the “</w:t>
      </w:r>
      <w:r>
        <w:rPr>
          <w:rFonts w:ascii="Times New Roman" w:hAnsi="Times New Roman"/>
          <w:b/>
          <w:color w:val="000000"/>
          <w:sz w:val="24"/>
        </w:rPr>
        <w:t>Existing Suppliers</w:t>
      </w:r>
      <w:r>
        <w:rPr>
          <w:rFonts w:ascii="Times New Roman" w:hAnsi="Times New Roman"/>
          <w:color w:val="000000"/>
          <w:sz w:val="20"/>
        </w:rPr>
        <w:t>”</w:t>
      </w:r>
      <w:r>
        <w:rPr>
          <w:rFonts w:ascii="Times New Roman" w:hAnsi="Times New Roman"/>
          <w:color w:val="000000"/>
          <w:sz w:val="24"/>
        </w:rPr>
        <w:t>). Clearside will ensure: (i) material compliance at all times with the terms of its agreements with the Existing Suppliers (the “</w:t>
      </w:r>
      <w:r>
        <w:rPr>
          <w:rFonts w:ascii="Times New Roman" w:hAnsi="Times New Roman"/>
          <w:b/>
          <w:color w:val="000000"/>
          <w:sz w:val="24"/>
        </w:rPr>
        <w:t>Existing Supply Agreements</w:t>
      </w:r>
      <w:r>
        <w:rPr>
          <w:rFonts w:ascii="Times New Roman" w:hAnsi="Times New Roman"/>
          <w:color w:val="000000"/>
          <w:sz w:val="20"/>
        </w:rPr>
        <w:t>”</w:t>
      </w:r>
      <w:r>
        <w:rPr>
          <w:rFonts w:ascii="Times New Roman" w:hAnsi="Times New Roman"/>
          <w:color w:val="000000"/>
          <w:sz w:val="24"/>
        </w:rPr>
        <w:t>); (ii) that any Clearside failure to comply with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99" w:name="docxtextref89"/>
      <w:bookmarkEnd w:id="99"/>
      <w:r>
        <w:rPr>
          <w:rFonts w:ascii="Times New Roman" w:hAnsi="Times New Roman"/>
          <w:color w:val="000000"/>
          <w:sz w:val="24"/>
        </w:rPr>
        <w:t>Existing Supply Agreement does not materially adversely impact BioCryst; and (iii) that such Existing Supply Agreements are not terminated unless and until either (A)</w:t>
      </w:r>
      <w:r>
        <w:rPr>
          <w:rFonts w:ascii="Times New Roman" w:hAnsi="Times New Roman"/>
          <w:color w:val="000000"/>
          <w:sz w:val="20"/>
        </w:rPr>
        <w:t xml:space="preserve"> </w:t>
      </w:r>
      <w:r>
        <w:rPr>
          <w:rFonts w:ascii="Times New Roman" w:hAnsi="Times New Roman"/>
          <w:color w:val="000000"/>
          <w:sz w:val="24"/>
        </w:rPr>
        <w:t>BioCryst has entered into its own agreement with any Existing Supplier for supply of the Clearside Devices or (B) Clearside has established and qualified another supplier for the Clearside Devices. In the event of a Supply Failure (as defined below), upon BioCryst’s reasonable request, Clearside will facilitate negotiations between the Existing Supplier and BioCryst with respect to an agreement for supply of the Clearside Devices.</w:t>
      </w:r>
    </w:p>
    <w:p>
      <w:pPr>
        <w:pStyle w:val="TextBody"/>
        <w:bidi w:val="0"/>
        <w:spacing w:before="0" w:after="240"/>
        <w:jc w:val="both"/>
        <w:rPr>
          <w:rFonts w:ascii="Times New Roman" w:hAnsi="Times New Roman"/>
          <w:sz w:val="20"/>
        </w:rPr>
      </w:pPr>
      <w:r>
        <w:rPr>
          <w:rFonts w:ascii="Times New Roman" w:hAnsi="Times New Roman"/>
          <w:b/>
          <w:color w:val="000000"/>
          <w:sz w:val="24"/>
        </w:rPr>
        <w:t>4.2 Preclinical and Clinical Manufacture and Supply of Clearside Devices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Development Orders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 xml:space="preserve">Clearside will supply all Clearside Devices reasonably needed by BioCryst for Development of the Covered Product in accordance with the specifications attached hereto as </w:t>
      </w:r>
      <w:r>
        <w:rPr>
          <w:rFonts w:ascii="Times New Roman" w:hAnsi="Times New Roman"/>
          <w:color w:val="000000"/>
          <w:sz w:val="24"/>
          <w:u w:val="single"/>
        </w:rPr>
        <w:t>Exhibit 4.2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mallCaps/>
          <w:color w:val="000000"/>
          <w:sz w:val="24"/>
        </w:rPr>
        <w:t>Clearside Device Specifications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Clearside Device Specifications</w:t>
      </w:r>
      <w:r>
        <w:rPr>
          <w:rFonts w:ascii="Times New Roman" w:hAnsi="Times New Roman"/>
          <w:color w:val="000000"/>
          <w:sz w:val="20"/>
        </w:rPr>
        <w:t>”</w:t>
      </w:r>
      <w:r>
        <w:rPr>
          <w:rFonts w:ascii="Times New Roman" w:hAnsi="Times New Roman"/>
          <w:color w:val="000000"/>
          <w:sz w:val="24"/>
        </w:rPr>
        <w:t xml:space="preserve">), including all Clearside Devices reasonably needed for clinical trials or otherwise as needed to apply for, seek, obtain and maintain any Regulatory Approval for the Covered Product or the use of a Clearside Device in connection with the Covered Product. The Parties will agree upon and approve in writing a Quality Agreement that will apply with respect to the Manufacture of such Clearside Devices. Clearside represents, warrants and covenants that all Clearside Devices supplied by Clearside shall be Manufactured and supplied in accordance with the Clearside Device Specifications and the applicable Quality Agreement. BioCryst will not, and will not permit its Affiliates, Sublicensees, Distributors and Third-Party Manufacturers to, modify or alter a Clearside Device without Clearside’s prior written consent. Any modification or alteration of a Clearside Device by Clearside on behalf of BioCryst will be at BioCryst’s sole cost and expense (other than costs and expenses up to [***] Dollars ($[***]) in the aggregate, which shall be borne solely by Clearside) pursuant to a separate services agreement to be agreed by the Parties; </w:t>
      </w:r>
      <w:r>
        <w:rPr>
          <w:rFonts w:ascii="Times New Roman" w:hAnsi="Times New Roman"/>
          <w:i/>
          <w:color w:val="000000"/>
          <w:sz w:val="24"/>
        </w:rPr>
        <w:t>provided</w:t>
      </w:r>
      <w:r>
        <w:rPr>
          <w:rFonts w:ascii="Times New Roman" w:hAnsi="Times New Roman"/>
          <w:color w:val="000000"/>
          <w:sz w:val="24"/>
        </w:rPr>
        <w:t xml:space="preserve">, that Clearside will be under no obligation to modify or alter a Clearside Device unless such modification or alteration is required to comply with (A) Applicable Law, (B) a request from a Regulatory Authority, or (C) the Clearside Device Specifications, Quality Agreement, or Commercial Supply Agreement, as applicable, in accordance with </w:t>
      </w:r>
      <w:r>
        <w:rPr>
          <w:rFonts w:ascii="Times New Roman" w:hAnsi="Times New Roman"/>
          <w:color w:val="000000"/>
          <w:sz w:val="24"/>
          <w:u w:val="single"/>
        </w:rPr>
        <w:t>Section 4.2(c)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Shipment; Risk of Loss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BioCryst may place orders for Clearside Devices needed for Development of the Covered Product (a “</w:t>
      </w:r>
      <w:r>
        <w:rPr>
          <w:rFonts w:ascii="Times New Roman" w:hAnsi="Times New Roman"/>
          <w:b/>
          <w:color w:val="000000"/>
          <w:sz w:val="24"/>
        </w:rPr>
        <w:t>Development Order</w:t>
      </w:r>
      <w:r>
        <w:rPr>
          <w:rFonts w:ascii="Times New Roman" w:hAnsi="Times New Roman"/>
          <w:color w:val="000000"/>
          <w:sz w:val="20"/>
        </w:rPr>
        <w:t>”</w:t>
      </w:r>
      <w:r>
        <w:rPr>
          <w:rFonts w:ascii="Times New Roman" w:hAnsi="Times New Roman"/>
          <w:color w:val="000000"/>
          <w:sz w:val="24"/>
        </w:rPr>
        <w:t>) at least [***] ([***])</w:t>
      </w:r>
      <w:r>
        <w:rPr>
          <w:rFonts w:ascii="Times New Roman" w:hAnsi="Times New Roman"/>
          <w:color w:val="000000"/>
          <w:sz w:val="20"/>
        </w:rPr>
        <w:t xml:space="preserve"> </w:t>
      </w:r>
      <w:r>
        <w:rPr>
          <w:rFonts w:ascii="Times New Roman" w:hAnsi="Times New Roman"/>
          <w:color w:val="000000"/>
          <w:sz w:val="24"/>
        </w:rPr>
        <w:t xml:space="preserve">days prior to the requested delivery date, and,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Development Orders are placed within such time period, Clearside will deliver such Clearside Devices within such time period. Within [***] ([***]) days after the Effective Date, BioCryst will provide to Clearside an initial non-binding [***] ([***])-month rolling forecast of Development Orders (the “</w:t>
      </w:r>
      <w:r>
        <w:rPr>
          <w:rFonts w:ascii="Times New Roman" w:hAnsi="Times New Roman"/>
          <w:b/>
          <w:color w:val="000000"/>
          <w:sz w:val="24"/>
        </w:rPr>
        <w:t>Forecast</w:t>
      </w:r>
      <w:r>
        <w:rPr>
          <w:rFonts w:ascii="Times New Roman" w:hAnsi="Times New Roman"/>
          <w:color w:val="000000"/>
          <w:sz w:val="20"/>
        </w:rPr>
        <w:t>”</w:t>
      </w:r>
      <w:r>
        <w:rPr>
          <w:rFonts w:ascii="Times New Roman" w:hAnsi="Times New Roman"/>
          <w:color w:val="000000"/>
          <w:sz w:val="24"/>
        </w:rPr>
        <w:t>). Thereafter, BioCryst will provide an updated Forecast for the subsequent [***] ([***])-month period no later than the [***] ([***]) Business Day of each subsequent Calendar Half. Notwithstanding the foregoing, Clearside will use Commercially Reasonable Efforts to ensure that it, the Existing Suppliers, or any other supplier qualified in accordance with this Agreement has at all times sufficient manufacturing capacity to satisfy all Development Orders in the timelines set forth herein.</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(b) Pricing; Payment</w:t>
      </w:r>
      <w:r>
        <w:rPr>
          <w:rFonts w:ascii="Times New Roman" w:hAnsi="Times New Roman"/>
          <w:color w:val="000000"/>
          <w:sz w:val="24"/>
        </w:rPr>
        <w:t xml:space="preserve">. Clearside will invoice BioCryst for the Clearside Devices at the Transfer Price, and BioCryst shall pay such invoice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Shipment; Risk of Loss. </w:t>
      </w:r>
      <w:r>
        <w:rPr>
          <w:rFonts w:ascii="Times New Roman" w:hAnsi="Times New Roman"/>
          <w:color w:val="000000"/>
          <w:sz w:val="24"/>
        </w:rPr>
        <w:t>Clearside shall package and ship the Clearside Devices in a manner consistent with BioCryst’s reasonable instructions and in compliance with the terms and conditions of this Agreement, any applicable Quality Agreement, and any Development Order, as applicable. Clearside shall deliver all Clearside Devices DDP (Incoterms 2020) to BioCryst’s designated location.</w:t>
      </w:r>
    </w:p>
    <w:p>
      <w:pPr>
        <w:pStyle w:val="TextBody"/>
        <w:bidi w:val="0"/>
        <w:spacing w:before="0" w:after="240"/>
        <w:jc w:val="both"/>
        <w:rPr>
          <w:rFonts w:ascii="Times New Roman" w:hAnsi="Times New Roman"/>
          <w:sz w:val="20"/>
        </w:rPr>
      </w:pPr>
      <w:r>
        <w:rPr>
          <w:rFonts w:ascii="Times New Roman" w:hAnsi="Times New Roman"/>
          <w:b/>
          <w:color w:val="000000"/>
          <w:sz w:val="24"/>
        </w:rPr>
        <w:t>(d) Safety Stock</w:t>
      </w:r>
      <w:r>
        <w:rPr>
          <w:rFonts w:ascii="Times New Roman" w:hAnsi="Times New Roman"/>
          <w:color w:val="000000"/>
          <w:sz w:val="24"/>
        </w:rPr>
        <w:t>. Clearside will use Commercially Reasonable Efforts to purchase and store (at BioCryst’s expense as set forth below) safety stock of excess Clearside Devices of at least [***] ([***]) months’ supply of Clearside Devices pursuant to BioCryst’s most recent Forecast (the “</w:t>
      </w:r>
      <w:r>
        <w:rPr>
          <w:rFonts w:ascii="Times New Roman" w:hAnsi="Times New Roman"/>
          <w:b/>
          <w:color w:val="000000"/>
          <w:sz w:val="24"/>
        </w:rPr>
        <w:t>Safety Stock</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BioCryst’s price for the Safety Stock (the “</w:t>
      </w:r>
      <w:r>
        <w:rPr>
          <w:rFonts w:ascii="Times New Roman" w:hAnsi="Times New Roman"/>
          <w:b/>
          <w:color w:val="000000"/>
          <w:sz w:val="24"/>
        </w:rPr>
        <w:t>Safety Stock Price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will be equal to [***]. Clearside will invoice BioCryst for Safety Stock at the Safety Stock Price, and BioCryst shall pay such invoice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 xml:space="preserve">)]. Title to the Safety Stock will pass to BioCryst upon delivery of such Safety Stock to BioCryst or its designee in accordance with </w:t>
      </w:r>
      <w:r>
        <w:rPr>
          <w:rFonts w:ascii="Times New Roman" w:hAnsi="Times New Roman"/>
          <w:color w:val="000000"/>
          <w:sz w:val="24"/>
          <w:u w:val="single"/>
        </w:rPr>
        <w:t>Section 4.2(c)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Shipment; Risk of Loss</w:t>
      </w:r>
      <w:r>
        <w:rPr>
          <w:rFonts w:ascii="Times New Roman" w:hAnsi="Times New Roman"/>
          <w:color w:val="000000"/>
          <w:sz w:val="24"/>
        </w:rPr>
        <w:t xml:space="preserve">). Clearside will maintain a regular rotation of such Safety Stock as necessary to avoid expiration or other spoilage. Clearside shall provide an update regarding its current Safety Stock of Clearside Devices upon BioCryst’s request. Notwithstanding anything to the contrary set forth in this Agreement or the Commercial Supply Agreement, Clearside may only use Safety Stock to fill any shortfall in quantities of Clearside Devices ordered by BioCryst that Clearside is unable to supply despite Commercially Reasonable Efforts after obtaining BioCryst’s express written consent (not to be unreasonably withheld, conditioned or delayed), in which case the used Safety Stock will be replaced as soon as possible. For clarity, Safety Stock may not be used for any other purpose. BioCryst will have the right to inspect Safety Stock in the location it is held at reasonable times and upon reasonable prior written notice to Clearside. From time to time, BioCryst and Clearside may review Safety Stock levels required to be maintained under this </w:t>
      </w:r>
      <w:r>
        <w:rPr>
          <w:rFonts w:ascii="Times New Roman" w:hAnsi="Times New Roman"/>
          <w:color w:val="000000"/>
          <w:sz w:val="24"/>
          <w:u w:val="single"/>
        </w:rPr>
        <w:t>Section 4.2(d)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Safety Stock</w:t>
      </w:r>
      <w:r>
        <w:rPr>
          <w:rFonts w:ascii="Times New Roman" w:hAnsi="Times New Roman"/>
          <w:color w:val="000000"/>
          <w:sz w:val="24"/>
        </w:rPr>
        <w:t>) and make mutually agreeable adjustments.</w:t>
      </w:r>
    </w:p>
    <w:p>
      <w:pPr>
        <w:pStyle w:val="TextBody"/>
        <w:bidi w:val="0"/>
        <w:spacing w:before="0" w:after="240"/>
        <w:jc w:val="both"/>
        <w:rPr>
          <w:rFonts w:ascii="Times New Roman" w:hAnsi="Times New Roman"/>
          <w:sz w:val="20"/>
        </w:rPr>
      </w:pPr>
      <w:r>
        <w:rPr>
          <w:rFonts w:ascii="Times New Roman" w:hAnsi="Times New Roman"/>
          <w:b/>
          <w:color w:val="000000"/>
          <w:sz w:val="24"/>
        </w:rPr>
        <w:t>(e) Supply Failure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Subject to the provisions of the Commercial Supply Agreement, if, during the term of the Commercial Supply Agreement, Clearside fails to supply BioCryst with Clearside Devices that meet the Clearside Device Specifications and that are not otherwise damaged or defective, in quantities that are at least [***] percent ([***]%) of the quantities of Clearside Devices that Clearside is obligated to supply [***], on at least [***] ([***]) occasions in any consecutive [***] ([***]) month period, for any reason other than due to the material breach by BioCryst of this Agreement (a “</w:t>
      </w:r>
      <w:r>
        <w:rPr>
          <w:rFonts w:ascii="Times New Roman" w:hAnsi="Times New Roman"/>
          <w:b/>
          <w:color w:val="000000"/>
          <w:sz w:val="24"/>
        </w:rPr>
        <w:t>Supply Failure</w:t>
      </w:r>
      <w:r>
        <w:rPr>
          <w:rFonts w:ascii="Times New Roman" w:hAnsi="Times New Roman"/>
          <w:color w:val="000000"/>
          <w:sz w:val="20"/>
        </w:rPr>
        <w:t>”</w:t>
      </w:r>
      <w:r>
        <w:rPr>
          <w:rFonts w:ascii="Times New Roman" w:hAnsi="Times New Roman"/>
          <w:color w:val="000000"/>
          <w:sz w:val="24"/>
        </w:rPr>
        <w:t>), BioCryst may, at its sole discretion, upon not less than [***] ([***]) days written notice to Clearside (a “</w:t>
      </w:r>
      <w:r>
        <w:rPr>
          <w:rFonts w:ascii="Times New Roman" w:hAnsi="Times New Roman"/>
          <w:b/>
          <w:color w:val="000000"/>
          <w:sz w:val="24"/>
        </w:rPr>
        <w:t>Supply Failure Notice</w:t>
      </w:r>
      <w:r>
        <w:rPr>
          <w:rFonts w:ascii="Times New Roman" w:hAnsi="Times New Roman"/>
          <w:color w:val="000000"/>
          <w:sz w:val="20"/>
        </w:rPr>
        <w:t>”</w:t>
      </w:r>
      <w:r>
        <w:rPr>
          <w:rFonts w:ascii="Times New Roman" w:hAnsi="Times New Roman"/>
          <w:color w:val="000000"/>
          <w:sz w:val="24"/>
        </w:rPr>
        <w:t>): (A) require Clearside to supply the undelivered Clearside Devices at a future date to be agreed upon by the Parties; or (B) elect to have one or more Third Parties identified by BioCryst (each, a “</w:t>
      </w:r>
      <w:r>
        <w:rPr>
          <w:rFonts w:ascii="Times New Roman" w:hAnsi="Times New Roman"/>
          <w:b/>
          <w:color w:val="000000"/>
          <w:sz w:val="24"/>
        </w:rPr>
        <w:t>Third Party Manufacturer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Manufacture Clearside Devices (an “</w:t>
      </w:r>
      <w:r>
        <w:rPr>
          <w:rFonts w:ascii="Times New Roman" w:hAnsi="Times New Roman"/>
          <w:b/>
          <w:color w:val="000000"/>
          <w:sz w:val="24"/>
        </w:rPr>
        <w:t>Alternative Manufacturer Election</w:t>
      </w:r>
      <w:r>
        <w:rPr>
          <w:rFonts w:ascii="Times New Roman" w:hAnsi="Times New Roman"/>
          <w:color w:val="000000"/>
          <w:sz w:val="20"/>
        </w:rPr>
        <w:t>”</w:t>
      </w:r>
      <w:r>
        <w:rPr>
          <w:rFonts w:ascii="Times New Roman" w:hAnsi="Times New Roman"/>
          <w:color w:val="000000"/>
          <w:sz w:val="24"/>
        </w:rPr>
        <w:t>), in which case BioCryst will require its Third Party Manufacturer(s) to only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Manufacture and sell such Clearside Devices for BioCryst’s and its Affiliates’, Distributors’, and Sublicensees’ Exploitation in connection with the Covered Product within the scope of the licenses set forth in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License Grant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 xml:space="preserve">Upon the occurrence of a Supply Failure and an Alternative Manufacturer Election and at Clearside’s expense: (A) BioCryst (or its designated Third Party Manufacturer(s)) will have the right to Manufacture Clearside Devices within the scope of the license under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License Grant</w:t>
      </w:r>
      <w:r>
        <w:rPr>
          <w:rFonts w:ascii="Times New Roman" w:hAnsi="Times New Roman"/>
          <w:color w:val="000000"/>
          <w:sz w:val="24"/>
        </w:rPr>
        <w:t>), and (B) Clearside shall transfer the Clearside Manufacturing Know-How to BioCryst and any Third Party Manufacturers identified by BioCryst as specified in the following sentence. Clearside shall promptly (x) disclose to BioCryst and any such Third Party Manufacturer all Clearside Manufacturing Know-How; (y) provide BioCryst or any such Third Party Manufacturer with the training, documentation and other information Controlled by Clearside and relating to the use of the Manufacturing process as may be necessary for BioCryst and such Third Party Manufacturers to Manufacture Clearside Devices; and (z) make appropriately trained personnel available for consultation and advice upon BioCryst’s reasonable request to the extent reasonably necessary to provide technical assistance necessary to enable BioCryst or such Third Party Manufacturers to Manufacture Clearside Devices.</w:t>
      </w:r>
    </w:p>
    <w:p>
      <w:pPr>
        <w:pStyle w:val="TextBody"/>
        <w:bidi w:val="0"/>
        <w:spacing w:before="0" w:after="240"/>
        <w:jc w:val="both"/>
        <w:rPr>
          <w:rFonts w:ascii="Times New Roman" w:hAnsi="Times New Roman"/>
          <w:sz w:val="20"/>
        </w:rPr>
      </w:pPr>
      <w:r>
        <w:rPr>
          <w:rFonts w:ascii="Times New Roman" w:hAnsi="Times New Roman"/>
          <w:b/>
          <w:color w:val="000000"/>
          <w:sz w:val="24"/>
        </w:rPr>
        <w:t>(f) Restricted Use of Clearside Devices</w:t>
      </w:r>
      <w:r>
        <w:rPr>
          <w:rFonts w:ascii="Times New Roman" w:hAnsi="Times New Roman"/>
          <w:color w:val="000000"/>
          <w:sz w:val="24"/>
        </w:rPr>
        <w:t>. Any Clearside Devices supplied to BioCryst under a Development Order that are not used for Development of the Covered Product shall, at Clearside’s election following BioCryst’s written confirmation that it is no longer Developing the Covered Product, be returned to Clearside or destroyed by BioCryst. For clarity, no Clearside Device supplied to BioCryst under a Development Order may be used by BioCryst for any Commercial purposes.</w:t>
      </w:r>
    </w:p>
    <w:p>
      <w:pPr>
        <w:pStyle w:val="TextBody"/>
        <w:bidi w:val="0"/>
        <w:spacing w:before="0" w:after="240"/>
        <w:jc w:val="both"/>
        <w:rPr>
          <w:rFonts w:ascii="Times New Roman" w:hAnsi="Times New Roman"/>
          <w:sz w:val="20"/>
        </w:rPr>
      </w:pPr>
      <w:r>
        <w:rPr>
          <w:rFonts w:ascii="Times New Roman" w:hAnsi="Times New Roman"/>
          <w:b/>
          <w:color w:val="000000"/>
          <w:sz w:val="24"/>
        </w:rPr>
        <w:t>4.3 Commercial Manufacture and Supply of Clearside Devices</w:t>
      </w:r>
      <w:r>
        <w:rPr>
          <w:rFonts w:ascii="Times New Roman" w:hAnsi="Times New Roman"/>
          <w:color w:val="000000"/>
          <w:sz w:val="24"/>
        </w:rPr>
        <w:t>. At an appropriate time during Development of the Covered Product and in any event prior to the initiation of a Phase III Clinical Trial for the Covered Product, the Parties, together with the Existing Suppliers or any other supplier qualified in accordance with this Agreement, will negotiate in good faith and enter into an agreement for commercial supply of the Clearside Devices (“</w:t>
      </w:r>
      <w:r>
        <w:rPr>
          <w:rFonts w:ascii="Times New Roman" w:hAnsi="Times New Roman"/>
          <w:b/>
          <w:color w:val="000000"/>
          <w:sz w:val="24"/>
        </w:rPr>
        <w:t>Commercial Supply Agreement</w:t>
      </w:r>
      <w:r>
        <w:rPr>
          <w:rFonts w:ascii="Times New Roman" w:hAnsi="Times New Roman"/>
          <w:color w:val="000000"/>
          <w:sz w:val="20"/>
        </w:rPr>
        <w:t>”</w:t>
      </w:r>
      <w:r>
        <w:rPr>
          <w:rFonts w:ascii="Times New Roman" w:hAnsi="Times New Roman"/>
          <w:color w:val="000000"/>
          <w:sz w:val="24"/>
        </w:rPr>
        <w:t xml:space="preserve">) and a Quality Agreement. The Commercial Supply Agreement will provide for supply of the Clearside Devices at the Transfer Price, and the Commercial Supply Agreement and Quality Agreement will otherwise contain mutually agreed terms and conditions consistent with this Agreement, including </w:t>
      </w:r>
      <w:r>
        <w:rPr>
          <w:rFonts w:ascii="Times New Roman" w:hAnsi="Times New Roman"/>
          <w:color w:val="000000"/>
          <w:sz w:val="24"/>
          <w:u w:val="single"/>
        </w:rPr>
        <w:t>Article 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Manufacture and Supply of Clearside Devices</w:t>
      </w:r>
      <w:r>
        <w:rPr>
          <w:rFonts w:ascii="Times New Roman" w:hAnsi="Times New Roman"/>
          <w:color w:val="000000"/>
          <w:sz w:val="24"/>
        </w:rPr>
        <w:t xml:space="preserve">) and any definitions of terms embodied therein, in addition to other terms that are reasonable and customary, including provisions to ensure quality and audit by or on behalf of BioCryst. For clarity, notwithstanding the negotiation of the Commercial Supply Agreement prior to initiation of the Phase III Clinical Trial for the Covered Product, any Clearside Devices Manufactured and supplied for use in the Phase III Clinical Trial or any Phase IV Clinical Trial will be Manufactured and supplied pursuant to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Preclinical and Clinical Manufacture and Supply of Clearside Devices</w:t>
      </w:r>
      <w:r>
        <w:rPr>
          <w:rFonts w:ascii="Times New Roman" w:hAnsi="Times New Roman"/>
          <w:color w:val="000000"/>
          <w:sz w:val="24"/>
        </w:rPr>
        <w:t>), not the Commercial Supply Agreement.</w:t>
      </w:r>
    </w:p>
    <w:p>
      <w:pPr>
        <w:pStyle w:val="TextBody"/>
        <w:bidi w:val="0"/>
        <w:spacing w:before="0" w:after="240"/>
        <w:jc w:val="both"/>
        <w:rPr>
          <w:rFonts w:ascii="Times New Roman" w:hAnsi="Times New Roman"/>
          <w:sz w:val="20"/>
        </w:rPr>
      </w:pPr>
      <w:r>
        <w:rPr>
          <w:rFonts w:ascii="Times New Roman" w:hAnsi="Times New Roman"/>
          <w:b/>
          <w:color w:val="000000"/>
          <w:sz w:val="24"/>
        </w:rPr>
        <w:t>4.4 GMP</w:t>
      </w:r>
      <w:r>
        <w:rPr>
          <w:rFonts w:ascii="Times New Roman" w:hAnsi="Times New Roman"/>
          <w:color w:val="000000"/>
          <w:sz w:val="24"/>
        </w:rPr>
        <w:t>. The Parties or their Affiliates will execute, as reasonably requested by BioCryst, agreements, such as a Quality Agreement, necessary or useful to ensure that all Clearside Devices and their intermediates and manufacturing facilities comply with GMP and all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Laws. Clearside shall notify BioCryst in writing promptly after receiving knowledge thereof, before any supplier or manufacturer implements any changes in Manufacturing processes for the Clearside Devices that would have regulatory relevance to the Covered Product. Such notice shall be given promptly after Clearside receiving knowledge thereof. Clearside shall use Commercially Reasonable Efforts to secure for BioCryst the opportunity to conduct full chemistry, manufacturing and controls due diligence and environmental, health and safety audits of Clearside Device suppliers and manufacturers prior to entering into any agreement and periodically thereafter, and Clearside shall use Commercially Reasonable Efforts to obligate any such supplier or manufacturer to implement the changes and improvements stemming from such audits.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5</w:t>
      </w:r>
      <w:r>
        <w:rPr>
          <w:rFonts w:ascii="Times New Roman" w:hAnsi="Times New Roman"/>
          <w:caps/>
          <w:color w:val="000000"/>
          <w:sz w:val="24"/>
        </w:rPr>
        <w:br/>
      </w:r>
      <w:r>
        <w:rPr>
          <w:rFonts w:ascii="Times New Roman" w:hAnsi="Times New Roman"/>
          <w:b/>
          <w:caps/>
          <w:color w:val="000000"/>
          <w:sz w:val="24"/>
        </w:rPr>
        <w:t>PAYMENTS TO CLEARSIDE</w:t>
      </w:r>
    </w:p>
    <w:p>
      <w:pPr>
        <w:pStyle w:val="TextBody"/>
        <w:bidi w:val="0"/>
        <w:spacing w:before="0" w:after="240"/>
        <w:jc w:val="both"/>
        <w:rPr>
          <w:rFonts w:ascii="Times New Roman" w:hAnsi="Times New Roman"/>
          <w:sz w:val="20"/>
        </w:rPr>
      </w:pPr>
      <w:r>
        <w:rPr>
          <w:rFonts w:ascii="Times New Roman" w:hAnsi="Times New Roman"/>
          <w:b/>
          <w:color w:val="000000"/>
          <w:sz w:val="24"/>
        </w:rPr>
        <w:t>5.1 Upfront Fee</w:t>
      </w:r>
      <w:r>
        <w:rPr>
          <w:rFonts w:ascii="Times New Roman" w:hAnsi="Times New Roman"/>
          <w:color w:val="000000"/>
          <w:sz w:val="24"/>
        </w:rPr>
        <w:t>. In partial consideration of the rights granted by Clearside to BioCryst hereunder and subject to the terms and conditions of this Agreement, following the execution of this Agreement, BioCryst will pay to Clearside a non-refundable payment of Five Million Dollars ($5,000,000) within [***] ([***]) days following the execution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5.2 Development and Regulatory Milestone Payments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Milestone Payments</w:t>
      </w:r>
      <w:r>
        <w:rPr>
          <w:rFonts w:ascii="Times New Roman" w:hAnsi="Times New Roman"/>
          <w:color w:val="000000"/>
          <w:sz w:val="24"/>
        </w:rPr>
        <w:t>. In partial consideration of the rights granted by Clearside to BioCryst hereunder and subject to the terms and conditions of this Agreement, upon the occurrence of the corresponding event described in the table below, whether such milestone is achieved by BioCryst, an Affiliate or a Sublicensee, the corresponding payment will be due:</w:t>
      </w:r>
    </w:p>
    <w:p>
      <w:pPr>
        <w:pStyle w:val="TextBody"/>
        <w:bidi w:val="0"/>
        <w:jc w:val="both"/>
        <w:rPr/>
      </w:pPr>
      <w:r>
        <w:rPr/>
        <w:t> </w:t>
      </w:r>
    </w:p>
    <w:tbl>
      <w:tblPr>
        <w:tblW w:w="6677" w:type="dxa"/>
        <w:jc w:val="left"/>
        <w:tblInd w:w="0" w:type="dxa"/>
        <w:tblLayout w:type="fixed"/>
        <w:tblCellMar>
          <w:top w:w="28" w:type="dxa"/>
          <w:left w:w="28" w:type="dxa"/>
          <w:bottom w:w="28" w:type="dxa"/>
          <w:right w:w="28" w:type="dxa"/>
        </w:tblCellMar>
      </w:tblPr>
      <w:tblGrid>
        <w:gridCol w:w="2491"/>
        <w:gridCol w:w="4186"/>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20" w:after="20"/>
              <w:jc w:val="center"/>
              <w:rPr>
                <w:rFonts w:ascii="Times New Roman" w:hAnsi="Times New Roman"/>
                <w:b/>
                <w:color w:val="000000"/>
                <w:sz w:val="24"/>
              </w:rPr>
            </w:pPr>
            <w:r>
              <w:rPr>
                <w:rFonts w:ascii="Times New Roman" w:hAnsi="Times New Roman"/>
                <w:b/>
                <w:color w:val="000000"/>
                <w:sz w:val="24"/>
              </w:rPr>
              <w:t>Development Milestone</w:t>
            </w:r>
          </w:p>
        </w:tc>
        <w:tc>
          <w:tcPr>
            <w:tcW w:w="418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20" w:after="20"/>
              <w:jc w:val="center"/>
              <w:rPr>
                <w:rFonts w:ascii="Times New Roman" w:hAnsi="Times New Roman"/>
                <w:b/>
                <w:color w:val="000000"/>
                <w:sz w:val="24"/>
              </w:rPr>
            </w:pPr>
            <w:r>
              <w:rPr>
                <w:rFonts w:ascii="Times New Roman" w:hAnsi="Times New Roman"/>
                <w:b/>
                <w:color w:val="000000"/>
                <w:sz w:val="24"/>
              </w:rPr>
              <w:t>Development Milestone Payment (USD)</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color w:val="000000"/>
                <w:sz w:val="24"/>
              </w:rPr>
            </w:pPr>
            <w:r>
              <w:rPr>
                <w:rFonts w:ascii="Times New Roman" w:hAnsi="Times New Roman"/>
                <w:color w:val="000000"/>
                <w:sz w:val="24"/>
              </w:rPr>
              <w:t>[***]</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color w:val="000000"/>
                <w:sz w:val="24"/>
              </w:rPr>
            </w:pPr>
            <w:r>
              <w:rPr>
                <w:rFonts w:ascii="Times New Roman" w:hAnsi="Times New Roman"/>
                <w:color w:val="000000"/>
                <w:sz w:val="24"/>
              </w:rPr>
              <w:t>$[***]</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color w:val="000000"/>
                <w:sz w:val="24"/>
              </w:rPr>
            </w:pPr>
            <w:r>
              <w:rPr>
                <w:rFonts w:ascii="Times New Roman" w:hAnsi="Times New Roman"/>
                <w:color w:val="000000"/>
                <w:sz w:val="24"/>
              </w:rPr>
              <w:t>[***]</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color w:val="000000"/>
                <w:sz w:val="24"/>
              </w:rPr>
            </w:pPr>
            <w:r>
              <w:rPr>
                <w:rFonts w:ascii="Times New Roman" w:hAnsi="Times New Roman"/>
                <w:color w:val="000000"/>
                <w:sz w:val="24"/>
              </w:rPr>
              <w:t>$[***]</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color w:val="000000"/>
                <w:sz w:val="24"/>
              </w:rPr>
            </w:pPr>
            <w:r>
              <w:rPr>
                <w:rFonts w:ascii="Times New Roman" w:hAnsi="Times New Roman"/>
                <w:color w:val="000000"/>
                <w:sz w:val="24"/>
              </w:rPr>
              <w:t>[***]</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color w:val="000000"/>
                <w:sz w:val="24"/>
              </w:rPr>
            </w:pPr>
            <w:r>
              <w:rPr>
                <w:rFonts w:ascii="Times New Roman" w:hAnsi="Times New Roman"/>
                <w:color w:val="000000"/>
                <w:sz w:val="24"/>
              </w:rPr>
              <w:t>$[***]</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color w:val="000000"/>
                <w:sz w:val="24"/>
              </w:rPr>
            </w:pPr>
            <w:r>
              <w:rPr>
                <w:rFonts w:ascii="Times New Roman" w:hAnsi="Times New Roman"/>
                <w:color w:val="000000"/>
                <w:sz w:val="24"/>
              </w:rPr>
              <w:t>[***]</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color w:val="000000"/>
                <w:sz w:val="24"/>
              </w:rPr>
            </w:pPr>
            <w:r>
              <w:rPr>
                <w:rFonts w:ascii="Times New Roman" w:hAnsi="Times New Roman"/>
                <w:color w:val="000000"/>
                <w:sz w:val="24"/>
              </w:rPr>
              <w:t>$[***]</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color w:val="000000"/>
                <w:sz w:val="24"/>
              </w:rPr>
            </w:pPr>
            <w:r>
              <w:rPr>
                <w:rFonts w:ascii="Times New Roman" w:hAnsi="Times New Roman"/>
                <w:color w:val="000000"/>
                <w:sz w:val="24"/>
              </w:rPr>
              <w:t>[***]</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color w:val="000000"/>
                <w:sz w:val="24"/>
              </w:rPr>
            </w:pPr>
            <w:r>
              <w:rPr>
                <w:rFonts w:ascii="Times New Roman" w:hAnsi="Times New Roman"/>
                <w:color w:val="000000"/>
                <w:sz w:val="24"/>
              </w:rPr>
              <w:t>$[***]</w:t>
            </w:r>
          </w:p>
        </w:tc>
      </w:tr>
      <w:tr>
        <w:trPr/>
        <w:tc>
          <w:tcPr>
            <w:tcW w:w="24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 w:after="20"/>
              <w:jc w:val="left"/>
              <w:rPr>
                <w:rFonts w:ascii="Times New Roman" w:hAnsi="Times New Roman"/>
                <w:b/>
                <w:color w:val="000000"/>
                <w:sz w:val="24"/>
              </w:rPr>
            </w:pPr>
            <w:r>
              <w:rPr>
                <w:rFonts w:ascii="Times New Roman" w:hAnsi="Times New Roman"/>
                <w:b/>
                <w:color w:val="000000"/>
                <w:sz w:val="24"/>
              </w:rPr>
              <w:t>Total</w:t>
            </w:r>
          </w:p>
        </w:tc>
        <w:tc>
          <w:tcPr>
            <w:tcW w:w="4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0" w:after="20"/>
              <w:jc w:val="center"/>
              <w:rPr>
                <w:rFonts w:ascii="Times New Roman" w:hAnsi="Times New Roman"/>
                <w:b/>
                <w:color w:val="000000"/>
                <w:sz w:val="24"/>
              </w:rPr>
            </w:pPr>
            <w:r>
              <w:rPr>
                <w:rFonts w:ascii="Times New Roman" w:hAnsi="Times New Roman"/>
                <w:b/>
                <w:color w:val="000000"/>
                <w:sz w:val="24"/>
              </w:rPr>
              <w:t>$30,000,000</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Development Milestone Payments set forth in this </w:t>
      </w:r>
      <w:r>
        <w:rPr>
          <w:rFonts w:ascii="Times New Roman" w:hAnsi="Times New Roman"/>
          <w:color w:val="000000"/>
          <w:sz w:val="24"/>
          <w:u w:val="single"/>
        </w:rPr>
        <w:t>Section 5.2(a)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and Regulatory Milestone Payments</w:t>
      </w:r>
      <w:r>
        <w:rPr>
          <w:rFonts w:ascii="Times New Roman" w:hAnsi="Times New Roman"/>
          <w:color w:val="000000"/>
          <w:sz w:val="20"/>
        </w:rPr>
        <w:t>—</w:t>
      </w:r>
      <w:r>
        <w:rPr>
          <w:rFonts w:ascii="Times New Roman" w:hAnsi="Times New Roman"/>
          <w:i/>
          <w:color w:val="000000"/>
          <w:sz w:val="24"/>
        </w:rPr>
        <w:t>Milestone Payments</w:t>
      </w:r>
      <w:r>
        <w:rPr>
          <w:rFonts w:ascii="Times New Roman" w:hAnsi="Times New Roman"/>
          <w:color w:val="000000"/>
          <w:sz w:val="24"/>
        </w:rPr>
        <w:t>) shall be payable only once, upon the first achievement of such milestone event by the Covered Product, regardless of the number of times the Covered Product achieves such milestone event.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Notice; Payments</w:t>
      </w:r>
      <w:r>
        <w:rPr>
          <w:rFonts w:ascii="Times New Roman" w:hAnsi="Times New Roman"/>
          <w:color w:val="000000"/>
          <w:sz w:val="24"/>
        </w:rPr>
        <w:t>. Within [***] ([***]) days after the occurrence of a Development Milestone, BioCryst will send Clearside a written notice identifying the Development Milestone and the Development Milestone Payment Amount set forth above with respect to such Development Milestone. Thereafter, Clearside will invoice BioCryst within [***]</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 days of Clearside’s receipt of such notice for the achievement of the Development Milestone, identifying in its invoice the Development Milestone achieved and the amount of the Development Milestone Payment, and BioCryst shall pay such Development Milestone Payment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5.3 Commercial Milestones</w:t>
      </w:r>
      <w:r>
        <w:rPr>
          <w:rFonts w:ascii="Times New Roman" w:hAnsi="Times New Roman"/>
          <w:color w:val="000000"/>
          <w:sz w:val="24"/>
        </w:rPr>
        <w:t>. In partial consideration of the rights granted by Clearside to BioCryst hereunder and subject to the terms and conditions of this Agreement, BioCryst will make the following payments (each such amount, a “</w:t>
      </w:r>
      <w:r>
        <w:rPr>
          <w:rFonts w:ascii="Times New Roman" w:hAnsi="Times New Roman"/>
          <w:b/>
          <w:color w:val="000000"/>
          <w:sz w:val="24"/>
        </w:rPr>
        <w:t>Commercial Milestone Payment</w:t>
      </w:r>
      <w:r>
        <w:rPr>
          <w:rFonts w:ascii="Times New Roman" w:hAnsi="Times New Roman"/>
          <w:color w:val="000000"/>
          <w:sz w:val="20"/>
        </w:rPr>
        <w:t>”</w:t>
      </w:r>
      <w:r>
        <w:rPr>
          <w:rFonts w:ascii="Times New Roman" w:hAnsi="Times New Roman"/>
          <w:color w:val="000000"/>
          <w:sz w:val="24"/>
        </w:rPr>
        <w:t>), following the first occurrence of each event described in the table below (each, a “</w:t>
      </w:r>
      <w:r>
        <w:rPr>
          <w:rFonts w:ascii="Times New Roman" w:hAnsi="Times New Roman"/>
          <w:b/>
          <w:color w:val="000000"/>
          <w:sz w:val="24"/>
        </w:rPr>
        <w:t>Commercial Milestone</w:t>
      </w:r>
      <w:r>
        <w:rPr>
          <w:rFonts w:ascii="Times New Roman" w:hAnsi="Times New Roman"/>
          <w:color w:val="000000"/>
          <w:sz w:val="20"/>
        </w:rPr>
        <w:t>”</w:t>
      </w:r>
      <w:r>
        <w:rPr>
          <w:rFonts w:ascii="Times New Roman" w:hAnsi="Times New Roman"/>
          <w:color w:val="000000"/>
          <w:sz w:val="24"/>
        </w:rPr>
        <w:t>), whether such milestone is achieved by BioCryst, an Affiliate or a Sublicensee:</w:t>
      </w:r>
    </w:p>
    <w:tbl>
      <w:tblPr>
        <w:tblW w:w="10205" w:type="dxa"/>
        <w:jc w:val="left"/>
        <w:tblInd w:w="0" w:type="dxa"/>
        <w:tblLayout w:type="fixed"/>
        <w:tblCellMar>
          <w:top w:w="28" w:type="dxa"/>
          <w:left w:w="28" w:type="dxa"/>
          <w:bottom w:w="28" w:type="dxa"/>
          <w:right w:w="28" w:type="dxa"/>
        </w:tblCellMar>
      </w:tblPr>
      <w:tblGrid>
        <w:gridCol w:w="7588"/>
        <w:gridCol w:w="2617"/>
      </w:tblGrid>
      <w:tr>
        <w:trPr/>
        <w:tc>
          <w:tcPr>
            <w:tcW w:w="7588" w:type="dxa"/>
            <w:tcBorders/>
            <w:shd w:fill="FFFFFF" w:val="clear"/>
            <w:vAlign w:val="center"/>
          </w:tcPr>
          <w:p>
            <w:pPr>
              <w:pStyle w:val="TableContents"/>
              <w:bidi w:val="0"/>
              <w:spacing w:before="0" w:after="283"/>
              <w:jc w:val="left"/>
              <w:rPr>
                <w:sz w:val="4"/>
                <w:szCs w:val="4"/>
              </w:rPr>
            </w:pPr>
            <w:r>
              <w:rPr>
                <w:sz w:val="4"/>
                <w:szCs w:val="4"/>
              </w:rPr>
            </w:r>
          </w:p>
        </w:tc>
        <w:tc>
          <w:tcPr>
            <w:tcW w:w="2617" w:type="dxa"/>
            <w:tcBorders/>
            <w:shd w:fill="FFFFFF" w:val="clear"/>
            <w:vAlign w:val="center"/>
          </w:tcPr>
          <w:p>
            <w:pPr>
              <w:pStyle w:val="TableContents"/>
              <w:bidi w:val="0"/>
              <w:spacing w:before="0" w:after="283"/>
              <w:jc w:val="left"/>
              <w:rPr>
                <w:sz w:val="4"/>
                <w:szCs w:val="4"/>
              </w:rPr>
            </w:pPr>
            <w:r>
              <w:rPr>
                <w:sz w:val="4"/>
                <w:szCs w:val="4"/>
              </w:rPr>
            </w:r>
          </w:p>
        </w:tc>
      </w:tr>
      <w:tr>
        <w:trPr/>
        <w:tc>
          <w:tcPr>
            <w:tcW w:w="758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Commercial Milestone</w:t>
            </w:r>
          </w:p>
        </w:tc>
        <w:tc>
          <w:tcPr>
            <w:tcW w:w="261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Commercial Milestone Payment (USD)</w:t>
            </w:r>
          </w:p>
        </w:tc>
      </w:tr>
      <w:tr>
        <w:trPr/>
        <w:tc>
          <w:tcPr>
            <w:tcW w:w="758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 the first Calendar Year during the Term in which the Net Sales of the Covered Product for such Calendar Year in the Territory exceeds $[***]</w:t>
            </w:r>
          </w:p>
        </w:tc>
        <w:tc>
          <w:tcPr>
            <w:tcW w:w="26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w:t>
            </w:r>
          </w:p>
        </w:tc>
      </w:tr>
      <w:tr>
        <w:trPr/>
        <w:tc>
          <w:tcPr>
            <w:tcW w:w="758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 the first Calendar Year during the Term in which the Net Sales of the Covered Product for such Calendar Year in the Territory exceeds $[***]</w:t>
            </w:r>
          </w:p>
        </w:tc>
        <w:tc>
          <w:tcPr>
            <w:tcW w:w="26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w:t>
            </w:r>
          </w:p>
        </w:tc>
      </w:tr>
      <w:tr>
        <w:trPr/>
        <w:tc>
          <w:tcPr>
            <w:tcW w:w="758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 the first Calendar Year during the Term in which the Net Sales of the Covered Product for such Calendar Year in the Territory exceeds $2,000,000,000</w:t>
            </w:r>
          </w:p>
        </w:tc>
        <w:tc>
          <w:tcPr>
            <w:tcW w:w="26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w:t>
            </w:r>
          </w:p>
        </w:tc>
      </w:tr>
      <w:tr>
        <w:trPr/>
        <w:tc>
          <w:tcPr>
            <w:tcW w:w="758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Total</w:t>
            </w:r>
          </w:p>
        </w:tc>
        <w:tc>
          <w:tcPr>
            <w:tcW w:w="26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$47,500,000</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Within [***] ([***]) days after the occurrence of a Commercial Milestone, BioCryst will send Clearside a written notice identifying the Commercial Milestone and the Commercial Milestone Payment Amount set forth above with respect to such Commercial Milestone. Thereafter, Clearside will invoice BioCryst within [***] ([***]) days of Clearside’s receipt of such notice for the achievement of the Commercial Milestone and BioCryst shall pay such Commercial Milestone Payment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Commercial Milestone Payments set forth in this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Milestones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 be payable only once, upon the first achievement of such milestone event, regardless of how many times such milestone event is achieved.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5.4 Royalties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Royalty Rates</w:t>
      </w:r>
      <w:r>
        <w:rPr>
          <w:rFonts w:ascii="Times New Roman" w:hAnsi="Times New Roman"/>
          <w:color w:val="000000"/>
          <w:sz w:val="24"/>
        </w:rPr>
        <w:t xml:space="preserve">. As further consideration for the rights granted to BioCryst hereunder and subject to this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Royalties</w:t>
      </w:r>
      <w:r>
        <w:rPr>
          <w:rFonts w:ascii="Times New Roman" w:hAnsi="Times New Roman"/>
          <w:color w:val="000000"/>
          <w:sz w:val="24"/>
        </w:rPr>
        <w:t>), with respect to each Calendar Quarter during the Royalty Term applicable to the Covered Product, BioCryst shall pay to Clearside royalties on annual Net Sales of the Covered Product by BioCryst, its Affiliates and Sublicensees in the Territory, as calculated by multiplying the applicable royalty rate by the corresponding amount of incremental Net Sales of the Covered Product in the Territory in such Calendar Quarter, as follows: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tbl>
      <w:tblPr>
        <w:tblW w:w="10205" w:type="dxa"/>
        <w:jc w:val="left"/>
        <w:tblInd w:w="0" w:type="dxa"/>
        <w:tblLayout w:type="fixed"/>
        <w:tblCellMar>
          <w:top w:w="28" w:type="dxa"/>
          <w:left w:w="28" w:type="dxa"/>
          <w:bottom w:w="28" w:type="dxa"/>
          <w:right w:w="28" w:type="dxa"/>
        </w:tblCellMar>
      </w:tblPr>
      <w:tblGrid>
        <w:gridCol w:w="8738"/>
        <w:gridCol w:w="1467"/>
      </w:tblGrid>
      <w:tr>
        <w:trPr/>
        <w:tc>
          <w:tcPr>
            <w:tcW w:w="8738" w:type="dxa"/>
            <w:tcBorders/>
            <w:shd w:fill="FFFFFF" w:val="clear"/>
            <w:vAlign w:val="center"/>
          </w:tcPr>
          <w:p>
            <w:pPr>
              <w:pStyle w:val="TableContents"/>
              <w:bidi w:val="0"/>
              <w:spacing w:before="0" w:after="283"/>
              <w:jc w:val="left"/>
              <w:rPr>
                <w:sz w:val="4"/>
                <w:szCs w:val="4"/>
              </w:rPr>
            </w:pPr>
            <w:r>
              <w:rPr>
                <w:sz w:val="4"/>
                <w:szCs w:val="4"/>
              </w:rPr>
            </w:r>
          </w:p>
        </w:tc>
        <w:tc>
          <w:tcPr>
            <w:tcW w:w="1467" w:type="dxa"/>
            <w:tcBorders/>
            <w:shd w:fill="FFFFFF" w:val="clear"/>
            <w:vAlign w:val="center"/>
          </w:tcPr>
          <w:p>
            <w:pPr>
              <w:pStyle w:val="TableContents"/>
              <w:bidi w:val="0"/>
              <w:spacing w:before="0" w:after="283"/>
              <w:jc w:val="left"/>
              <w:rPr>
                <w:sz w:val="4"/>
                <w:szCs w:val="4"/>
              </w:rPr>
            </w:pPr>
            <w:r>
              <w:rPr>
                <w:sz w:val="4"/>
                <w:szCs w:val="4"/>
              </w:rPr>
            </w:r>
          </w:p>
        </w:tc>
      </w:tr>
      <w:tr>
        <w:trPr/>
        <w:tc>
          <w:tcPr>
            <w:tcW w:w="87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Annual Net Sales of Covered Product</w:t>
            </w:r>
          </w:p>
        </w:tc>
        <w:tc>
          <w:tcPr>
            <w:tcW w:w="146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Royalty Rate</w:t>
            </w:r>
          </w:p>
        </w:tc>
      </w:tr>
      <w:tr>
        <w:trPr/>
        <w:tc>
          <w:tcPr>
            <w:tcW w:w="873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For that portion of Net Sales of the Covered Product in each Calendar Year less than or equal to $[***]</w:t>
            </w:r>
          </w:p>
        </w:tc>
        <w:tc>
          <w:tcPr>
            <w:tcW w:w="146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 xml:space="preserve">[***] Percent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873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For that portion of Net Sales of the Covered Product in each Calendar Year greater than $[***] but less than or equal to $[***]</w:t>
            </w:r>
          </w:p>
        </w:tc>
        <w:tc>
          <w:tcPr>
            <w:tcW w:w="146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 xml:space="preserve">[***] Percent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873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For that portion of Net Sales of the Covered Product in each Calendar Year greater than $1,500,000,000</w:t>
            </w:r>
          </w:p>
        </w:tc>
        <w:tc>
          <w:tcPr>
            <w:tcW w:w="1467"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 xml:space="preserve">[***] Percent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BioCryst will have no obligation to pay any royalty with respect to Net Sales of the Covered Product in any country after the Royalty Term for the Covered Product in such country has expired. Following the expiration of the Royalty Term for the Covered Product in a country, the license grants in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License Grant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will become fully-paid, royalty-free, perpetual and irrevocable for the Covered Product in such country, and no further royalties will be payable. For clarity, no royalties are due on Net Sales of the Covered Product arising from compassionate use and other programs providing for the delivery of the Covered Product at or below cost.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 Reductions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(i) Third-Party IP</w:t>
      </w:r>
      <w:r>
        <w:rPr>
          <w:rFonts w:ascii="Times New Roman" w:hAnsi="Times New Roman"/>
          <w:color w:val="000000"/>
          <w:sz w:val="24"/>
        </w:rPr>
        <w:t xml:space="preserve">. If, in connection with the Manufacture, use or Commercialization of the Covered Product, BioCryst is obligated to pay [***] to any Third Parties solely in order to Exploit the Clearside Devices (and not where such [***] would be due in connection with the Exploitation of a BioCryst Compound without a Clearside Device), then on a country-by-country basis, BioCryst shall have the right to deduct from the royalty payment that would otherwise have been due under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with respect to Net Sales of the Covered Product in such country an amount equal to [***] percent ([***]%) of any [***] paid by BioCryst to such Third Parties.</w:t>
      </w:r>
    </w:p>
    <w:p>
      <w:pPr>
        <w:pStyle w:val="TextBody"/>
        <w:bidi w:val="0"/>
        <w:spacing w:before="0" w:after="240"/>
        <w:jc w:val="both"/>
        <w:rPr>
          <w:rFonts w:ascii="Times New Roman" w:hAnsi="Times New Roman"/>
          <w:sz w:val="20"/>
        </w:rPr>
      </w:pPr>
      <w:r>
        <w:rPr>
          <w:rFonts w:ascii="Times New Roman" w:hAnsi="Times New Roman"/>
          <w:b/>
          <w:color w:val="000000"/>
          <w:sz w:val="24"/>
        </w:rPr>
        <w:t>(ii) No Valid Claims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(1) No Valid Claims of Clearside Patent Rights; Valid Claims of Covered Product Patent Rights Remaining</w:t>
      </w:r>
      <w:r>
        <w:rPr>
          <w:rFonts w:ascii="Times New Roman" w:hAnsi="Times New Roman"/>
          <w:color w:val="000000"/>
          <w:sz w:val="24"/>
        </w:rPr>
        <w:t>. If, during the Royalty Term for the Covered Product in a country, no Valid Claim of the Clearside Patent Rights exists but one or more Valid Claims of the Covered Product Patent Rights exist that Cover the Covered Product in such country, then [***].</w:t>
      </w:r>
    </w:p>
    <w:p>
      <w:pPr>
        <w:pStyle w:val="TextBody"/>
        <w:bidi w:val="0"/>
        <w:spacing w:before="0" w:after="240"/>
        <w:jc w:val="both"/>
        <w:rPr>
          <w:rFonts w:ascii="Times New Roman" w:hAnsi="Times New Roman"/>
          <w:sz w:val="20"/>
        </w:rPr>
      </w:pPr>
      <w:r>
        <w:rPr>
          <w:rFonts w:ascii="Times New Roman" w:hAnsi="Times New Roman"/>
          <w:b/>
          <w:color w:val="000000"/>
          <w:sz w:val="24"/>
        </w:rPr>
        <w:t>(2) No Valid Claims of Clearside Patent Rights or Covered Product Patent Rights</w:t>
      </w:r>
      <w:r>
        <w:rPr>
          <w:rFonts w:ascii="Times New Roman" w:hAnsi="Times New Roman"/>
          <w:color w:val="000000"/>
          <w:sz w:val="24"/>
        </w:rPr>
        <w:t xml:space="preserve">. If, during the Royalty Term for the Covered Product in a country, no Valid Claim of the Clearside Patent Rights or Covered Product Patent Rights exists that Covers the Covered Product in such country, then the applicable royalty rates that would otherwise be payable under </w:t>
      </w:r>
      <w:r>
        <w:rPr>
          <w:rFonts w:ascii="Times New Roman" w:hAnsi="Times New Roman"/>
          <w:color w:val="000000"/>
          <w:sz w:val="24"/>
          <w:u w:val="single"/>
        </w:rPr>
        <w:t>Section 5.4(a)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Royalty Rates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 be reduced by [***] percent ([***]%) during the period of the Royalty Term in which no such Valid Claim of the Clearside Patent Rights or Covered Product Patent Rights exists.</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(iii) Generic Competition During the Royalty Term</w:t>
      </w:r>
      <w:r>
        <w:rPr>
          <w:rFonts w:ascii="Times New Roman" w:hAnsi="Times New Roman"/>
          <w:color w:val="000000"/>
          <w:sz w:val="24"/>
        </w:rPr>
        <w:t xml:space="preserve">. On a country-by-country basis, if at any time during the Royalty Term a Generic Product is sold in such country and the aggregate Net Sales of the Covered Product in such country in any Calendar Quarter thereafter are at least [***] percent ([***]%) lower as compared to the average quarterly Net Sales of the Covered Product in such country [***] immediately preceding the Calendar Quarter in which the Generic Product was first sold, then, following such reduction in Net Sales, the Net Sales of the Covered Product in such country used for calculation of royalties pursuant to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Royalties</w:t>
      </w:r>
      <w:r>
        <w:rPr>
          <w:rFonts w:ascii="Times New Roman" w:hAnsi="Times New Roman"/>
          <w:color w:val="000000"/>
          <w:sz w:val="24"/>
        </w:rPr>
        <w:t>) shall be reduced by [***] percent ([***]%).</w:t>
      </w:r>
    </w:p>
    <w:p>
      <w:pPr>
        <w:pStyle w:val="TextBody"/>
        <w:bidi w:val="0"/>
        <w:spacing w:before="0" w:after="240"/>
        <w:jc w:val="both"/>
        <w:rPr>
          <w:rFonts w:ascii="Times New Roman" w:hAnsi="Times New Roman"/>
          <w:sz w:val="20"/>
        </w:rPr>
      </w:pPr>
      <w:r>
        <w:rPr>
          <w:rFonts w:ascii="Times New Roman" w:hAnsi="Times New Roman"/>
          <w:b/>
          <w:color w:val="000000"/>
          <w:sz w:val="24"/>
        </w:rPr>
        <w:t>(iv) [***] Floor</w:t>
      </w:r>
      <w:r>
        <w:rPr>
          <w:rFonts w:ascii="Times New Roman" w:hAnsi="Times New Roman"/>
          <w:color w:val="000000"/>
          <w:sz w:val="24"/>
        </w:rPr>
        <w:t xml:space="preserve">. In no event shall (A) the application of </w:t>
      </w:r>
      <w:r>
        <w:rPr>
          <w:rFonts w:ascii="Times New Roman" w:hAnsi="Times New Roman"/>
          <w:color w:val="000000"/>
          <w:sz w:val="24"/>
          <w:u w:val="single"/>
        </w:rPr>
        <w:t>Section 5.4(b)(i)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Third-Party IP</w:t>
      </w:r>
      <w:r>
        <w:rPr>
          <w:rFonts w:ascii="Times New Roman" w:hAnsi="Times New Roman"/>
          <w:color w:val="000000"/>
          <w:sz w:val="24"/>
        </w:rPr>
        <w:t xml:space="preserve">), </w:t>
      </w:r>
      <w:r>
        <w:rPr>
          <w:rFonts w:ascii="Times New Roman" w:hAnsi="Times New Roman"/>
          <w:color w:val="000000"/>
          <w:sz w:val="24"/>
          <w:u w:val="single"/>
        </w:rPr>
        <w:t>Section 5.4(b)(ii)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 Valid Claims</w:t>
      </w:r>
      <w:r>
        <w:rPr>
          <w:rFonts w:ascii="Times New Roman" w:hAnsi="Times New Roman"/>
          <w:color w:val="000000"/>
          <w:sz w:val="24"/>
        </w:rPr>
        <w:t xml:space="preserve">) or </w:t>
      </w:r>
      <w:r>
        <w:rPr>
          <w:rFonts w:ascii="Times New Roman" w:hAnsi="Times New Roman"/>
          <w:color w:val="000000"/>
          <w:sz w:val="24"/>
          <w:u w:val="single"/>
        </w:rPr>
        <w:t>Section 5.4(b)(iii)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Generic Competition During the Royalty Term</w:t>
      </w:r>
      <w:r>
        <w:rPr>
          <w:rFonts w:ascii="Times New Roman" w:hAnsi="Times New Roman"/>
          <w:color w:val="000000"/>
          <w:sz w:val="24"/>
        </w:rPr>
        <w:t xml:space="preserve">) reduce the royalty payable on Net Sales of the Covered Product in a country in a Calendar Quarter during the Royalty Term to less than [***] percent ([***]%) of the royalty that would be payable on Net Sales of the Covered Product in such country determined in accordance with </w:t>
      </w:r>
      <w:r>
        <w:rPr>
          <w:rFonts w:ascii="Times New Roman" w:hAnsi="Times New Roman"/>
          <w:color w:val="000000"/>
          <w:sz w:val="24"/>
          <w:u w:val="single"/>
        </w:rPr>
        <w:t>Section 5.4(a)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Royalty Rates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 application of any such reductions or [***].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5.5 Royalty Payments and Reports</w:t>
      </w:r>
      <w:r>
        <w:rPr>
          <w:rFonts w:ascii="Times New Roman" w:hAnsi="Times New Roman"/>
          <w:color w:val="000000"/>
          <w:sz w:val="24"/>
        </w:rPr>
        <w:t xml:space="preserve">. BioCryst will calculate all amounts payable to Clearside pursuant to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at the end of each Calendar Quarter, which amounts will be converted to Dollars, in accordance with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Currency; Payment Instructions; Late Payments; Offsets</w:t>
      </w:r>
      <w:r>
        <w:rPr>
          <w:rFonts w:ascii="Times New Roman" w:hAnsi="Times New Roman"/>
          <w:color w:val="000000"/>
          <w:sz w:val="24"/>
        </w:rPr>
        <w:t xml:space="preserve">). BioCryst will report to Clearside the royalty amounts due with respect to a given Calendar Quarter within [***] ([***]) days after the end of such Calendar Quarter. Thereafter, Clearside will invoice BioCryst within [***] ([***]) days of Clearside’s receipt of such quarterly royalty report for the royalty amounts due for such Calendar Quarter and BioCryst’s payment of such royalty amounts due for such Calendar Quarter shall proceed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Invoices</w:t>
      </w:r>
      <w:r>
        <w:rPr>
          <w:rFonts w:ascii="Times New Roman" w:hAnsi="Times New Roman"/>
          <w:color w:val="000000"/>
          <w:sz w:val="24"/>
        </w:rPr>
        <w:t>). Each quarterly royalty report shall include a statement of the amount of Net Sales and number of units of the Covered Product in each country in the Territory during the applicable Calendar Quarter (including such amounts expressed in local currency and as converted to Dollars) and a calculation of the amount of royalty payment due on such Net Sales for such Calendar Quarter, which calculation shall include the itemized deductions for the Covered Product for each country included in the calculation of Net Sales. BioCryst will also include in such reports any additional information reasonably requested by Clearside to calculate Net Sales attributable to its Affiliates and Sublicensees.</w:t>
      </w:r>
    </w:p>
    <w:p>
      <w:pPr>
        <w:pStyle w:val="TextBody"/>
        <w:bidi w:val="0"/>
        <w:spacing w:before="0" w:after="240"/>
        <w:jc w:val="both"/>
        <w:rPr>
          <w:rFonts w:ascii="Times New Roman" w:hAnsi="Times New Roman"/>
          <w:sz w:val="20"/>
        </w:rPr>
      </w:pPr>
      <w:r>
        <w:rPr>
          <w:rFonts w:ascii="Times New Roman" w:hAnsi="Times New Roman"/>
          <w:b/>
          <w:color w:val="000000"/>
          <w:sz w:val="24"/>
        </w:rPr>
        <w:t>5.6 Invoices</w:t>
      </w:r>
      <w:r>
        <w:rPr>
          <w:rFonts w:ascii="Times New Roman" w:hAnsi="Times New Roman"/>
          <w:color w:val="000000"/>
          <w:sz w:val="24"/>
        </w:rPr>
        <w:t>. If either Party (the “</w:t>
      </w:r>
      <w:r>
        <w:rPr>
          <w:rFonts w:ascii="Times New Roman" w:hAnsi="Times New Roman"/>
          <w:b/>
          <w:color w:val="000000"/>
          <w:sz w:val="24"/>
        </w:rPr>
        <w:t>Invoicing Party</w:t>
      </w:r>
      <w:r>
        <w:rPr>
          <w:rFonts w:ascii="Times New Roman" w:hAnsi="Times New Roman"/>
          <w:color w:val="000000"/>
          <w:sz w:val="20"/>
        </w:rPr>
        <w:t>”</w:t>
      </w:r>
      <w:r>
        <w:rPr>
          <w:rFonts w:ascii="Times New Roman" w:hAnsi="Times New Roman"/>
          <w:color w:val="000000"/>
          <w:sz w:val="24"/>
        </w:rPr>
        <w:t>) is owed amounts by the other Party (the “</w:t>
      </w:r>
      <w:r>
        <w:rPr>
          <w:rFonts w:ascii="Times New Roman" w:hAnsi="Times New Roman"/>
          <w:b/>
          <w:color w:val="000000"/>
          <w:sz w:val="24"/>
        </w:rPr>
        <w:t>Invoiced Party</w:t>
      </w:r>
      <w:r>
        <w:rPr>
          <w:rFonts w:ascii="Times New Roman" w:hAnsi="Times New Roman"/>
          <w:color w:val="000000"/>
          <w:sz w:val="20"/>
        </w:rPr>
        <w:t>”</w:t>
      </w:r>
      <w:r>
        <w:rPr>
          <w:rFonts w:ascii="Times New Roman" w:hAnsi="Times New Roman"/>
          <w:color w:val="000000"/>
          <w:sz w:val="24"/>
        </w:rPr>
        <w:t xml:space="preserve">) pursuant to this Agreement, the Invoicing Party must invoice the Invoiced Party for such amounts within any applicable time periods set forth in this Agreement. Except as otherwise set forth in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Upfront Fee</w:t>
      </w:r>
      <w:r>
        <w:rPr>
          <w:rFonts w:ascii="Times New Roman" w:hAnsi="Times New Roman"/>
          <w:color w:val="000000"/>
          <w:sz w:val="24"/>
        </w:rPr>
        <w:t>), the Invoiced Party will pay all undisputed amounts in such invoices within [***] ([***]) days of receipt. In the event the Invoiced Party disputes any portion of an invoice, it shall notify the Invoicing Party in writing within [***] ([***]) days after receipt of invoice. The Parties shall use good faith efforts to resolve such dispute.</w:t>
      </w:r>
    </w:p>
    <w:p>
      <w:pPr>
        <w:pStyle w:val="TextBody"/>
        <w:bidi w:val="0"/>
        <w:spacing w:before="0" w:after="240"/>
        <w:jc w:val="both"/>
        <w:rPr>
          <w:rFonts w:ascii="Times New Roman" w:hAnsi="Times New Roman"/>
          <w:sz w:val="20"/>
        </w:rPr>
      </w:pPr>
      <w:r>
        <w:rPr>
          <w:rFonts w:ascii="Times New Roman" w:hAnsi="Times New Roman"/>
          <w:b/>
          <w:color w:val="000000"/>
          <w:sz w:val="24"/>
        </w:rPr>
        <w:t>5.7 Currency; Payment Instructions; Late Payments; Offsets</w:t>
      </w:r>
      <w:r>
        <w:rPr>
          <w:rFonts w:ascii="Times New Roman" w:hAnsi="Times New Roman"/>
          <w:color w:val="000000"/>
          <w:sz w:val="24"/>
        </w:rPr>
        <w:t>. All amounts payable and calculations hereunder will be in Dollars, and all payments due under this Agreement will be made by wire transfer in immediately available funds to an account designated by Clearside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100" w:name="docxtextref96"/>
      <w:bookmarkEnd w:id="100"/>
      <w:r>
        <w:rPr>
          <w:rFonts w:ascii="Times New Roman" w:hAnsi="Times New Roman"/>
          <w:color w:val="000000"/>
          <w:sz w:val="24"/>
        </w:rPr>
        <w:t>advance of such payment, or by other mutually acceptable means. For the purpose of calculating any sums due under, or otherwise reimbursable pursuant to, this Agreement (including the calculation of Net Sales expressed in currencies other than Dollars), a Party will convert any amount expressed in a foreign currency into Dollar equivalents using its, its Affiliate’s or Sublicensee’s standard conversion methodology consistent with Accounting Standards. If any payment due to either Party under this Agreement is not paid when due, then such paying Party will pay interest thereon (before and after any judgment) at an annual rate (but with interest accruing on a daily basis) of [***] ([***])</w:t>
      </w:r>
      <w:r>
        <w:rPr>
          <w:rFonts w:ascii="Times New Roman" w:hAnsi="Times New Roman"/>
          <w:color w:val="000000"/>
          <w:sz w:val="20"/>
        </w:rPr>
        <w:t xml:space="preserve"> </w:t>
      </w:r>
      <w:r>
        <w:rPr>
          <w:rFonts w:ascii="Times New Roman" w:hAnsi="Times New Roman"/>
          <w:color w:val="000000"/>
          <w:sz w:val="24"/>
        </w:rPr>
        <w:t>basis points above the U.S. effective federal funds rate, as adjusted each Business Day and published by the Federal Reserve Bank of New York through its website (</w:t>
      </w:r>
      <w:r>
        <w:rPr>
          <w:rFonts w:ascii="Times New Roman" w:hAnsi="Times New Roman"/>
          <w:color w:val="000000"/>
          <w:sz w:val="24"/>
          <w:u w:val="single"/>
        </w:rPr>
        <w:t>https://apps.newyorkfed.org/markets/autorates/fed%20funds</w:t>
      </w:r>
      <w:r>
        <w:rPr>
          <w:rFonts w:ascii="Times New Roman" w:hAnsi="Times New Roman"/>
          <w:color w:val="000000"/>
          <w:sz w:val="24"/>
        </w:rPr>
        <w:t xml:space="preserve">) (or in the event that the U.S. effective federal funds rate is no longer an applicable reference rate, such reasonably equivalent alternative as may be selected by mutual agreement exercising reasonable discretion), such interest to run from the date on which payment of such sum became due until payment thereof in full together with such interest; </w:t>
      </w:r>
      <w:r>
        <w:rPr>
          <w:rFonts w:ascii="Times New Roman" w:hAnsi="Times New Roman"/>
          <w:i/>
          <w:color w:val="000000"/>
          <w:sz w:val="24"/>
        </w:rPr>
        <w:t>provided</w:t>
      </w:r>
      <w:r>
        <w:rPr>
          <w:rFonts w:ascii="Times New Roman" w:hAnsi="Times New Roman"/>
          <w:color w:val="000000"/>
          <w:sz w:val="24"/>
        </w:rPr>
        <w:t xml:space="preserve">, that, with respect to any disputed payments, no interest payment shall be due until such dispute is resolved and the interest which shall be payable thereon shall be based on the finally-resolved amount of such payment. Notwithstanding the previous sentence, the total payable interest rate will never be less than [***] </w:t>
      </w:r>
      <w:bookmarkStart w:id="101" w:name="docxtextref97"/>
      <w:bookmarkEnd w:id="101"/>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basis points. BioCryst shall have the right, upon prior written notice to Clearside, to offset any undisputed payment, resolved payment or payment that is the subject of a pending dispute that is owed by Clearside but not timely paid against any payments owed by BioCryst, if any, under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5.8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General</w:t>
      </w:r>
      <w:r>
        <w:rPr>
          <w:rFonts w:ascii="Times New Roman" w:hAnsi="Times New Roman"/>
          <w:color w:val="000000"/>
          <w:sz w:val="24"/>
        </w:rPr>
        <w:t>. The milestones, royalties and other amounts payable by BioCryst to Clearside pursuant to this Agreement (each, a “</w:t>
      </w:r>
      <w:r>
        <w:rPr>
          <w:rFonts w:ascii="Times New Roman" w:hAnsi="Times New Roman"/>
          <w:b/>
          <w:color w:val="000000"/>
          <w:sz w:val="24"/>
        </w:rPr>
        <w:t>Payment</w:t>
      </w:r>
      <w:r>
        <w:rPr>
          <w:rFonts w:ascii="Times New Roman" w:hAnsi="Times New Roman"/>
          <w:color w:val="000000"/>
          <w:sz w:val="20"/>
        </w:rPr>
        <w:t>”</w:t>
      </w:r>
      <w:r>
        <w:rPr>
          <w:rFonts w:ascii="Times New Roman" w:hAnsi="Times New Roman"/>
          <w:color w:val="000000"/>
          <w:sz w:val="24"/>
        </w:rPr>
        <w:t xml:space="preserve">) will be paid free and clear of any and all taxes, except for any withholding taxes required by Applicable Law. Except as provided in this </w:t>
      </w:r>
      <w:r>
        <w:rPr>
          <w:rFonts w:ascii="Times New Roman" w:hAnsi="Times New Roman"/>
          <w:color w:val="000000"/>
          <w:sz w:val="24"/>
          <w:u w:val="single"/>
        </w:rPr>
        <w:t>Section 5.8</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Taxes</w:t>
      </w:r>
      <w:r>
        <w:rPr>
          <w:rFonts w:ascii="Times New Roman" w:hAnsi="Times New Roman"/>
          <w:color w:val="000000"/>
          <w:sz w:val="24"/>
        </w:rPr>
        <w:t xml:space="preserve">), Clearside will be solely responsible for paying any and all taxes (other than withholding taxes required by Applicable Law to be deducted from Payments and remitted by BioCryst) levied on account of, or measured in whole or in part by reference to, any Payments it receives. BioCryst will deduct or withhold from the Payments any taxes that it is required by Applicable Law to deduct or withhold. Notwithstanding the foregoing, if Clearside is entitled under any applicable tax treaty to a reduction of rate of, or the elimination of, applicable withholding tax, it may deliver to BioCryst or the appropriate governmental authority (with the assistance of BioCryst to the extent that this is reasonably required and is expressly requested in writing) the prescribed forms necessary to reduce the applicable rate of withholding or to relieve BioCryst of its obligation to withhold such tax and BioCryst will apply the reduced rate of withholding or dispense with withholding, as the case may be;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BioCryst has received evidence, in a form reasonably satisfactory to BioCryst, of Clearside’s delivery of all applicable forms (and, if necessary, its receipt of appropriate governmental authorization) at least [***] ([***]) days prior to the time that the Payments are due. If, in accordance with the foregoing, BioCryst withholds any amount, it will pay to Clearside the balance when due, make timely payment to the proper taxing authority of the withheld amount and send to Clearside proof of such payment within [***] ([***]) days following such payment.</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5.9 Financial Records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BioCryst</w:t>
      </w:r>
      <w:r>
        <w:rPr>
          <w:rFonts w:ascii="Times New Roman" w:hAnsi="Times New Roman"/>
          <w:color w:val="000000"/>
          <w:sz w:val="24"/>
        </w:rPr>
        <w:t>. BioCryst will, and will cause its Affiliates and its and their Sublicensees to, keep complete and accurate financial books and records pertaining to the Development and Commercialization of the Covered Product hereunder to the extent required to calculate and verify all amounts payable hereunder. BioCryst will, and will cause its Affiliates and its and their Sublicensees to, retain such books and records until [***] ([***]) years after the end of the period to which such books and records pertain.</w:t>
      </w:r>
    </w:p>
    <w:p>
      <w:pPr>
        <w:pStyle w:val="TextBody"/>
        <w:bidi w:val="0"/>
        <w:spacing w:before="0" w:after="240"/>
        <w:jc w:val="both"/>
        <w:rPr>
          <w:rFonts w:ascii="Times New Roman" w:hAnsi="Times New Roman"/>
          <w:sz w:val="20"/>
        </w:rPr>
      </w:pPr>
      <w:r>
        <w:rPr>
          <w:rFonts w:ascii="Times New Roman" w:hAnsi="Times New Roman"/>
          <w:b/>
          <w:color w:val="000000"/>
          <w:sz w:val="24"/>
        </w:rPr>
        <w:t>(b) Clearside</w:t>
      </w:r>
      <w:r>
        <w:rPr>
          <w:rFonts w:ascii="Times New Roman" w:hAnsi="Times New Roman"/>
          <w:color w:val="000000"/>
          <w:sz w:val="24"/>
        </w:rPr>
        <w:t>. Clearside will, and will cause its Affiliates, Existing Suppliers or any other supplier qualified in accordance with this Agreement to, keep complete and accurate financial books and records pertaining to the COGS of the Clearside Devices and the Safety Stock Price hereunder to the extent required to calculate and verify the Transfer Price payable hereunder. Clearside will, and will cause its Affiliates, Existing Suppliers or any other supplier qualified in accordance with this Agreement to, retain such books and records until [***] ([***]) years after the end of the period to which such books and records pertain.</w:t>
      </w:r>
    </w:p>
    <w:p>
      <w:pPr>
        <w:pStyle w:val="TextBody"/>
        <w:bidi w:val="0"/>
        <w:spacing w:before="0" w:after="240"/>
        <w:jc w:val="both"/>
        <w:rPr>
          <w:rFonts w:ascii="Times New Roman" w:hAnsi="Times New Roman"/>
          <w:sz w:val="20"/>
        </w:rPr>
      </w:pPr>
      <w:r>
        <w:rPr>
          <w:rFonts w:ascii="Times New Roman" w:hAnsi="Times New Roman"/>
          <w:b/>
          <w:color w:val="000000"/>
          <w:sz w:val="24"/>
        </w:rPr>
        <w:t>5.10 Audit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BioCryst</w:t>
      </w:r>
      <w:r>
        <w:rPr>
          <w:rFonts w:ascii="Times New Roman" w:hAnsi="Times New Roman"/>
          <w:color w:val="000000"/>
          <w:sz w:val="24"/>
        </w:rPr>
        <w:t xml:space="preserve">. Upon Clearside’s reasonable request, BioCryst will, and will cause its Affiliates and its and their Sublicensees to, permit an independent, nationally recognized accounting firm designated by Clearside and acceptable to BioCryst, at reasonable times and upon at least [***] ([***]) days’ notice, to audit the books and records maintained pursuant to </w:t>
      </w:r>
      <w:r>
        <w:rPr>
          <w:rFonts w:ascii="Times New Roman" w:hAnsi="Times New Roman"/>
          <w:color w:val="000000"/>
          <w:sz w:val="24"/>
          <w:u w:val="single"/>
        </w:rPr>
        <w:t>Section 5.9(a)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Financial Records—BioCryst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ensure the accuracy of all reports and payments under this Agreement. Such examinations may not be conducted more than [***] in any [***] ([***]) month period and are limited to the preceding [***] ([***]) month period. No record may be audited more than once. The cost of this audit will be borne by Clearside, unless the audit reveals a variance of more than [***] percent ([***]%) from the reported amounts, in which case BioCryst will reimburse Clearside for the accounting firm’s fees in performing the audit. If such audit concludes that (a) additional amounts were owed by BioCryst, BioCryst will pay the additional amounts or (b) excess payments were made by BioCryst, Clearside will reimburse or credit such excess payments, in either case ((a) or (b)), within [***] ([***]) days after the date on which such audit is completed.</w:t>
      </w:r>
    </w:p>
    <w:p>
      <w:pPr>
        <w:pStyle w:val="TextBody"/>
        <w:bidi w:val="0"/>
        <w:spacing w:before="0" w:after="240"/>
        <w:jc w:val="both"/>
        <w:rPr>
          <w:rFonts w:ascii="Times New Roman" w:hAnsi="Times New Roman"/>
          <w:sz w:val="20"/>
        </w:rPr>
      </w:pPr>
      <w:r>
        <w:rPr>
          <w:rFonts w:ascii="Times New Roman" w:hAnsi="Times New Roman"/>
          <w:b/>
          <w:color w:val="000000"/>
          <w:sz w:val="24"/>
        </w:rPr>
        <w:t>(b) Clearside</w:t>
      </w:r>
      <w:r>
        <w:rPr>
          <w:rFonts w:ascii="Times New Roman" w:hAnsi="Times New Roman"/>
          <w:color w:val="000000"/>
          <w:sz w:val="24"/>
        </w:rPr>
        <w:t xml:space="preserve">. Upon BioCryst’s reasonable request, Clearside will, and will cause its Affiliates, and will use reasonable efforts to cause its Existing Suppliers or any other supplier qualified in accordance with this Agreement to, permit an independent, nationally recognized accounting firm designated by BioCryst and acceptable to Clearside, at reasonable times and upon at least [***] ([***]) days’ notice, to audit the books and records maintained pursuant to </w:t>
      </w:r>
      <w:r>
        <w:rPr>
          <w:rFonts w:ascii="Times New Roman" w:hAnsi="Times New Roman"/>
          <w:color w:val="000000"/>
          <w:sz w:val="24"/>
          <w:u w:val="single"/>
        </w:rPr>
        <w:t>Section 5.9(b)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Financial Records—Clearside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to ensure the accuracy of all invoices issued pursuant to </w:t>
      </w:r>
      <w:r>
        <w:rPr>
          <w:rFonts w:ascii="Times New Roman" w:hAnsi="Times New Roman"/>
          <w:color w:val="000000"/>
          <w:sz w:val="24"/>
          <w:u w:val="single"/>
        </w:rPr>
        <w:t>Section 4.2(b)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Pricing; Payment</w:t>
      </w:r>
      <w:r>
        <w:rPr>
          <w:rFonts w:ascii="Times New Roman" w:hAnsi="Times New Roman"/>
          <w:color w:val="000000"/>
          <w:sz w:val="24"/>
        </w:rPr>
        <w:t xml:space="preserve">) or </w:t>
      </w:r>
      <w:r>
        <w:rPr>
          <w:rFonts w:ascii="Times New Roman" w:hAnsi="Times New Roman"/>
          <w:color w:val="000000"/>
          <w:sz w:val="24"/>
          <w:u w:val="single"/>
        </w:rPr>
        <w:t>Section 4.2(d)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Safety Stock</w:t>
      </w:r>
      <w:r>
        <w:rPr>
          <w:rFonts w:ascii="Times New Roman" w:hAnsi="Times New Roman"/>
          <w:color w:val="000000"/>
          <w:sz w:val="24"/>
        </w:rPr>
        <w:t>). Such examinations may not be conducted more than [***] in any ([***]) ([***]) month period and are limited to the preceding [***] ([***]) month period. No record may be audited more than [***]. The cost of this audit will be borne by BioCryst, unless the audit reveals a variance of more than [***] percent ([***]%) from the invoiced amount, in which case Clearside will reimburse BioCryst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accounting firm’s fees in performing the audit. If such audit concludes that (a) additional amounts were owed by BioCryst, BioCryst will pay the additional amounts or (b) excess payments were made by BioCryst, Clearside will reimburse or credit such excess payments, in either case ((a) or (b)), within [***] ([***]) days after the date on which such audit is completed.</w:t>
      </w:r>
    </w:p>
    <w:p>
      <w:pPr>
        <w:pStyle w:val="TextBody"/>
        <w:bidi w:val="0"/>
        <w:spacing w:before="0" w:after="240"/>
        <w:jc w:val="both"/>
        <w:rPr>
          <w:rFonts w:ascii="Times New Roman" w:hAnsi="Times New Roman"/>
          <w:sz w:val="20"/>
        </w:rPr>
      </w:pPr>
      <w:r>
        <w:rPr>
          <w:rFonts w:ascii="Times New Roman" w:hAnsi="Times New Roman"/>
          <w:b/>
          <w:color w:val="000000"/>
          <w:sz w:val="24"/>
        </w:rPr>
        <w:t>5.11 Audit Dispute</w:t>
      </w:r>
      <w:r>
        <w:rPr>
          <w:rFonts w:ascii="Times New Roman" w:hAnsi="Times New Roman"/>
          <w:color w:val="000000"/>
          <w:sz w:val="24"/>
        </w:rPr>
        <w:t xml:space="preserve">. In the event of a dispute with respect to any audit under </w:t>
      </w:r>
      <w:r>
        <w:rPr>
          <w:rFonts w:ascii="Times New Roman" w:hAnsi="Times New Roman"/>
          <w:color w:val="000000"/>
          <w:sz w:val="24"/>
          <w:u w:val="single"/>
        </w:rPr>
        <w:t>Section 5.10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Audit</w:t>
      </w:r>
      <w:r>
        <w:rPr>
          <w:rFonts w:ascii="Times New Roman" w:hAnsi="Times New Roman"/>
          <w:color w:val="000000"/>
          <w:sz w:val="24"/>
        </w:rPr>
        <w:t>), Clearside and BioCryst shall work in good faith to resolve the disagreement. If the Parties are unable to reach a mutually acceptable resolution of any such dispute within [***] ([***]) days, the dispute shall be submitted for resolution to a certified public accounting firm jointly selected by each Party’s certified public accountants or to such other Person as the Parties shall mutually agree (the “</w:t>
      </w:r>
      <w:r>
        <w:rPr>
          <w:rFonts w:ascii="Times New Roman" w:hAnsi="Times New Roman"/>
          <w:b/>
          <w:color w:val="000000"/>
          <w:sz w:val="24"/>
        </w:rPr>
        <w:t>Audit Arbitrator</w:t>
      </w:r>
      <w:r>
        <w:rPr>
          <w:rFonts w:ascii="Times New Roman" w:hAnsi="Times New Roman"/>
          <w:color w:val="000000"/>
          <w:sz w:val="20"/>
        </w:rPr>
        <w:t>”</w:t>
      </w:r>
      <w:r>
        <w:rPr>
          <w:rFonts w:ascii="Times New Roman" w:hAnsi="Times New Roman"/>
          <w:color w:val="000000"/>
          <w:sz w:val="24"/>
        </w:rPr>
        <w:t>). The decision of the Audit Arbitrator shall be final and the costs of such arbitration as well as the initial audit shall be borne between the Parties in such manner as the Audit Arbitrator shall determine. Not later than [***] ([***]) days after such decision and in accordance with such decision, BioCryst or Clearside shall pay the additional amounts, as applicable, or BioCryst or Clearside shall reimburse the excess payments, as applicable.</w:t>
      </w:r>
    </w:p>
    <w:p>
      <w:pPr>
        <w:pStyle w:val="TextBody"/>
        <w:bidi w:val="0"/>
        <w:spacing w:before="0" w:after="240"/>
        <w:jc w:val="both"/>
        <w:rPr>
          <w:rFonts w:ascii="Times New Roman" w:hAnsi="Times New Roman"/>
          <w:sz w:val="20"/>
        </w:rPr>
      </w:pPr>
      <w:r>
        <w:rPr>
          <w:rFonts w:ascii="Times New Roman" w:hAnsi="Times New Roman"/>
          <w:b/>
          <w:color w:val="000000"/>
          <w:sz w:val="24"/>
        </w:rPr>
        <w:t>5.12 Confidentiality</w:t>
      </w:r>
      <w:r>
        <w:rPr>
          <w:rFonts w:ascii="Times New Roman" w:hAnsi="Times New Roman"/>
          <w:color w:val="000000"/>
          <w:sz w:val="24"/>
        </w:rPr>
        <w:t xml:space="preserve">. The Receiving Party will treat all information subject to review under this </w:t>
      </w:r>
      <w:r>
        <w:rPr>
          <w:rFonts w:ascii="Times New Roman" w:hAnsi="Times New Roman"/>
          <w:color w:val="000000"/>
          <w:sz w:val="24"/>
          <w:u w:val="single"/>
        </w:rPr>
        <w:t>Article 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Payments to Clearside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in accordance with the confidentiality provisions of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the Parties will cause the auditor to enter into a reasonably acceptable confidentiality agreement with the audited Party obligating such firm to retain all such financial information in confidence pursuant to such confidentiality agreement.</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6</w:t>
      </w:r>
      <w:r>
        <w:rPr>
          <w:rFonts w:ascii="Times New Roman" w:hAnsi="Times New Roman"/>
          <w:caps/>
          <w:color w:val="000000"/>
          <w:sz w:val="24"/>
        </w:rPr>
        <w:br/>
      </w:r>
      <w:r>
        <w:rPr>
          <w:rFonts w:ascii="Times New Roman" w:hAnsi="Times New Roman"/>
          <w:b/>
          <w:caps/>
          <w:color w:val="000000"/>
          <w:sz w:val="24"/>
        </w:rPr>
        <w:t>PATENT MATTERS; OWNERSHIP OF INTELLECTUAL PROPERTY</w:t>
      </w:r>
    </w:p>
    <w:p>
      <w:pPr>
        <w:pStyle w:val="TextBody"/>
        <w:bidi w:val="0"/>
        <w:spacing w:before="0" w:after="240"/>
        <w:jc w:val="both"/>
        <w:rPr>
          <w:rFonts w:ascii="Times New Roman" w:hAnsi="Times New Roman"/>
          <w:sz w:val="20"/>
        </w:rPr>
      </w:pPr>
      <w:r>
        <w:rPr>
          <w:rFonts w:ascii="Times New Roman" w:hAnsi="Times New Roman"/>
          <w:b/>
          <w:color w:val="000000"/>
          <w:sz w:val="24"/>
        </w:rPr>
        <w:t>6.1 Filing, Prosecution and Maintenance of Patent Rights</w:t>
      </w:r>
      <w:r>
        <w:rPr>
          <w:rFonts w:ascii="Times New Roman" w:hAnsi="Times New Roman"/>
          <w:color w:val="000000"/>
          <w:sz w:val="24"/>
        </w:rPr>
        <w:t>. [***.]</w:t>
      </w:r>
    </w:p>
    <w:p>
      <w:pPr>
        <w:pStyle w:val="TextBody"/>
        <w:bidi w:val="0"/>
        <w:spacing w:before="0" w:after="240"/>
        <w:jc w:val="both"/>
        <w:rPr>
          <w:rFonts w:ascii="Times New Roman" w:hAnsi="Times New Roman"/>
          <w:sz w:val="20"/>
        </w:rPr>
      </w:pPr>
      <w:r>
        <w:rPr>
          <w:rFonts w:ascii="Times New Roman" w:hAnsi="Times New Roman"/>
          <w:b/>
          <w:color w:val="000000"/>
          <w:sz w:val="24"/>
        </w:rPr>
        <w:t>(a) Clearside Patent Rights and [***]</w:t>
      </w:r>
      <w:r>
        <w:rPr>
          <w:rFonts w:ascii="Times New Roman" w:hAnsi="Times New Roman"/>
          <w:color w:val="000000"/>
          <w:sz w:val="24"/>
        </w:rPr>
        <w:t>. Clearside has the first right, at its discretion and using counsel it selects, to Prosecute and Maintain all Clearside Patent Rights and [***] in Clearside’s name in the Territory and Clearside will be solely responsible for all costs and expenses incurred in connection with such Prosecution and Maintenance. Clearside shall: (i) provide BioCryst with copies of all filings and formal correspondences relating to [***]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(ii) keep BioCryst advised of the status of actual and prospective patent filings; (iii) give BioCryst the opportunity to provide and will reasonably consider in good faith comments on the Prosecution and Maintenance of the [***]; (iv) reasonably consult with BioCryst prior to electing not to continue to Prosecute and Maintain any [***]; (v) not make any decision regarding the Prosecution and Maintenance of such [***] that materially disadvantages BioCryst as compared to any other licensee of such Patent Rights; and (vi) upon BioCryst’s reasonable request, seek claims related to the combined use of a Clearside Device for delivery of the BioCryst Compound in the Field. Each Party will treat any consultation regarding the Prosecution and Maintenance of the [***], along with any information disclosed by each Party in connection therewith (including any information concerning patent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expenses), as both Parties’ Confidential Information. If Clearside elects not to continue to Prosecute and Maintain any Clearside Patent Rights, then: [***].</w:t>
      </w:r>
    </w:p>
    <w:p>
      <w:pPr>
        <w:pStyle w:val="TextBody"/>
        <w:bidi w:val="0"/>
        <w:spacing w:before="0" w:after="240"/>
        <w:jc w:val="both"/>
        <w:rPr>
          <w:rFonts w:ascii="Times New Roman" w:hAnsi="Times New Roman"/>
          <w:sz w:val="20"/>
        </w:rPr>
      </w:pPr>
      <w:r>
        <w:rPr>
          <w:rFonts w:ascii="Times New Roman" w:hAnsi="Times New Roman"/>
          <w:b/>
          <w:color w:val="000000"/>
          <w:sz w:val="24"/>
        </w:rPr>
        <w:t>(b) BioCryst Patent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 Compound Patent Rights</w:t>
      </w:r>
      <w:r>
        <w:rPr>
          <w:rFonts w:ascii="Times New Roman" w:hAnsi="Times New Roman"/>
          <w:color w:val="000000"/>
          <w:sz w:val="24"/>
        </w:rPr>
        <w:t>. As between the Parties, BioCryst shall have the sole right (but not the obligation), using counsel it selects, to Prosecute and Maintain the Patent Rights Covering the Compound IP (“</w:t>
      </w:r>
      <w:r>
        <w:rPr>
          <w:rFonts w:ascii="Times New Roman" w:hAnsi="Times New Roman"/>
          <w:b/>
          <w:color w:val="000000"/>
          <w:sz w:val="24"/>
        </w:rPr>
        <w:t>Compound Patent Rights</w:t>
      </w:r>
      <w:r>
        <w:rPr>
          <w:rFonts w:ascii="Times New Roman" w:hAnsi="Times New Roman"/>
          <w:color w:val="000000"/>
          <w:sz w:val="20"/>
        </w:rPr>
        <w:t>”</w:t>
      </w:r>
      <w:r>
        <w:rPr>
          <w:rFonts w:ascii="Times New Roman" w:hAnsi="Times New Roman"/>
          <w:color w:val="000000"/>
          <w:sz w:val="24"/>
        </w:rPr>
        <w:t>). BioCryst will be solely responsible for all costs and expenses incurred in connection with such Prosecution and Maintenance.</w:t>
      </w:r>
    </w:p>
    <w:p>
      <w:pPr>
        <w:pStyle w:val="TextBody"/>
        <w:bidi w:val="0"/>
        <w:spacing w:before="0" w:after="240"/>
        <w:jc w:val="both"/>
        <w:rPr>
          <w:rFonts w:ascii="Times New Roman" w:hAnsi="Times New Roman"/>
          <w:sz w:val="20"/>
        </w:rPr>
      </w:pPr>
      <w:r>
        <w:rPr>
          <w:rFonts w:ascii="Times New Roman" w:hAnsi="Times New Roman"/>
          <w:b/>
          <w:color w:val="000000"/>
          <w:sz w:val="24"/>
        </w:rPr>
        <w:t>(ii)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(c) Joint Patent Rights</w:t>
      </w:r>
      <w:r>
        <w:rPr>
          <w:rFonts w:ascii="Times New Roman" w:hAnsi="Times New Roman"/>
          <w:color w:val="000000"/>
          <w:sz w:val="24"/>
        </w:rPr>
        <w:t>. With respect to any Patent Rights Covering the Joint Inventions (the “</w:t>
      </w:r>
      <w:r>
        <w:rPr>
          <w:rFonts w:ascii="Times New Roman" w:hAnsi="Times New Roman"/>
          <w:b/>
          <w:color w:val="000000"/>
          <w:sz w:val="24"/>
        </w:rPr>
        <w:t>Joint Patent Rights</w:t>
      </w:r>
      <w:r>
        <w:rPr>
          <w:rFonts w:ascii="Times New Roman" w:hAnsi="Times New Roman"/>
          <w:color w:val="000000"/>
          <w:sz w:val="20"/>
        </w:rPr>
        <w:t>”</w:t>
      </w:r>
      <w:r>
        <w:rPr>
          <w:rFonts w:ascii="Times New Roman" w:hAnsi="Times New Roman"/>
          <w:color w:val="000000"/>
          <w:sz w:val="24"/>
        </w:rPr>
        <w:t>), the Parties shall meet to determine in what countries, if any, Joint Patent Rights should be filed and the appropriate filing Party for such Joint Patent Rights. The Parties shall equally share costs incurred by the Party filing such Joint Patent Rights. If a Party elects not to equally share costs related to any Joint Patent Right, the other Party shall provide written notice upon the decision to not share any Joint Patent Right costs and the Party not giving such notice shall have the right to assume responsibility for such Prosecution and Maintenance, at its own sole expense.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(d) Claim Separation</w:t>
      </w:r>
      <w:r>
        <w:rPr>
          <w:rFonts w:ascii="Times New Roman" w:hAnsi="Times New Roman"/>
          <w:color w:val="000000"/>
          <w:sz w:val="24"/>
        </w:rPr>
        <w:t>. The Parties shall use commercially reasonable efforts (including, as appropriate, by Prosecuting and Maintaining separate continuation applications, continuation-in-part applications, or divisional applications), in each case, as reasonably determined based on then-available scientific or other evidence, to segregate into separate Patents claims that would cause a Patent to constitute: (a) a Compound Patent; (b) a Covered Product Patent Right; (c) a Clearside Patent Right; (d) [***]; and (e) a Joint Patent Right.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6.2 Enforcement and Defense of Patent Rights</w:t>
      </w:r>
      <w:r>
        <w:rPr>
          <w:rFonts w:ascii="Times New Roman" w:hAnsi="Times New Roman"/>
          <w:color w:val="000000"/>
          <w:sz w:val="24"/>
        </w:rPr>
        <w:t>.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Notification</w:t>
      </w:r>
      <w:r>
        <w:rPr>
          <w:rFonts w:ascii="Times New Roman" w:hAnsi="Times New Roman"/>
          <w:color w:val="000000"/>
          <w:sz w:val="24"/>
        </w:rPr>
        <w:t>. In the event that either Party becomes aware of any (i) actual or threatened infringement or (ii) alleged or threatened assertion of invalidity or unenforceability, in each case ((i) and (ii)), of any Compound Patent Right, Covered Product Patent Right, Joint Patent Right, Clearside Patent Right or [***] in the Territory by a Third Party, such Party will promptly notify the other Party in writing and will provide any information available to such Party relating to such infringement or assertion of invalidity or unenforceability.</w:t>
      </w:r>
    </w:p>
    <w:p>
      <w:pPr>
        <w:pStyle w:val="TextBody"/>
        <w:bidi w:val="0"/>
        <w:spacing w:before="0" w:after="240"/>
        <w:jc w:val="both"/>
        <w:rPr>
          <w:rFonts w:ascii="Times New Roman" w:hAnsi="Times New Roman"/>
          <w:sz w:val="20"/>
        </w:rPr>
      </w:pPr>
      <w:r>
        <w:rPr>
          <w:rFonts w:ascii="Times New Roman" w:hAnsi="Times New Roman"/>
          <w:b/>
          <w:color w:val="000000"/>
          <w:sz w:val="24"/>
        </w:rPr>
        <w:t>(b) Compound Patent Rights</w:t>
      </w:r>
      <w:r>
        <w:rPr>
          <w:rFonts w:ascii="Times New Roman" w:hAnsi="Times New Roman"/>
          <w:color w:val="000000"/>
          <w:sz w:val="24"/>
        </w:rPr>
        <w:t>. As between the Parties, BioCryst shall have the sole right (but not the obligation), using counsel it selects, to enforce or defend the Compound Patent Rights. BioCryst will be solely responsible for all costs and expenses incurred in connection with such enforcement.</w:t>
      </w:r>
    </w:p>
    <w:p>
      <w:pPr>
        <w:pStyle w:val="TextBody"/>
        <w:bidi w:val="0"/>
        <w:spacing w:before="0" w:after="240"/>
        <w:jc w:val="both"/>
        <w:rPr>
          <w:rFonts w:ascii="Times New Roman" w:hAnsi="Times New Roman"/>
          <w:sz w:val="20"/>
        </w:rPr>
      </w:pPr>
      <w:r>
        <w:rPr>
          <w:rFonts w:ascii="Times New Roman" w:hAnsi="Times New Roman"/>
          <w:b/>
          <w:color w:val="000000"/>
          <w:sz w:val="24"/>
        </w:rPr>
        <w:t>(c) Covered Product Patent Rights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BioCryst shall have the first right but not the obligation, at its own expense, to enforce or defend the Covered Product Patent Rights in the Territory. BioCryst will notify Clearside of its election within [***] ([***]) days after notification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such Covered Product Patent Right infringement or assertion of invalidity or unenforceability pursuant to </w:t>
      </w:r>
      <w:r>
        <w:rPr>
          <w:rFonts w:ascii="Times New Roman" w:hAnsi="Times New Roman"/>
          <w:color w:val="000000"/>
          <w:sz w:val="24"/>
          <w:u w:val="single"/>
        </w:rPr>
        <w:t>Section 6.2(a)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Notification</w:t>
      </w:r>
      <w:r>
        <w:rPr>
          <w:rFonts w:ascii="Times New Roman" w:hAnsi="Times New Roman"/>
          <w:color w:val="000000"/>
          <w:sz w:val="24"/>
        </w:rPr>
        <w:t>). If BioCryst elects not to pursue or defend against such action, Clearside will have the right, but not the obligation, at its own expense, to commence a suit or take action relating to such infringement or defend the validity or enforceability of the Covered Product Patent Rights in any claim, suit, or proceeding in the Territory. The Party not bringing or defending against an action with respect to the Covered Product Patent Right will be entitled to separate representation in such matter by counsel of its own choice and at its own expense, but such Party will at all times cooperate fully with the enforcing or defending Party. Additionally, the Party not bringing or defending against an action under the Covered Product Patent Right may have an opportunity to participate in such action, at its sole cost and expense, to the extent that the Parties may mutually agree at the time the enforcing or defending Party elects to bring or defend against such action hereunder and, whether or not the Party not bringing or defending against the action elects to participate, the Party bringing or defending against the action will provide regular updates on the status of the action to the Party not bringing or defending against the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(d) Joint Patent Rights</w:t>
      </w:r>
      <w:r>
        <w:rPr>
          <w:rFonts w:ascii="Times New Roman" w:hAnsi="Times New Roman"/>
          <w:color w:val="000000"/>
          <w:sz w:val="24"/>
        </w:rPr>
        <w:t xml:space="preserve">. The Parties shall mutually determine whether (i) to take action to obtain a discontinuance of infringement or bring suit against a Third Party infringer or (ii) defend the validity or enforceability in any claim, suit, or proceeding, in each case ((i) and (ii)), of any Joint Patent Rights within [***] ([***]) days (or earlier as required by Applicable Law) from the date of notice,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neither Party shall be obligated to join any such action. In the event that either Party does not want to join an action as a party to such action, then the Party not seeking to enforce or defend against such claims shall have the right to assign the relevant Joint Patent Rights to the other Party,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assignment is solely and sufficient for purposes of commencing or maintaining the action or defense. The Party seeking to enforce or defend against such claims shall solely bear all of its expenses. The Parties will reasonably cooperate, at the expense of the Party seeking to enforce or defend against such claim, in any such suit and shall have the right to consult with the other Party and to participate in and be represented by independent counsel in such litigation at its own expense.</w:t>
      </w:r>
    </w:p>
    <w:p>
      <w:pPr>
        <w:pStyle w:val="TextBody"/>
        <w:bidi w:val="0"/>
        <w:spacing w:before="0" w:after="240"/>
        <w:jc w:val="both"/>
        <w:rPr>
          <w:rFonts w:ascii="Times New Roman" w:hAnsi="Times New Roman"/>
          <w:sz w:val="20"/>
        </w:rPr>
      </w:pPr>
      <w:bookmarkStart w:id="102" w:name="docxtextref109"/>
      <w:bookmarkEnd w:id="102"/>
      <w:r>
        <w:rPr>
          <w:rFonts w:ascii="Times New Roman" w:hAnsi="Times New Roman"/>
          <w:b/>
          <w:color w:val="000000"/>
          <w:sz w:val="24"/>
        </w:rPr>
        <w:t>(e) Clearside Patents Rights and [***]</w:t>
      </w:r>
      <w:r>
        <w:rPr>
          <w:rFonts w:ascii="Times New Roman" w:hAnsi="Times New Roman"/>
          <w:color w:val="000000"/>
          <w:sz w:val="24"/>
        </w:rPr>
        <w:t xml:space="preserve">. Clearside shall have the first right but not the obligation, at its own expense, to enforce or defend (as applicable) the Clearside Patent Rights and [***], including in the Field, in the Territory. Clearside will notify BioCryst of its election within [***] ([***]) days after notification of such Clearside Patent Right or [***] infringement or assertion of invalidity or unenforceability pursuant to </w:t>
      </w:r>
      <w:r>
        <w:rPr>
          <w:rFonts w:ascii="Times New Roman" w:hAnsi="Times New Roman"/>
          <w:color w:val="000000"/>
          <w:sz w:val="24"/>
          <w:u w:val="single"/>
        </w:rPr>
        <w:t>Section 6.2(a)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Notification</w:t>
      </w:r>
      <w:r>
        <w:rPr>
          <w:rFonts w:ascii="Times New Roman" w:hAnsi="Times New Roman"/>
          <w:color w:val="000000"/>
          <w:sz w:val="24"/>
        </w:rPr>
        <w:t>). In the case where Clearside elects not to pursue or defend against such action: (i)</w:t>
      </w:r>
      <w:r>
        <w:rPr>
          <w:rFonts w:ascii="Times New Roman" w:hAnsi="Times New Roman"/>
          <w:color w:val="000000"/>
          <w:sz w:val="20"/>
        </w:rPr>
        <w:t xml:space="preserve"> </w:t>
      </w:r>
      <w:r>
        <w:rPr>
          <w:rFonts w:ascii="Times New Roman" w:hAnsi="Times New Roman"/>
          <w:color w:val="000000"/>
          <w:sz w:val="24"/>
        </w:rPr>
        <w:t xml:space="preserve">if BioCryst is the sole exclusive licensee with respect to such Clearside Patent Rights or [***], BioCryst will have the right, but not the obligation, at its own expense, to commence a suit or take action relating to such infringement or defend the validity or enforceability of such Covered Product Patent Rights in any claim, suit, or proceeding in the Territory; or </w:t>
      </w:r>
      <w:bookmarkStart w:id="103" w:name="docxtextref110"/>
      <w:bookmarkEnd w:id="103"/>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if BioCryst is not the sole exclusive licensee with respect to such Clearside Patent Rights or [***], BioCryst and the other exclusive licensees may negotiate in good faith regarding the commencement of any suit or the taking of any action relating to such infringement or the defense of the validity or enforceability of such Covered Product Patent Rights in any claim, suit, or proceeding in the Territory. The Party not bringing or defending against an action with respect to the Clearside Patent Right or [***] will be entitled to separate representation in such matter by counsel of its own choice and at its own expense, but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Party will at all times cooperate fully with the enforcing or defending Party. Additionally, the Party not bringing or defending against an action under the Clearside Patent Rights or [***] may have an opportunity to participate in such action, at its sole cost and expense, to the extent that the Parties may mutually agree at the time the enforcing or defending Party elects to bring or defend against such action hereunder and, whether or not the Party not bringing or defending against the action elects to participate, the Party bringing or defending against the action will provide regular updates on the status of the action to the Party not bringing or defending against the action. Notwithstanding the foregoing, BioCryst shall have the first right (but not the obligation), at its own expense, to enforce or defend the Clearside Patent Rights [***] to the extent the alleged Clearside Patent Right [***] infringement concerns any kallikrein inhibitor administered or delivered through the use of a device for delivery of therapeutic agents to the eye other than a Clearside Device.</w:t>
      </w:r>
    </w:p>
    <w:p>
      <w:pPr>
        <w:pStyle w:val="TextBody"/>
        <w:bidi w:val="0"/>
        <w:spacing w:before="0" w:after="240"/>
        <w:jc w:val="both"/>
        <w:rPr>
          <w:rFonts w:ascii="Times New Roman" w:hAnsi="Times New Roman"/>
          <w:sz w:val="20"/>
        </w:rPr>
      </w:pPr>
      <w:r>
        <w:rPr>
          <w:rFonts w:ascii="Times New Roman" w:hAnsi="Times New Roman"/>
          <w:b/>
          <w:color w:val="000000"/>
          <w:sz w:val="24"/>
        </w:rPr>
        <w:t>(f) Recovery</w:t>
      </w:r>
      <w:r>
        <w:rPr>
          <w:rFonts w:ascii="Times New Roman" w:hAnsi="Times New Roman"/>
          <w:color w:val="000000"/>
          <w:sz w:val="24"/>
        </w:rPr>
        <w:t xml:space="preserve">. If the enforcing Party recovers monetary damages (whether by way of settlement or otherwise) from any Third Party in a suit or action for infringement of Covered Product Patent Rights pursuant to </w:t>
      </w:r>
      <w:r>
        <w:rPr>
          <w:rFonts w:ascii="Times New Roman" w:hAnsi="Times New Roman"/>
          <w:color w:val="000000"/>
          <w:sz w:val="24"/>
          <w:u w:val="single"/>
        </w:rPr>
        <w:t>Section 6.2(c)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Covered Product Patent Rights</w:t>
      </w:r>
      <w:r>
        <w:rPr>
          <w:rFonts w:ascii="Times New Roman" w:hAnsi="Times New Roman"/>
          <w:color w:val="000000"/>
          <w:sz w:val="24"/>
        </w:rPr>
        <w:t xml:space="preserve">), Joint Patent Rights pursuant to </w:t>
      </w:r>
      <w:r>
        <w:rPr>
          <w:rFonts w:ascii="Times New Roman" w:hAnsi="Times New Roman"/>
          <w:color w:val="000000"/>
          <w:sz w:val="24"/>
          <w:u w:val="single"/>
        </w:rPr>
        <w:t>Section 6.2(d)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Joint Patent Rights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or Clearside Patent Rights or [***] pursuant to </w:t>
      </w:r>
      <w:r>
        <w:rPr>
          <w:rFonts w:ascii="Times New Roman" w:hAnsi="Times New Roman"/>
          <w:color w:val="000000"/>
          <w:sz w:val="24"/>
          <w:u w:val="single"/>
        </w:rPr>
        <w:t>Section 6.2(e)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Clearside Patents and [***]</w:t>
      </w:r>
      <w:r>
        <w:rPr>
          <w:rFonts w:ascii="Times New Roman" w:hAnsi="Times New Roman"/>
          <w:color w:val="000000"/>
          <w:sz w:val="24"/>
        </w:rPr>
        <w:t xml:space="preserve">), such recovery will be allocated first to the repayment of out-of-pocket costs and expenses of the Party(ies) with respect to the action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basis). Any remaining damages after such reimbursement is made shall (i) in the case of the Covered Product Patent Rights pursuant to </w:t>
      </w:r>
      <w:r>
        <w:rPr>
          <w:rFonts w:ascii="Times New Roman" w:hAnsi="Times New Roman"/>
          <w:color w:val="000000"/>
          <w:sz w:val="24"/>
          <w:u w:val="single"/>
        </w:rPr>
        <w:t>Section 6.2(c)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Covered Product Patent Rights</w:t>
      </w:r>
      <w:r>
        <w:rPr>
          <w:rFonts w:ascii="Times New Roman" w:hAnsi="Times New Roman"/>
          <w:color w:val="000000"/>
          <w:sz w:val="24"/>
        </w:rPr>
        <w:t xml:space="preserve">), [***]; (ii) in the case of Joint Patent Rights pursuant to </w:t>
      </w:r>
      <w:r>
        <w:rPr>
          <w:rFonts w:ascii="Times New Roman" w:hAnsi="Times New Roman"/>
          <w:color w:val="000000"/>
          <w:sz w:val="24"/>
          <w:u w:val="single"/>
        </w:rPr>
        <w:t>Section 6.2(d)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Joint Patent Rights</w:t>
      </w:r>
      <w:r>
        <w:rPr>
          <w:rFonts w:ascii="Times New Roman" w:hAnsi="Times New Roman"/>
          <w:color w:val="000000"/>
          <w:sz w:val="24"/>
        </w:rPr>
        <w:t xml:space="preserve">), [***]; and (iii) in the case of the Clearside Patent Rights or [***] pursuant to </w:t>
      </w:r>
      <w:r>
        <w:rPr>
          <w:rFonts w:ascii="Times New Roman" w:hAnsi="Times New Roman"/>
          <w:color w:val="000000"/>
          <w:sz w:val="24"/>
          <w:u w:val="single"/>
        </w:rPr>
        <w:t>Section 6.2(e)</w:t>
      </w:r>
      <w:r>
        <w:rPr>
          <w:rFonts w:ascii="Times New Roman" w:hAnsi="Times New Roman"/>
          <w:color w:val="000000"/>
          <w:sz w:val="24"/>
        </w:rPr>
        <w:t>(</w:t>
      </w:r>
      <w:r>
        <w:rPr>
          <w:rFonts w:ascii="Times New Roman" w:hAnsi="Times New Roman"/>
          <w:i/>
          <w:color w:val="000000"/>
          <w:sz w:val="24"/>
        </w:rPr>
        <w:t>Clearside Patents and [***]</w:t>
      </w:r>
      <w:r>
        <w:rPr>
          <w:rFonts w:ascii="Times New Roman" w:hAnsi="Times New Roman"/>
          <w:color w:val="000000"/>
          <w:sz w:val="24"/>
        </w:rPr>
        <w:t>), [***].</w:t>
      </w:r>
    </w:p>
    <w:p>
      <w:pPr>
        <w:pStyle w:val="TextBody"/>
        <w:bidi w:val="0"/>
        <w:spacing w:before="0" w:after="240"/>
        <w:jc w:val="both"/>
        <w:rPr>
          <w:rFonts w:ascii="Times New Roman" w:hAnsi="Times New Roman"/>
          <w:sz w:val="20"/>
        </w:rPr>
      </w:pPr>
      <w:r>
        <w:rPr>
          <w:rFonts w:ascii="Times New Roman" w:hAnsi="Times New Roman"/>
          <w:b/>
          <w:color w:val="000000"/>
          <w:sz w:val="24"/>
        </w:rPr>
        <w:t>(g) In General; Settlement</w:t>
      </w:r>
      <w:r>
        <w:rPr>
          <w:rFonts w:ascii="Times New Roman" w:hAnsi="Times New Roman"/>
          <w:color w:val="000000"/>
          <w:sz w:val="24"/>
        </w:rPr>
        <w:t xml:space="preserve">. In any action, suit or proceeding instituted under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Enforcement and Defense of Patent Rights</w:t>
      </w:r>
      <w:r>
        <w:rPr>
          <w:rFonts w:ascii="Times New Roman" w:hAnsi="Times New Roman"/>
          <w:color w:val="000000"/>
          <w:sz w:val="24"/>
        </w:rPr>
        <w:t xml:space="preserve">), the Parties will cooperate with and assist each other in all reasonable respects. Upon the reasonable request of the Party initiating or defending against such action, suit or proceeding, the other Party will join such action, suit or proceeding if necessary to establish standing in such action, suit or proceeding, and may be represented using counsel of its own choice, at such initiating or defending Party’s expense, or assign the right to enforce or defend the patents to the Party initiating or defending against such action. Neither Party will have the right to settle any action, suit or proceeding under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Enforcement and Defense of Rights</w:t>
      </w:r>
      <w:r>
        <w:rPr>
          <w:rFonts w:ascii="Times New Roman" w:hAnsi="Times New Roman"/>
          <w:color w:val="000000"/>
          <w:sz w:val="24"/>
        </w:rPr>
        <w:t>) in a manner that admits the invalidity or unenforceability of the other Party’s Patent Rights or imposes on the other Party restrictions or obligations, without the written consent of such other Party (which will not be unreasonably withheld, conditioned, or delayed).</w:t>
      </w:r>
    </w:p>
    <w:p>
      <w:pPr>
        <w:pStyle w:val="TextBody"/>
        <w:bidi w:val="0"/>
        <w:spacing w:before="0" w:after="240"/>
        <w:jc w:val="both"/>
        <w:rPr>
          <w:rFonts w:ascii="Times New Roman" w:hAnsi="Times New Roman"/>
          <w:sz w:val="20"/>
        </w:rPr>
      </w:pPr>
      <w:r>
        <w:rPr>
          <w:rFonts w:ascii="Times New Roman" w:hAnsi="Times New Roman"/>
          <w:b/>
          <w:color w:val="000000"/>
          <w:sz w:val="24"/>
        </w:rPr>
        <w:t>6.3 Defense of Third Party Claims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Notice</w:t>
      </w:r>
      <w:r>
        <w:rPr>
          <w:rFonts w:ascii="Times New Roman" w:hAnsi="Times New Roman"/>
          <w:color w:val="000000"/>
          <w:sz w:val="24"/>
        </w:rPr>
        <w:t>. If a Party becomes aware of any actual or potential claim that the Exploitation of the Covered Product in the Territory infringes or misappropriates the Intellectual Property of any Third Party (a “</w:t>
      </w:r>
      <w:r>
        <w:rPr>
          <w:rFonts w:ascii="Times New Roman" w:hAnsi="Times New Roman"/>
          <w:b/>
          <w:color w:val="000000"/>
          <w:sz w:val="24"/>
        </w:rPr>
        <w:t>Third Party Infringement Claim</w:t>
      </w:r>
      <w:r>
        <w:rPr>
          <w:rFonts w:ascii="Times New Roman" w:hAnsi="Times New Roman"/>
          <w:color w:val="000000"/>
          <w:sz w:val="20"/>
        </w:rPr>
        <w:t>”</w:t>
      </w:r>
      <w:r>
        <w:rPr>
          <w:rFonts w:ascii="Times New Roman" w:hAnsi="Times New Roman"/>
          <w:color w:val="000000"/>
          <w:sz w:val="24"/>
        </w:rPr>
        <w:t>), such Party shall promptly notify the other Party.</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(b) Control of Defense</w:t>
      </w:r>
      <w:r>
        <w:rPr>
          <w:rFonts w:ascii="Times New Roman" w:hAnsi="Times New Roman"/>
          <w:color w:val="000000"/>
          <w:sz w:val="24"/>
        </w:rPr>
        <w:t xml:space="preserve">. Subject to </w:t>
      </w:r>
      <w:r>
        <w:rPr>
          <w:rFonts w:ascii="Times New Roman" w:hAnsi="Times New Roman"/>
          <w:color w:val="000000"/>
          <w:sz w:val="24"/>
          <w:u w:val="single"/>
        </w:rPr>
        <w:t>Article 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Limitation on Liability, Indemnification and Insurance</w:t>
      </w:r>
      <w:r>
        <w:rPr>
          <w:rFonts w:ascii="Times New Roman" w:hAnsi="Times New Roman"/>
          <w:color w:val="000000"/>
          <w:sz w:val="24"/>
        </w:rPr>
        <w:t xml:space="preserve">), BioCryst shall have the first right, but not the obligation, to defend and control the defense of any Third-Party Infringement Claim at its own expense using counsel of its own choice. Clearside may participate in any such Third-Party Infringement Claim with counsel of its choice at its own expense; </w:t>
      </w:r>
      <w:r>
        <w:rPr>
          <w:rFonts w:ascii="Times New Roman" w:hAnsi="Times New Roman"/>
          <w:i/>
          <w:color w:val="000000"/>
          <w:sz w:val="24"/>
        </w:rPr>
        <w:t xml:space="preserve">provided </w:t>
      </w:r>
      <w:r>
        <w:rPr>
          <w:rFonts w:ascii="Times New Roman" w:hAnsi="Times New Roman"/>
          <w:color w:val="000000"/>
          <w:sz w:val="24"/>
        </w:rPr>
        <w:t xml:space="preserve">that BioCryst shall retain control of the defense of such claim, suit, or proceeding. Without limiting the foregoing, if BioCryst finds it necessary or desirable for Clearside to join as a party to any such action, Clearside shall execute all papers and perform such acts as shall be reasonably required. If BioCryst fails to assume such defense within [***] ([***]) months of the first notice under </w:t>
      </w:r>
      <w:r>
        <w:rPr>
          <w:rFonts w:ascii="Times New Roman" w:hAnsi="Times New Roman"/>
          <w:color w:val="000000"/>
          <w:sz w:val="24"/>
          <w:u w:val="single"/>
        </w:rPr>
        <w:t>Section 6.3(a)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w:t>
      </w:r>
      <w:r>
        <w:rPr>
          <w:rFonts w:ascii="Times New Roman" w:hAnsi="Times New Roman"/>
          <w:color w:val="000000"/>
          <w:sz w:val="24"/>
        </w:rPr>
        <w:t xml:space="preserve">) with respect thereto (or such shorter period as may be required to comply with applicable legal or regulatory deadlines which relate to such claim), Clearside shall thereafter have the right (but not the obligation), upon written notice to BioCryst, to defend and dispose of (including through settlement or license) such Third Party Infringement Claim; </w:t>
      </w:r>
      <w:r>
        <w:rPr>
          <w:rFonts w:ascii="Times New Roman" w:hAnsi="Times New Roman"/>
          <w:i/>
          <w:color w:val="000000"/>
          <w:sz w:val="24"/>
        </w:rPr>
        <w:t>provided</w:t>
      </w:r>
      <w:r>
        <w:rPr>
          <w:rFonts w:ascii="Times New Roman" w:hAnsi="Times New Roman"/>
          <w:color w:val="000000"/>
          <w:sz w:val="24"/>
        </w:rPr>
        <w:t xml:space="preserve">, that Clearside may not dispose of such Third Party Infringement Claim without BioCryst’s prior written consent (not to be unreasonably withheld, conditioned, or delayed). In any event, the Parties will reasonably assist each other and cooperate in any such Third Party Infringement Claim at the other Party’s request and expense. Each Party may at its own expense and with its own counsel join any defense initiated or directed by the other Party under this </w:t>
      </w:r>
      <w:r>
        <w:rPr>
          <w:rFonts w:ascii="Times New Roman" w:hAnsi="Times New Roman"/>
          <w:color w:val="000000"/>
          <w:sz w:val="24"/>
          <w:u w:val="single"/>
        </w:rPr>
        <w:t>Section 6.3(b)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Control of Defense</w:t>
      </w:r>
      <w:r>
        <w:rPr>
          <w:rFonts w:ascii="Times New Roman" w:hAnsi="Times New Roman"/>
          <w:color w:val="000000"/>
          <w:sz w:val="24"/>
        </w:rPr>
        <w:t xml:space="preserve">). Each Party will provide the other Party with prompt written notice of the commencement of any such Proceeding under this </w:t>
      </w:r>
      <w:r>
        <w:rPr>
          <w:rFonts w:ascii="Times New Roman" w:hAnsi="Times New Roman"/>
          <w:color w:val="000000"/>
          <w:sz w:val="24"/>
          <w:u w:val="single"/>
        </w:rPr>
        <w:t>Section 6.3(b)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Control of Defense</w:t>
      </w:r>
      <w:r>
        <w:rPr>
          <w:rFonts w:ascii="Times New Roman" w:hAnsi="Times New Roman"/>
          <w:color w:val="000000"/>
          <w:sz w:val="24"/>
        </w:rPr>
        <w:t>), and such Party will promptly furnish the other Party with a copy of each communication relating to the alleged infringement that is received by such Party.</w:t>
      </w:r>
    </w:p>
    <w:p>
      <w:pPr>
        <w:pStyle w:val="TextBody"/>
        <w:bidi w:val="0"/>
        <w:spacing w:before="0" w:after="240"/>
        <w:jc w:val="both"/>
        <w:rPr>
          <w:rFonts w:ascii="Times New Roman" w:hAnsi="Times New Roman"/>
          <w:sz w:val="20"/>
        </w:rPr>
      </w:pPr>
      <w:bookmarkStart w:id="104" w:name="docxtextref115"/>
      <w:bookmarkEnd w:id="104"/>
      <w:r>
        <w:rPr>
          <w:rFonts w:ascii="Times New Roman" w:hAnsi="Times New Roman"/>
          <w:b/>
          <w:color w:val="000000"/>
          <w:sz w:val="24"/>
        </w:rPr>
        <w:t>6.4 Patent Term Extension and Supplementary Protection Certificate</w:t>
      </w:r>
      <w:r>
        <w:rPr>
          <w:rFonts w:ascii="Times New Roman" w:hAnsi="Times New Roman"/>
          <w:color w:val="000000"/>
          <w:sz w:val="24"/>
        </w:rPr>
        <w:t>. (a) BioCryst shall be responsible for making decisions regarding patent term extensions for any Compound Patent Rights and Covered Product Patent Rights, and (b) the Parties will cooperate regarding patent term extensions for any Joint Patent Rights, [“***”] or Clearside Patent Rights, in each case, Covering the Covered Product, in each case of (a) and (b), in the Field and Territory, including the United States with respect to extensions pursuant to 35</w:t>
      </w:r>
      <w:r>
        <w:rPr>
          <w:rFonts w:ascii="Times New Roman" w:hAnsi="Times New Roman"/>
          <w:color w:val="000000"/>
          <w:sz w:val="20"/>
        </w:rPr>
        <w:t xml:space="preserve"> </w:t>
      </w:r>
      <w:r>
        <w:rPr>
          <w:rFonts w:ascii="Times New Roman" w:hAnsi="Times New Roman"/>
          <w:color w:val="000000"/>
          <w:sz w:val="24"/>
        </w:rPr>
        <w:t xml:space="preserve">U.S.C. § 156 </w:t>
      </w:r>
      <w:r>
        <w:rPr>
          <w:rFonts w:ascii="Times New Roman" w:hAnsi="Times New Roman"/>
          <w:i/>
          <w:color w:val="000000"/>
          <w:sz w:val="24"/>
        </w:rPr>
        <w:t>et. seq.</w:t>
      </w:r>
      <w:r>
        <w:rPr>
          <w:rFonts w:ascii="Times New Roman" w:hAnsi="Times New Roman"/>
          <w:color w:val="000000"/>
          <w:sz w:val="20"/>
        </w:rPr>
        <w:t xml:space="preserve"> </w:t>
      </w:r>
      <w:r>
        <w:rPr>
          <w:rFonts w:ascii="Times New Roman" w:hAnsi="Times New Roman"/>
          <w:color w:val="000000"/>
          <w:sz w:val="24"/>
        </w:rPr>
        <w:t>and in other jurisdictions pursuant to supplementary protection certificates, and in all jurisdictions with respect to any other extensions that are now or become available in the future, wherever applicable. In the event that BioCryst or the Parties, as applicable, determine to apply for any patent term extension or supplementary protection certificate for any Compound Patent Right, Covered Product Patent Right, Joint Patent Right, [***] or Clearside Patent Right, in each case Covering the Covered Product in the Field in the Territory, each Party shall provide the other Party with prompt and reasonable assistance, as applicable, as is required under any Applicable Law to obtain such extension or supplementary protection certificate.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6.5 Ownership of Intellectual Property</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05" w:name="docxtextref116"/>
      <w:bookmarkEnd w:id="105"/>
      <w:r>
        <w:rPr>
          <w:rFonts w:ascii="Times New Roman" w:hAnsi="Times New Roman"/>
          <w:b/>
          <w:color w:val="000000"/>
          <w:sz w:val="24"/>
        </w:rPr>
        <w:t>(a) Background IP</w:t>
      </w:r>
      <w:r>
        <w:rPr>
          <w:rFonts w:ascii="Times New Roman" w:hAnsi="Times New Roman"/>
          <w:color w:val="000000"/>
          <w:sz w:val="24"/>
        </w:rPr>
        <w:t>. Subject to the licenses granted by Clearside pursuant to this Agreement, each Party owns and will continue to own all Intellectual Property: (i)</w:t>
      </w:r>
      <w:r>
        <w:rPr>
          <w:rFonts w:ascii="Times New Roman" w:hAnsi="Times New Roman"/>
          <w:color w:val="000000"/>
          <w:sz w:val="20"/>
        </w:rPr>
        <w:t xml:space="preserve"> </w:t>
      </w:r>
      <w:r>
        <w:rPr>
          <w:rFonts w:ascii="Times New Roman" w:hAnsi="Times New Roman"/>
          <w:color w:val="000000"/>
          <w:sz w:val="24"/>
        </w:rPr>
        <w:t xml:space="preserve">owned or Controlled by such Party as of the Effective Date, or </w:t>
      </w:r>
      <w:bookmarkStart w:id="106" w:name="docxtextref117"/>
      <w:bookmarkEnd w:id="106"/>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that are Invented solely by or on behalf of Representatives of such Party or its Affiliates outside the performance of activities under this Agreement. Without limiting the foregoing, BioCryst owns and will continue to own all Intellectual Property that Covers the BioCryst Compound as of the Effective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(b) Foreground IP</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 BioCryst Solely-Owned IP</w:t>
      </w:r>
      <w:r>
        <w:rPr>
          <w:rFonts w:ascii="Times New Roman" w:hAnsi="Times New Roman"/>
          <w:color w:val="000000"/>
          <w:sz w:val="24"/>
        </w:rPr>
        <w:t>. BioCryst shall solely own all Intellectual Property Invented by or on behalf of Representatives of a Party or its Affiliates after the Effective Date in the performance of activities under this Agreement (“</w:t>
      </w:r>
      <w:r>
        <w:rPr>
          <w:rFonts w:ascii="Times New Roman" w:hAnsi="Times New Roman"/>
          <w:b/>
          <w:color w:val="000000"/>
          <w:sz w:val="24"/>
        </w:rPr>
        <w:t>Foreground IP</w:t>
      </w:r>
      <w:r>
        <w:rPr>
          <w:rFonts w:ascii="Times New Roman" w:hAnsi="Times New Roman"/>
          <w:color w:val="000000"/>
          <w:sz w:val="20"/>
        </w:rPr>
        <w:t>”</w:t>
      </w:r>
      <w:r>
        <w:rPr>
          <w:rFonts w:ascii="Times New Roman" w:hAnsi="Times New Roman"/>
          <w:color w:val="000000"/>
          <w:sz w:val="24"/>
        </w:rPr>
        <w:t>) that relates solely to [***].</w:t>
      </w:r>
    </w:p>
    <w:p>
      <w:pPr>
        <w:pStyle w:val="TextBody"/>
        <w:bidi w:val="0"/>
        <w:spacing w:before="0" w:after="240"/>
        <w:jc w:val="both"/>
        <w:rPr>
          <w:rFonts w:ascii="Times New Roman" w:hAnsi="Times New Roman"/>
          <w:sz w:val="20"/>
        </w:rPr>
      </w:pPr>
      <w:r>
        <w:rPr>
          <w:rFonts w:ascii="Times New Roman" w:hAnsi="Times New Roman"/>
          <w:b/>
          <w:color w:val="000000"/>
          <w:sz w:val="24"/>
        </w:rPr>
        <w:t>(ii) Clearside Solely-Owned IP</w:t>
      </w:r>
      <w:r>
        <w:rPr>
          <w:rFonts w:ascii="Times New Roman" w:hAnsi="Times New Roman"/>
          <w:color w:val="000000"/>
          <w:sz w:val="24"/>
        </w:rPr>
        <w:t>. Clearside shall solely own all Foreground IP that (A) is not Covered Product IP or Compound IP, and (B) is related to the use of a Clearside Device alone or in combination with any substance other than the BioCryst Compound for use in the Field (“</w:t>
      </w:r>
      <w:r>
        <w:rPr>
          <w:rFonts w:ascii="Times New Roman" w:hAnsi="Times New Roman"/>
          <w:b/>
          <w:color w:val="000000"/>
          <w:sz w:val="24"/>
        </w:rPr>
        <w:t>Clearside Inventions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(iii) Jointly-Owned IP</w:t>
      </w:r>
      <w:r>
        <w:rPr>
          <w:rFonts w:ascii="Times New Roman" w:hAnsi="Times New Roman"/>
          <w:color w:val="000000"/>
          <w:sz w:val="24"/>
        </w:rPr>
        <w:t>. The Parties shall jointly own all Foreground IP that is not Covered Product IP, Compound IP or Clearside IP (“</w:t>
      </w:r>
      <w:r>
        <w:rPr>
          <w:rFonts w:ascii="Times New Roman" w:hAnsi="Times New Roman"/>
          <w:b/>
          <w:color w:val="000000"/>
          <w:sz w:val="24"/>
        </w:rPr>
        <w:t>Joint Inventions</w:t>
      </w:r>
      <w:r>
        <w:rPr>
          <w:rFonts w:ascii="Times New Roman" w:hAnsi="Times New Roman"/>
          <w:color w:val="000000"/>
          <w:sz w:val="20"/>
        </w:rPr>
        <w:t>”</w:t>
      </w:r>
      <w:r>
        <w:rPr>
          <w:rFonts w:ascii="Times New Roman" w:hAnsi="Times New Roman"/>
          <w:color w:val="000000"/>
          <w:sz w:val="24"/>
        </w:rPr>
        <w:t>). With respect to Exploitation of Joint Inventions outside the scope of the license granted hereunder, the Parties shall (A) first, negotiate in good faith for one or both Parties to obtain ownership or an exclusive license to the other Party’s interest in all or a portion of such Joint Invention and (B) subject to any transaction contemplated by the foregoing clause (A), neither Party shall be permitted to sublicense such Joint Invention without the other Party’s prior written consent, not to be unreasonably withheld. For the avoidance of doubt, the BioCryst Patent Application shall be deemed a Covered Product Patent Right hereunder and owned solely by BioCryst.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(iv) Further Assurances</w:t>
      </w:r>
      <w:r>
        <w:rPr>
          <w:rFonts w:ascii="Times New Roman" w:hAnsi="Times New Roman"/>
          <w:color w:val="000000"/>
          <w:sz w:val="24"/>
        </w:rPr>
        <w:t>. Each Party agrees to execute any and all further instruments, forms of assignment or other documents, and take such further actions, as the other may reasonably request, in order to give effect to these ownership provisions in connection with Covered Product IP, Compound IP, Clearside IP, [***] and Joint IP. If a Clearside Patent Right [***] issues that would otherwise constitute a Covered Product Patent Right, Clearside shall assign its right, title and interest in and to (or, if unable to do so, shall exclusively license (or sublicense, as applicable)) such Clearside Patent Right or [***] to BioCryst and, for purposes of this Agreement thereafter, such assigned Clearside Patent Right or [***] shall be deemed a Covered Product Patent Right.</w:t>
      </w:r>
    </w:p>
    <w:p>
      <w:pPr>
        <w:pStyle w:val="TextBody"/>
        <w:bidi w:val="0"/>
        <w:spacing w:before="0" w:after="240"/>
        <w:jc w:val="both"/>
        <w:rPr>
          <w:rFonts w:ascii="Times New Roman" w:hAnsi="Times New Roman"/>
          <w:sz w:val="20"/>
        </w:rPr>
      </w:pPr>
      <w:r>
        <w:rPr>
          <w:rFonts w:ascii="Times New Roman" w:hAnsi="Times New Roman"/>
          <w:b/>
          <w:color w:val="000000"/>
          <w:sz w:val="24"/>
        </w:rPr>
        <w:t>6.6 Patent Listings</w:t>
      </w:r>
      <w:r>
        <w:rPr>
          <w:rFonts w:ascii="Times New Roman" w:hAnsi="Times New Roman"/>
          <w:color w:val="000000"/>
          <w:sz w:val="24"/>
        </w:rPr>
        <w:t>. BioCryst shall have the sole right to make all filings with Regulatory Authorities in the Territory with respect to Compound IP, Covered Product IP, Clearside Patent Rights (solely to the extent such Clearside Patent Rights contain one or more Valid Claims Covering the Covered Product), [***] and Joint Patent Rights (solely to the extent such Joint Patent Rights contain one or more Valid Claims Covering the Covered Product), as required or allowed (a) in the United States, in the FDA’s Orange Book (titled “Approved Drug Products With Therapeutic Equivalence Evaluations”), and (b) outside the United States, under the national</w:t>
      </w:r>
      <w:r>
        <w:rPr>
          <w:rFonts w:ascii="Times New Roman" w:hAnsi="Times New Roman"/>
          <w:color w:val="000000"/>
          <w:sz w:val="20"/>
        </w:rPr>
        <w:t xml:space="preserve"> </w:t>
      </w:r>
      <w:r>
        <w:rPr>
          <w:rFonts w:ascii="Times New Roman" w:hAnsi="Times New Roman"/>
          <w:color w:val="000000"/>
          <w:sz w:val="24"/>
        </w:rPr>
        <w:t>implementations of Article 10.1(a)(iii) of Directive 2001/EC/83 or other international equivalents. Clearside shall (i) provide to BioCryst all information, including a correct and complete list of Clearside Patent Rights, [***] or Joint Patent Rights containing one or more Valid Claims Covering the Covered Product or otherwise necessary or reasonably useful to enable BioCryst to make such filings with Regulatory Authorities in the Territory with respect to such Patent Rights, and (ii) cooperate with BioCryst’s reasonable requests in connection therewith,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including meeting any submission deadlines, in each case ((i) and (ii)), to the extent required or permitted by Applicable Law.</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7</w:t>
      </w:r>
      <w:r>
        <w:rPr>
          <w:rFonts w:ascii="Times New Roman" w:hAnsi="Times New Roman"/>
          <w:caps/>
          <w:color w:val="000000"/>
          <w:sz w:val="24"/>
        </w:rPr>
        <w:br/>
      </w:r>
      <w:r>
        <w:rPr>
          <w:rFonts w:ascii="Times New Roman" w:hAnsi="Times New Roman"/>
          <w:b/>
          <w:caps/>
          <w:color w:val="000000"/>
          <w:sz w:val="24"/>
        </w:rPr>
        <w:t>CONFIDENTIALITY</w:t>
      </w:r>
    </w:p>
    <w:p>
      <w:pPr>
        <w:pStyle w:val="TextBody"/>
        <w:bidi w:val="0"/>
        <w:spacing w:before="0" w:after="240"/>
        <w:jc w:val="both"/>
        <w:rPr>
          <w:rFonts w:ascii="Times New Roman" w:hAnsi="Times New Roman"/>
          <w:sz w:val="20"/>
        </w:rPr>
      </w:pPr>
      <w:r>
        <w:rPr>
          <w:rFonts w:ascii="Times New Roman" w:hAnsi="Times New Roman"/>
          <w:b/>
          <w:color w:val="000000"/>
          <w:sz w:val="24"/>
        </w:rPr>
        <w:t>7.1 Protection of Confidential Information</w:t>
      </w:r>
      <w:r>
        <w:rPr>
          <w:rFonts w:ascii="Times New Roman" w:hAnsi="Times New Roman"/>
          <w:color w:val="000000"/>
          <w:sz w:val="24"/>
        </w:rPr>
        <w:t>. Except to the extent expressly authorized by this Agreement, the Parties agree that each Party (the “</w:t>
      </w:r>
      <w:r>
        <w:rPr>
          <w:rFonts w:ascii="Times New Roman" w:hAnsi="Times New Roman"/>
          <w:b/>
          <w:color w:val="000000"/>
          <w:sz w:val="24"/>
        </w:rPr>
        <w:t>Receiving Party</w:t>
      </w:r>
      <w:r>
        <w:rPr>
          <w:rFonts w:ascii="Times New Roman" w:hAnsi="Times New Roman"/>
          <w:color w:val="000000"/>
          <w:sz w:val="20"/>
        </w:rPr>
        <w:t>”</w:t>
      </w:r>
      <w:r>
        <w:rPr>
          <w:rFonts w:ascii="Times New Roman" w:hAnsi="Times New Roman"/>
          <w:color w:val="000000"/>
          <w:sz w:val="24"/>
        </w:rPr>
        <w:t>) receiving any Confidential Information of the other Party (the “</w:t>
      </w:r>
      <w:r>
        <w:rPr>
          <w:rFonts w:ascii="Times New Roman" w:hAnsi="Times New Roman"/>
          <w:b/>
          <w:color w:val="000000"/>
          <w:sz w:val="24"/>
        </w:rPr>
        <w:t>Disclosing Party</w:t>
      </w:r>
      <w:r>
        <w:rPr>
          <w:rFonts w:ascii="Times New Roman" w:hAnsi="Times New Roman"/>
          <w:color w:val="000000"/>
          <w:sz w:val="20"/>
        </w:rPr>
        <w:t>”</w:t>
      </w:r>
      <w:r>
        <w:rPr>
          <w:rFonts w:ascii="Times New Roman" w:hAnsi="Times New Roman"/>
          <w:color w:val="000000"/>
          <w:sz w:val="24"/>
        </w:rPr>
        <w:t xml:space="preserve">) will not disclose or disseminate Confidential Information of the Disclosing Party to any Third Party unless expressly permitted hereunder, and will not use such Confidential Information for any purpose other than in performing the Receiving Party’s obligations or exercising the Receiving Party’s rights hereunder. In addition, the Receiving Party will take reasonable steps to protect the Confidential Information of the Disclosing Party from unauthorized use or disclosure, which steps will be no less than those the Receiving Party takes to protect its own confidential or proprietary material of a similar nature. The foregoing obligations will apply equally to all copies, extracts and summaries of the Disclosing Party’s Confidential Information. The obligations in this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Protection of Confidential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 be in full force during the Term and for a period of [***] ([***]) years thereafter.</w:t>
      </w:r>
    </w:p>
    <w:p>
      <w:pPr>
        <w:pStyle w:val="TextBody"/>
        <w:bidi w:val="0"/>
        <w:spacing w:before="0" w:after="240"/>
        <w:jc w:val="both"/>
        <w:rPr>
          <w:rFonts w:ascii="Times New Roman" w:hAnsi="Times New Roman"/>
          <w:sz w:val="20"/>
        </w:rPr>
      </w:pPr>
      <w:r>
        <w:rPr>
          <w:rFonts w:ascii="Times New Roman" w:hAnsi="Times New Roman"/>
          <w:b/>
          <w:color w:val="000000"/>
          <w:sz w:val="24"/>
        </w:rPr>
        <w:t>7.2 Certain Permitted Disclosures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Disclosure of Confidential Information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(i) Disclosure to Representatives</w:t>
      </w:r>
      <w:r>
        <w:rPr>
          <w:rFonts w:ascii="Times New Roman" w:hAnsi="Times New Roman"/>
          <w:color w:val="000000"/>
          <w:sz w:val="24"/>
        </w:rPr>
        <w:t xml:space="preserve">. Notwithstanding the foregoing and subject to </w:t>
      </w:r>
      <w:r>
        <w:rPr>
          <w:rFonts w:ascii="Times New Roman" w:hAnsi="Times New Roman"/>
          <w:color w:val="000000"/>
          <w:sz w:val="24"/>
          <w:u w:val="single"/>
        </w:rPr>
        <w:t>Section 7.2(a)(ii)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Disclosures under Applicable Law</w:t>
      </w:r>
      <w:r>
        <w:rPr>
          <w:rFonts w:ascii="Times New Roman" w:hAnsi="Times New Roman"/>
          <w:color w:val="000000"/>
          <w:sz w:val="24"/>
        </w:rPr>
        <w:t>), the Receiving Party may disclose Confidential Information of the Disclosing Party to officers, directors, employees, consultants, subcontractors, contractors, or agents of the Receiving Party or its Affiliates or, in the case of BioCryst, its Sublicensees and Distributors, advisory board members and collaboration and financial partners (collectively, “</w:t>
      </w:r>
      <w:r>
        <w:rPr>
          <w:rFonts w:ascii="Times New Roman" w:hAnsi="Times New Roman"/>
          <w:b/>
          <w:color w:val="000000"/>
          <w:sz w:val="24"/>
        </w:rPr>
        <w:t>Representatives</w:t>
      </w:r>
      <w:r>
        <w:rPr>
          <w:rFonts w:ascii="Times New Roman" w:hAnsi="Times New Roman"/>
          <w:color w:val="000000"/>
          <w:sz w:val="20"/>
        </w:rPr>
        <w:t>”</w:t>
      </w:r>
      <w:r>
        <w:rPr>
          <w:rFonts w:ascii="Times New Roman" w:hAnsi="Times New Roman"/>
          <w:color w:val="000000"/>
          <w:sz w:val="24"/>
        </w:rPr>
        <w:t xml:space="preserve">) who have a need to know such Confidential Information in connection with the performance of the Receiving Party’s obligations or the exercise of the Receiving Party’s rights under this Agreement; provided that such Representative is bound by a confidentiality agreement with such Receiving Party that contains terms substantially similar to this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(ii) Disclosures under Applicable Law</w:t>
      </w:r>
      <w:r>
        <w:rPr>
          <w:rFonts w:ascii="Times New Roman" w:hAnsi="Times New Roman"/>
          <w:color w:val="000000"/>
          <w:sz w:val="24"/>
        </w:rPr>
        <w:t>. Notwithstanding the foregoing, each Party may disclose Confidential Information of the other Party to a Third Party to the extent such disclosure is reasonably necessary to Prosecute and Maintain Patent Rights (consistent with all other limitations set forth in this Agreement), prepare submissions to Regulatory Authorities, prosecute or defend litigation, comply with Applicable Law or submit information to Governmental Authorities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Third Party, if not a governmental entity, enters into a confidentiality agreement with such Party that contains terms no less restrictive than this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 xml:space="preserve">)), or to the extent necessary to pursue a legal proceeding pursuant to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 xml:space="preserve">(Audit Dispute), </w:t>
      </w:r>
      <w:r>
        <w:rPr>
          <w:rFonts w:ascii="Times New Roman" w:hAnsi="Times New Roman"/>
          <w:color w:val="000000"/>
          <w:sz w:val="24"/>
          <w:u w:val="single"/>
        </w:rPr>
        <w:t>Section 9.2(e)</w:t>
      </w:r>
      <w:r>
        <w:rPr>
          <w:rFonts w:ascii="Times New Roman" w:hAnsi="Times New Roman"/>
          <w:color w:val="000000"/>
          <w:sz w:val="20"/>
        </w:rPr>
        <w:t xml:space="preserve"> </w:t>
      </w:r>
      <w:r>
        <w:rPr>
          <w:rFonts w:ascii="Times New Roman" w:hAnsi="Times New Roman"/>
          <w:color w:val="000000"/>
          <w:sz w:val="24"/>
        </w:rPr>
        <w:t xml:space="preserve">(Alternative Remedy) or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 (including a proceeding to enforce or challenge an arbitration award);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if a Party intends to make any such disclosure of the Disclosing Party’s Confidential Information, to the extent it may legally do so it will give reasonable advance notice to the Disclosing Party of such disclosure to permit the Disclosing Party to use its reasonable endeavors to secure confidential treatment of such Confidential Information prior to disclosure (whether through protective orders or otherwise).</w:t>
      </w:r>
    </w:p>
    <w:p>
      <w:pPr>
        <w:pStyle w:val="TextBody"/>
        <w:bidi w:val="0"/>
        <w:spacing w:before="0" w:after="240"/>
        <w:jc w:val="both"/>
        <w:rPr>
          <w:rFonts w:ascii="Times New Roman" w:hAnsi="Times New Roman"/>
          <w:sz w:val="20"/>
        </w:rPr>
      </w:pPr>
      <w:bookmarkStart w:id="107" w:name="docxtextref121"/>
      <w:bookmarkEnd w:id="107"/>
      <w:r>
        <w:rPr>
          <w:rFonts w:ascii="Times New Roman" w:hAnsi="Times New Roman"/>
          <w:b/>
          <w:color w:val="000000"/>
          <w:sz w:val="24"/>
        </w:rPr>
        <w:t>(b) Disclosure of Agreement Terms to Certain Third Parties</w:t>
      </w:r>
      <w:r>
        <w:rPr>
          <w:rFonts w:ascii="Times New Roman" w:hAnsi="Times New Roman"/>
          <w:color w:val="000000"/>
          <w:sz w:val="24"/>
        </w:rPr>
        <w:t>. The Parties may disclose only the terms or conditions of this Agreement (but not any Confidential Information of the other Party) on a need-to-know basis: (i)</w:t>
      </w:r>
      <w:r>
        <w:rPr>
          <w:rFonts w:ascii="Times New Roman" w:hAnsi="Times New Roman"/>
          <w:color w:val="000000"/>
          <w:sz w:val="20"/>
        </w:rPr>
        <w:t xml:space="preserve"> </w:t>
      </w:r>
      <w:r>
        <w:rPr>
          <w:rFonts w:ascii="Times New Roman" w:hAnsi="Times New Roman"/>
          <w:color w:val="000000"/>
          <w:sz w:val="24"/>
        </w:rPr>
        <w:t xml:space="preserve">to its legal and financial advisors to the extent such disclosure is reasonably necessary in connection with such Party’s activities as expressly permitted by this Agreement; and </w:t>
      </w:r>
      <w:bookmarkStart w:id="108" w:name="docxtextref122"/>
      <w:bookmarkEnd w:id="108"/>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to a Third Party in connection with </w:t>
      </w:r>
      <w:bookmarkStart w:id="109" w:name="docxtextref123"/>
      <w:bookmarkEnd w:id="109"/>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an actual or potential equity investment in or by, or underwriting by, such Third Party, (B) an actual or potential merger, consolidation or similar transaction involving such Third Party, (C) the sale or potential sale of all or substantially all of the assets of the Party or substantially all of the assets related to this Agreement to such Third Party or (D) a potential or actual sublicensee hereunder; provided that such Party will make such disclosure only under appropriate conditions of confidentiality by the Third Party of confidentiality and non-use at least equivalent in scope to those set forth in this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7.3 Securities Law Filings and Other Disclosures</w:t>
      </w:r>
      <w:r>
        <w:rPr>
          <w:rFonts w:ascii="Times New Roman" w:hAnsi="Times New Roman"/>
          <w:color w:val="000000"/>
          <w:sz w:val="24"/>
        </w:rPr>
        <w:t xml:space="preserve">. Notwithstanding any provision of this Agreement to the contrary, either Party may disclose the terms of this Agreement to the extent required, in the advice of such Party’s legal counsel, to comply with Applicable Law, including the rules and regulations promulgated by the SEC, AMF or any equivalent Governmental Authority in any country, or the rules of any stock exchange in which a Party is listed. Notwithstanding the foregoing, before disclosing this Agreement or any of the terms hereof pursuant to this </w:t>
      </w:r>
      <w:r>
        <w:rPr>
          <w:rFonts w:ascii="Times New Roman" w:hAnsi="Times New Roman"/>
          <w:color w:val="000000"/>
          <w:sz w:val="24"/>
          <w:u w:val="single"/>
        </w:rPr>
        <w:t>Section 7.3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Securities Law Filings and Other Disclosures</w:t>
      </w:r>
      <w:r>
        <w:rPr>
          <w:rFonts w:ascii="Times New Roman" w:hAnsi="Times New Roman"/>
          <w:color w:val="000000"/>
          <w:sz w:val="24"/>
        </w:rPr>
        <w:t xml:space="preserve">), the Parties will consult with one another on the terms of this Agreement to be redacted in making any such disclosure, with the filing Party giving due consideration to the other Party’s input. Further, if a Party discloses this Agreement or any of the terms hereof in accordance with this </w:t>
      </w:r>
      <w:r>
        <w:rPr>
          <w:rFonts w:ascii="Times New Roman" w:hAnsi="Times New Roman"/>
          <w:color w:val="000000"/>
          <w:sz w:val="24"/>
          <w:u w:val="single"/>
        </w:rPr>
        <w:t>Section 7.3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Securities Law Filings and Other Disclosures</w:t>
      </w:r>
      <w:r>
        <w:rPr>
          <w:rFonts w:ascii="Times New Roman" w:hAnsi="Times New Roman"/>
          <w:color w:val="000000"/>
          <w:sz w:val="24"/>
        </w:rPr>
        <w:t xml:space="preserve">), such Party will, at its own expense, maintain as confidential the portions of this Agreement and such other terms as may be reasonably requested by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Parties agree that the financial terms in this Agreement must be redacted from any public disclosure except to the extent they have been previously disclosed in a press release or other publication pursuant to the Parties’ mutual agreement.</w:t>
      </w:r>
    </w:p>
    <w:p>
      <w:pPr>
        <w:pStyle w:val="TextBody"/>
        <w:bidi w:val="0"/>
        <w:spacing w:before="0" w:after="240"/>
        <w:jc w:val="both"/>
        <w:rPr>
          <w:rFonts w:ascii="Times New Roman" w:hAnsi="Times New Roman"/>
          <w:sz w:val="20"/>
        </w:rPr>
      </w:pPr>
      <w:r>
        <w:rPr>
          <w:rFonts w:ascii="Times New Roman" w:hAnsi="Times New Roman"/>
          <w:b/>
          <w:color w:val="000000"/>
          <w:sz w:val="24"/>
        </w:rPr>
        <w:t>7.4 Publications</w:t>
      </w:r>
      <w:r>
        <w:rPr>
          <w:rFonts w:ascii="Times New Roman" w:hAnsi="Times New Roman"/>
          <w:color w:val="000000"/>
          <w:sz w:val="24"/>
        </w:rPr>
        <w:t>. During the Term, BioCryst will have the sole right to publish and make scientific presentations with respect to the Covered Product. BioCryst shall submit all such intended publications or presentations to Clearside at least [***] ([***]) days prior to any submission or other public disclosure. Clearside shall have [***] ([***]) days in which to review such proposed publication or presentation, and BioCryst shall consider Clearside’s comments in good faith with respect to such publication or presentation. Clearside shall have the right to remove any of its Confidential Information prior to submission for publication or presentation. If Clearside fails to notify BioCryst during the [***] ([***]) day period set forth above, BioCryst may proceed with the proposed publication or presentation. Each Party agrees to acknowledge the contributions of the other Party and its employees in all publications as scientifically appropriate.</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110" w:name="docxtextref124"/>
      <w:bookmarkEnd w:id="110"/>
      <w:r>
        <w:rPr>
          <w:rFonts w:ascii="Times New Roman" w:hAnsi="Times New Roman"/>
          <w:b/>
          <w:color w:val="000000"/>
          <w:sz w:val="24"/>
        </w:rPr>
        <w:t>7.5 Public Announcements</w:t>
      </w:r>
      <w:r>
        <w:rPr>
          <w:rFonts w:ascii="Times New Roman" w:hAnsi="Times New Roman"/>
          <w:color w:val="000000"/>
          <w:sz w:val="24"/>
        </w:rPr>
        <w:t>. The Parties will agree upon the content of one (1)</w:t>
      </w:r>
      <w:r>
        <w:rPr>
          <w:rFonts w:ascii="Times New Roman" w:hAnsi="Times New Roman"/>
          <w:color w:val="000000"/>
          <w:sz w:val="20"/>
        </w:rPr>
        <w:t xml:space="preserve"> </w:t>
      </w:r>
      <w:r>
        <w:rPr>
          <w:rFonts w:ascii="Times New Roman" w:hAnsi="Times New Roman"/>
          <w:color w:val="000000"/>
          <w:sz w:val="24"/>
        </w:rPr>
        <w:t xml:space="preserve">or more press releases, the release of which the Parties will coordinate after the Effective Date. Except as may be expressly permitted under </w:t>
      </w:r>
      <w:r>
        <w:rPr>
          <w:rFonts w:ascii="Times New Roman" w:hAnsi="Times New Roman"/>
          <w:color w:val="000000"/>
          <w:sz w:val="24"/>
          <w:u w:val="single"/>
        </w:rPr>
        <w:t>Section 7.3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Securities Law Filings and Other Disclosures</w:t>
      </w:r>
      <w:r>
        <w:rPr>
          <w:rFonts w:ascii="Times New Roman" w:hAnsi="Times New Roman"/>
          <w:color w:val="000000"/>
          <w:sz w:val="24"/>
        </w:rPr>
        <w:t xml:space="preserve">), neither Party will make any other public announcement regarding this Agreement without the prior written approval of the other Party. Notwithstanding the foregoing, BioCryst and its Affiliates and its and their Distributors and Sublicensees will have the right to publicly disclose research, development and commercial information (including with respect to regulatory matters) regarding the Covered Product; </w:t>
      </w:r>
      <w:r>
        <w:rPr>
          <w:rFonts w:ascii="Times New Roman" w:hAnsi="Times New Roman"/>
          <w:i/>
          <w:color w:val="000000"/>
          <w:sz w:val="24"/>
        </w:rPr>
        <w:t>provided</w:t>
      </w:r>
      <w:r>
        <w:rPr>
          <w:rFonts w:ascii="Times New Roman" w:hAnsi="Times New Roman"/>
          <w:color w:val="000000"/>
          <w:sz w:val="24"/>
        </w:rPr>
        <w:t xml:space="preserve">, that such disclosure: </w:t>
      </w:r>
      <w:bookmarkStart w:id="111" w:name="docxtextref125"/>
      <w:bookmarkEnd w:id="111"/>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does not contain non-public or Confidential Information related to any Clearside Device; and </w:t>
      </w:r>
      <w:bookmarkStart w:id="112" w:name="docxtextref126"/>
      <w:bookmarkEnd w:id="112"/>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does not contain any claims relating to the use of any Clearside Device in a manner that is contrary to, or would not reasonably be expected have an adverse effect on, any Regulatory Approval held by Clearside related to any Clearside Device. For the sake of clarity, nothing in this Agreement will prevent either Party from making any public disclosure relating to this Agreement or any Clearside Device if the contents of such public disclosure have previously been made public other than through a breach of this Agreement by the issuing Party or its Affiliates.</w:t>
      </w:r>
    </w:p>
    <w:p>
      <w:pPr>
        <w:pStyle w:val="TextBody"/>
        <w:bidi w:val="0"/>
        <w:spacing w:before="0" w:after="240"/>
        <w:jc w:val="both"/>
        <w:rPr>
          <w:rFonts w:ascii="Times New Roman" w:hAnsi="Times New Roman"/>
          <w:sz w:val="20"/>
        </w:rPr>
      </w:pPr>
      <w:r>
        <w:rPr>
          <w:rFonts w:ascii="Times New Roman" w:hAnsi="Times New Roman"/>
          <w:b/>
          <w:color w:val="000000"/>
          <w:sz w:val="24"/>
        </w:rPr>
        <w:t>7.6 Return of Confidential Information</w:t>
      </w:r>
      <w:r>
        <w:rPr>
          <w:rFonts w:ascii="Times New Roman" w:hAnsi="Times New Roman"/>
          <w:color w:val="000000"/>
          <w:sz w:val="24"/>
        </w:rPr>
        <w:t>. Upon expiration or termination of this Agreement, the Receiving Party will promptly return all of the Disclosing Party’s Confidential Information, including all copies thereof in any medium, except that the Receiving Party may retain one archival copy for its legal files for record keeping purposes only. The Receiving Party will also be permitted to retain such additional copies of or any computer records or files containing the Disclosing Party’s Confidential Information that have been created solely by automatic archiving and back-up procedures, to the extent created and retained in a manner consistent with the Receiving Party’s standard archiving and back-up procedures, but not for any other use or purpose.</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8</w:t>
      </w:r>
      <w:r>
        <w:rPr>
          <w:rFonts w:ascii="Times New Roman" w:hAnsi="Times New Roman"/>
          <w:caps/>
          <w:color w:val="000000"/>
          <w:sz w:val="24"/>
        </w:rPr>
        <w:br/>
      </w:r>
      <w:r>
        <w:rPr>
          <w:rFonts w:ascii="Times New Roman" w:hAnsi="Times New Roman"/>
          <w:b/>
          <w:caps/>
          <w:color w:val="000000"/>
          <w:sz w:val="24"/>
        </w:rPr>
        <w:t>REPRESENTATIONS AND WARRANTIES</w:t>
      </w:r>
    </w:p>
    <w:p>
      <w:pPr>
        <w:pStyle w:val="TextBody"/>
        <w:bidi w:val="0"/>
        <w:spacing w:before="0" w:after="240"/>
        <w:jc w:val="both"/>
        <w:rPr>
          <w:rFonts w:ascii="Times New Roman" w:hAnsi="Times New Roman"/>
          <w:sz w:val="20"/>
        </w:rPr>
      </w:pPr>
      <w:r>
        <w:rPr>
          <w:rFonts w:ascii="Times New Roman" w:hAnsi="Times New Roman"/>
          <w:b/>
          <w:color w:val="000000"/>
          <w:sz w:val="24"/>
        </w:rPr>
        <w:t>8.1 Mutual Representations and Warranties</w:t>
      </w:r>
      <w:r>
        <w:rPr>
          <w:rFonts w:ascii="Times New Roman" w:hAnsi="Times New Roman"/>
          <w:color w:val="000000"/>
          <w:sz w:val="24"/>
        </w:rPr>
        <w:t>. Each of Clearside and BioCryst hereby represents and warrants to the other Party that as of the Effective Date: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it is duly organized, validly existing and in good standing under the laws of the jurisdiction of its organization;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it has the power and authority to execute and deliver this Agreement and to perform its obligations hereunder;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this Agreement has been duly executed and is a legal, valid and binding obligation on each Party, enforceable against such Party in accordance with its terms; and</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 </w:t>
      </w:r>
      <w:r>
        <w:rPr>
          <w:rFonts w:ascii="Times New Roman" w:hAnsi="Times New Roman"/>
          <w:color w:val="000000"/>
          <w:sz w:val="24"/>
        </w:rPr>
        <w:t>the execution, delivery and performance by such Party of this Agreement and its compliance with the terms and provisions hereof does not and will not conflict with or result in a breach of or default under any binding obligation existing as of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8.2 Representations and Warranties of Clearside</w:t>
      </w:r>
      <w:r>
        <w:rPr>
          <w:rFonts w:ascii="Times New Roman" w:hAnsi="Times New Roman"/>
          <w:color w:val="000000"/>
          <w:sz w:val="24"/>
        </w:rPr>
        <w:t>. Clearside hereby represents and warrants to BioCryst that (i) as of the Effective Date, [***] except as otherwise disclosed to BioCryst in a written disclosure letter: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(f) </w:t>
      </w:r>
      <w:r>
        <w:rPr>
          <w:rFonts w:ascii="Times New Roman" w:hAnsi="Times New Roman"/>
          <w:color w:val="000000"/>
          <w:sz w:val="24"/>
        </w:rPr>
        <w:t>except as expressly set forth [***], the Clearside Technology was not and will not be funded by the U.S. federal government or otherwise subject to any rights of the U.S. federal government under the Bayh-Dole Act;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(g) </w:t>
      </w:r>
      <w:r>
        <w:rPr>
          <w:rFonts w:ascii="Times New Roman" w:hAnsi="Times New Roman"/>
          <w:color w:val="000000"/>
          <w:sz w:val="24"/>
        </w:rPr>
        <w:t>other than [***], there are no agreements pursuant to which Clearside has been granted any rights in, to or under the Clearside Technology;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(h) </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13" w:name="docxtextref133"/>
      <w:bookmarkEnd w:id="113"/>
      <w:r>
        <w:rPr>
          <w:rFonts w:ascii="Times New Roman" w:hAnsi="Times New Roman"/>
          <w:b/>
          <w:color w:val="000000"/>
          <w:sz w:val="24"/>
        </w:rPr>
        <w:t xml:space="preserve">(i) </w:t>
      </w:r>
      <w:r>
        <w:rPr>
          <w:rFonts w:ascii="Times New Roman" w:hAnsi="Times New Roman"/>
          <w:color w:val="000000"/>
          <w:sz w:val="24"/>
        </w:rPr>
        <w:t>to Clearside’s Knowledge, after consultation with employees of Clearside having responsibility for or involvement in patent matters: (i) Clearside and its Affiliates [***], as applicable, has complied with all applicable disclosure requirements of the United States Patent and Trademark Office or any analogous foreign Governmental Authority, in connection with the Prosecution and Maintenance of the Clearside Patent Rights existing as of the Effective Date; (ii)</w:t>
      </w:r>
      <w:r>
        <w:rPr>
          <w:rFonts w:ascii="Times New Roman" w:hAnsi="Times New Roman"/>
          <w:color w:val="000000"/>
          <w:sz w:val="20"/>
        </w:rPr>
        <w:t xml:space="preserve"> </w:t>
      </w:r>
      <w:r>
        <w:rPr>
          <w:rFonts w:ascii="Times New Roman" w:hAnsi="Times New Roman"/>
          <w:color w:val="000000"/>
          <w:sz w:val="24"/>
        </w:rPr>
        <w:t xml:space="preserve">the pending applications included in Clearside Patents Rights are being diligently Prosecuted and Maintained in the respective patent offices in the Territory in accordance with Applicable Law, and Clearside and its Affiliates [***], as applicable, has presented all relevant references, documents and information of which it and the inventors are aware to the relevant patent examiner at the relevant patent office; and </w:t>
      </w:r>
      <w:bookmarkStart w:id="114" w:name="docxtextref134"/>
      <w:bookmarkEnd w:id="114"/>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Clearside and its Affiliates [***], as applicable, has timely paid all filing and renewal fees payable with respect to any such Clearside Patent Rights;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(j)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(k) </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15" w:name="docxtextref135"/>
      <w:bookmarkEnd w:id="115"/>
      <w:r>
        <w:rPr>
          <w:rFonts w:ascii="Times New Roman" w:hAnsi="Times New Roman"/>
          <w:b/>
          <w:color w:val="000000"/>
          <w:sz w:val="24"/>
        </w:rPr>
        <w:t xml:space="preserve">(l) </w:t>
      </w:r>
      <w:r>
        <w:rPr>
          <w:rFonts w:ascii="Times New Roman" w:hAnsi="Times New Roman"/>
          <w:color w:val="000000"/>
          <w:sz w:val="24"/>
        </w:rPr>
        <w:t>to Clearside’s Knowledge, there is no (i)</w:t>
      </w:r>
      <w:r>
        <w:rPr>
          <w:rFonts w:ascii="Times New Roman" w:hAnsi="Times New Roman"/>
          <w:color w:val="000000"/>
          <w:sz w:val="20"/>
        </w:rPr>
        <w:t xml:space="preserve"> </w:t>
      </w:r>
      <w:r>
        <w:rPr>
          <w:rFonts w:ascii="Times New Roman" w:hAnsi="Times New Roman"/>
          <w:color w:val="000000"/>
          <w:sz w:val="24"/>
        </w:rPr>
        <w:t>claim, demand, suit, proceeding, arbitration, inquiry, investigation or other legal action of any nature, civil, criminal, regulatory or otherwise, pending or threatened against Clearside or any of its Affiliates that would materially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116" w:name="docxtextref136"/>
      <w:bookmarkEnd w:id="116"/>
      <w:r>
        <w:rPr>
          <w:rFonts w:ascii="Times New Roman" w:hAnsi="Times New Roman"/>
          <w:color w:val="000000"/>
          <w:sz w:val="24"/>
        </w:rPr>
        <w:t>alter BioCryst’s rights or Clearside’s obligations hereunder, or (ii)</w:t>
      </w:r>
      <w:r>
        <w:rPr>
          <w:rFonts w:ascii="Times New Roman" w:hAnsi="Times New Roman"/>
          <w:color w:val="000000"/>
          <w:sz w:val="20"/>
        </w:rPr>
        <w:t xml:space="preserve"> </w:t>
      </w:r>
      <w:r>
        <w:rPr>
          <w:rFonts w:ascii="Times New Roman" w:hAnsi="Times New Roman"/>
          <w:color w:val="000000"/>
          <w:sz w:val="24"/>
        </w:rPr>
        <w:t>judgment or settlement against or owed by Clearside or any of its Affiliates; in each case in connection with the Clearside Technology or relating to the transactions contemplated by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(m) </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(n) </w:t>
      </w:r>
      <w:r>
        <w:rPr>
          <w:rFonts w:ascii="Times New Roman" w:hAnsi="Times New Roman"/>
          <w:color w:val="000000"/>
          <w:sz w:val="24"/>
        </w:rPr>
        <w:t>all individuals who are current or former officers, employees, agents, advisors, consultants, contractors or other representatives of Clearside or any of its Affiliates who are inventors of any Clearside Technology have executed and delivered to Clearside or the applicable Affiliate a valid and enforceable assignment;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(o) </w:t>
      </w:r>
      <w:r>
        <w:rPr>
          <w:rFonts w:ascii="Times New Roman" w:hAnsi="Times New Roman"/>
          <w:color w:val="000000"/>
          <w:sz w:val="24"/>
        </w:rPr>
        <w:t xml:space="preserve">the rights granted to BioCryst by Clearside pursuant to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Patent Listings</w:t>
      </w:r>
      <w:r>
        <w:rPr>
          <w:rFonts w:ascii="Times New Roman" w:hAnsi="Times New Roman"/>
          <w:color w:val="000000"/>
          <w:sz w:val="24"/>
        </w:rPr>
        <w:t>) with respect to the Clearside Patent Rights and [***] do not conflict with any rights Clearside has granted any Affiliate or Third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(p) </w:t>
      </w:r>
      <w:r>
        <w:rPr>
          <w:rFonts w:ascii="Times New Roman" w:hAnsi="Times New Roman"/>
          <w:color w:val="000000"/>
          <w:sz w:val="24"/>
        </w:rPr>
        <w:t>neither Clearside nor any of its Affiliates, nor any of its or their respective officers, employees, or agents, has made an untrue statement of material fact or fraudulent statement to the FDA or any other Regulatory Authority with respect to the Clearside Devices, failed to disclose a material fact required to be disclosed to the FDA or any other Regulatory Authority with respect to the Clearside Devices, or committed an act, made a statement, or failed to make a statement with respect to the Clearside Devices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(q) </w:t>
      </w:r>
      <w:r>
        <w:rPr>
          <w:rFonts w:ascii="Times New Roman" w:hAnsi="Times New Roman"/>
          <w:color w:val="000000"/>
          <w:sz w:val="24"/>
        </w:rPr>
        <w:t>(i) the development of Clearside Technology (other than [***]) has been conducted in compliance in all material respects with all Applicable Law; and (ii) to Clearside’s Knowledge, the development of [***] has been conducted in compliance in all material respects with all Applicable Law; and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(r) </w:t>
      </w:r>
      <w:r>
        <w:rPr>
          <w:rFonts w:ascii="Times New Roman" w:hAnsi="Times New Roman"/>
          <w:color w:val="000000"/>
          <w:sz w:val="24"/>
        </w:rPr>
        <w:t>neither Clearside nor any of its Affiliates has entered into any definitive agreement or term sheet that would (with respect to a term sheet, if the transactions thereunder are carried out) result in a Change of Control of Clearside.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8.3 Additional Covenants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17" w:name="docxtextref137"/>
      <w:bookmarkEnd w:id="117"/>
      <w:r>
        <w:rPr>
          <w:rFonts w:ascii="Times New Roman" w:hAnsi="Times New Roman"/>
          <w:b/>
          <w:color w:val="000000"/>
          <w:sz w:val="24"/>
        </w:rPr>
        <w:t xml:space="preserve">(a) </w:t>
      </w:r>
      <w:r>
        <w:rPr>
          <w:rFonts w:ascii="Times New Roman" w:hAnsi="Times New Roman"/>
          <w:color w:val="000000"/>
          <w:sz w:val="24"/>
        </w:rPr>
        <w:t>Clearside and its Affiliates shall not: (i)</w:t>
      </w:r>
      <w:r>
        <w:rPr>
          <w:rFonts w:ascii="Times New Roman" w:hAnsi="Times New Roman"/>
          <w:color w:val="000000"/>
          <w:sz w:val="20"/>
        </w:rPr>
        <w:t xml:space="preserve"> </w:t>
      </w:r>
      <w:r>
        <w:rPr>
          <w:rFonts w:ascii="Times New Roman" w:hAnsi="Times New Roman"/>
          <w:color w:val="000000"/>
          <w:sz w:val="24"/>
        </w:rPr>
        <w:t xml:space="preserve">license, sell, assign or otherwise transfer Clearside Technology (or agree to do any of the foregoing) in a manner that conflicts with the rights granted to BioCryst hereunder; </w:t>
      </w:r>
      <w:bookmarkStart w:id="118" w:name="docxtextref138"/>
      <w:bookmarkEnd w:id="118"/>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incur or permit to exist, with respect to any Clearside Technology, any additional lien, encumbrance, charge, security interest, mortgage, liability, grant of license to Third Parties or other restriction (including in connection with any indebtedness) which conflicts with the rights granted to BioCryst hereunder; or (iii) during the Term, enter into any material agreements or contracts that would be inconsistent with its obligations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Each Party and its Affiliates (and with respect to BioCryst, its Sublicensees and Distributors, and with respect to Clearside, its Existing Suppliers and any other supplier qualified in accordance with this Agreement) shall conduct the Development, Manufacture (if applicable) and Commercialization of the Clearside Devices and Covered Product (as applicable) in accordance with all Applicable Laws, including without limitation current governmental regulations concerning good laboratory practices, good clinical practices and GMP;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Each Party will maintain as and when necessary the financial and other capabilities reasonably necessary to discharge its obligations under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8.4 Debarment</w:t>
      </w:r>
      <w:r>
        <w:rPr>
          <w:rFonts w:ascii="Times New Roman" w:hAnsi="Times New Roman"/>
          <w:color w:val="000000"/>
          <w:sz w:val="24"/>
        </w:rPr>
        <w:t>. Each Party represents, warrants, and covenants to the other Party that: (a) it is not debarred, excluded, disqualified, or the subject of disbarment, exclusion or disqualification proceedings under the United States Food, Drug, and Cosmetic Act or comparable laws in any country or jurisdiction other than the United States; and (b) to its knowledge, does not, and will not during the Term knowingly, employ or use, directly or indirectly, including through Affiliates, Sublicensees, Distributors, Existing Suppliers, or any other supplier qualified in accordance with this Agreement, or the services of any person who is debarred, excluded, disqualified, or the subject of disbarment, exclusion, or disqualification proceedings in connection with activities relating to this Agreement. In the event that either Party becomes aware of the debarment, exclusion, or disqualification or threatened debarment, exclusion, or disqualification of any person providing such services, such Party shall promptly notify the other Party in writing and such Party shall cease employing, contracting with, or retaining any such person to perform any such services.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8.5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8.6 Disclaimer</w:t>
      </w:r>
      <w:r>
        <w:rPr>
          <w:rFonts w:ascii="Times New Roman" w:hAnsi="Times New Roman"/>
          <w:color w:val="000000"/>
          <w:sz w:val="24"/>
        </w:rPr>
        <w:t>. THE FOREGOING REPRESENTATIONS AND WARRANTIES OF EACH PARTY ARE IN LIEU OF ANY OTHER REPRESENTATIONS AND WARRANTIES RELATED TO ANY SUBJECT MATTER OF THIS AGREEMENT, WHETHER ORAL OR WRITTEN, EXPRESS, IMPLIED, STATUTORY OR OTHERWISE, INCLUDING ANY IMPLIED WARRANTIES OF MERCHANTABILITY, TITLE, NON-INFRINGEMENT OR ANY IMPLIED WARRANTIES OF FITNESS FOR A PARTICULAR PURPOSE, ALL OF WHICH ARE HEREBY SPECIFICALLY EXCLUDED AND DISCLAIMED TO THE MAXIMUM EXTENT PERMITTED BY APPLICABLE LAW.</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9</w:t>
      </w:r>
      <w:r>
        <w:rPr>
          <w:rFonts w:ascii="Times New Roman" w:hAnsi="Times New Roman"/>
          <w:caps/>
          <w:color w:val="000000"/>
          <w:sz w:val="24"/>
        </w:rPr>
        <w:br/>
      </w:r>
      <w:r>
        <w:rPr>
          <w:rFonts w:ascii="Times New Roman" w:hAnsi="Times New Roman"/>
          <w:b/>
          <w:caps/>
          <w:color w:val="000000"/>
          <w:sz w:val="24"/>
        </w:rPr>
        <w:t>TERM AND TERMINATION</w:t>
      </w:r>
    </w:p>
    <w:p>
      <w:pPr>
        <w:pStyle w:val="TextBody"/>
        <w:bidi w:val="0"/>
        <w:spacing w:before="0" w:after="240"/>
        <w:jc w:val="both"/>
        <w:rPr>
          <w:rFonts w:ascii="Times New Roman" w:hAnsi="Times New Roman"/>
          <w:sz w:val="20"/>
        </w:rPr>
      </w:pPr>
      <w:r>
        <w:rPr>
          <w:rFonts w:ascii="Times New Roman" w:hAnsi="Times New Roman"/>
          <w:b/>
          <w:color w:val="000000"/>
          <w:sz w:val="24"/>
        </w:rPr>
        <w:t>9.1 Term</w:t>
      </w:r>
      <w:r>
        <w:rPr>
          <w:rFonts w:ascii="Times New Roman" w:hAnsi="Times New Roman"/>
          <w:color w:val="000000"/>
          <w:sz w:val="24"/>
        </w:rPr>
        <w:t xml:space="preserve">. The term of this Agreement will commence upon the Effective Date and, unless sooner terminated as provided in this </w:t>
      </w:r>
      <w:r>
        <w:rPr>
          <w:rFonts w:ascii="Times New Roman" w:hAnsi="Times New Roman"/>
          <w:color w:val="000000"/>
          <w:sz w:val="24"/>
          <w:u w:val="single"/>
        </w:rPr>
        <w:t>Article 9</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Term and Termination</w:t>
      </w:r>
      <w:r>
        <w:rPr>
          <w:rFonts w:ascii="Times New Roman" w:hAnsi="Times New Roman"/>
          <w:color w:val="000000"/>
          <w:sz w:val="24"/>
        </w:rPr>
        <w:t xml:space="preserve">), will expire: (a) on a country-by-country basis, upon the expiration of the Royalty Term in such country for the Covered Product; or (b) in its entirety upon the expiration of all payment obligations by BioCryst under this Agreement in all countries pursuant to the foregoing sentence. The period from the Effective Date until the date of expiration of this Agreement pursuant to this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Term</w:t>
      </w:r>
      <w:r>
        <w:rPr>
          <w:rFonts w:ascii="Times New Roman" w:hAnsi="Times New Roman"/>
          <w:color w:val="000000"/>
          <w:sz w:val="24"/>
        </w:rPr>
        <w:t xml:space="preserve">) or earlier termination of this Agreement pursuant to </w:t>
      </w:r>
      <w:r>
        <w:rPr>
          <w:rFonts w:ascii="Times New Roman" w:hAnsi="Times New Roman"/>
          <w:color w:val="000000"/>
          <w:sz w:val="24"/>
          <w:u w:val="single"/>
        </w:rPr>
        <w:t>Section 9.2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Termination</w:t>
      </w:r>
      <w:r>
        <w:rPr>
          <w:rFonts w:ascii="Times New Roman" w:hAnsi="Times New Roman"/>
          <w:color w:val="000000"/>
          <w:sz w:val="24"/>
        </w:rPr>
        <w:t>), is the “</w:t>
      </w:r>
      <w:r>
        <w:rPr>
          <w:rFonts w:ascii="Times New Roman" w:hAnsi="Times New Roman"/>
          <w:b/>
          <w:color w:val="000000"/>
          <w:sz w:val="24"/>
        </w:rPr>
        <w:t>Term</w:t>
      </w:r>
      <w:r>
        <w:rPr>
          <w:rFonts w:ascii="Times New Roman" w:hAnsi="Times New Roman"/>
          <w:color w:val="000000"/>
          <w:sz w:val="24"/>
        </w:rPr>
        <w:t>.”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clarity, the term of any Commercial Supply Agreement, Pharmacovigilance Agreement, or Quality Agreement will be governed by the terms of such agreement and will not be affected by expiration or termination of this Agreement unless otherwise set forth in such Commercial Supply Agreement, Pharmacovigilance Agreement, or Quality Agreement.</w:t>
      </w:r>
    </w:p>
    <w:p>
      <w:pPr>
        <w:pStyle w:val="TextBody"/>
        <w:bidi w:val="0"/>
        <w:spacing w:before="0" w:after="240"/>
        <w:jc w:val="both"/>
        <w:rPr>
          <w:rFonts w:ascii="Times New Roman" w:hAnsi="Times New Roman"/>
          <w:sz w:val="20"/>
        </w:rPr>
      </w:pPr>
      <w:r>
        <w:rPr>
          <w:rFonts w:ascii="Times New Roman" w:hAnsi="Times New Roman"/>
          <w:b/>
          <w:color w:val="000000"/>
          <w:sz w:val="24"/>
        </w:rPr>
        <w:t>9.2 Termination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Material Breach</w:t>
      </w:r>
      <w:r>
        <w:rPr>
          <w:rFonts w:ascii="Times New Roman" w:hAnsi="Times New Roman"/>
          <w:color w:val="000000"/>
          <w:sz w:val="24"/>
        </w:rPr>
        <w:t>. In the event that either Party (the “</w:t>
      </w:r>
      <w:r>
        <w:rPr>
          <w:rFonts w:ascii="Times New Roman" w:hAnsi="Times New Roman"/>
          <w:b/>
          <w:color w:val="000000"/>
          <w:sz w:val="24"/>
        </w:rPr>
        <w:t>Breaching Party</w:t>
      </w:r>
      <w:r>
        <w:rPr>
          <w:rFonts w:ascii="Times New Roman" w:hAnsi="Times New Roman"/>
          <w:color w:val="000000"/>
          <w:sz w:val="20"/>
        </w:rPr>
        <w:t>”</w:t>
      </w:r>
      <w:r>
        <w:rPr>
          <w:rFonts w:ascii="Times New Roman" w:hAnsi="Times New Roman"/>
          <w:color w:val="000000"/>
          <w:sz w:val="24"/>
        </w:rPr>
        <w:t>) is in material breach in the performance of any of its material obligations under this Agreement, in addition to any other right and remedy the other Party (the “</w:t>
      </w:r>
      <w:r>
        <w:rPr>
          <w:rFonts w:ascii="Times New Roman" w:hAnsi="Times New Roman"/>
          <w:b/>
          <w:color w:val="000000"/>
          <w:sz w:val="24"/>
        </w:rPr>
        <w:t>Non-Breaching Party</w:t>
      </w:r>
      <w:r>
        <w:rPr>
          <w:rFonts w:ascii="Times New Roman" w:hAnsi="Times New Roman"/>
          <w:color w:val="000000"/>
          <w:sz w:val="20"/>
        </w:rPr>
        <w:t>”</w:t>
      </w:r>
      <w:r>
        <w:rPr>
          <w:rFonts w:ascii="Times New Roman" w:hAnsi="Times New Roman"/>
          <w:color w:val="000000"/>
          <w:sz w:val="24"/>
        </w:rPr>
        <w:t>) may have, the Non-Breaching Party may terminate this Agreement in its entirety by providing [***] ([***]) days (the “</w:t>
      </w:r>
      <w:r>
        <w:rPr>
          <w:rFonts w:ascii="Times New Roman" w:hAnsi="Times New Roman"/>
          <w:b/>
          <w:color w:val="000000"/>
          <w:sz w:val="24"/>
        </w:rPr>
        <w:t>Notice Period</w:t>
      </w:r>
      <w:r>
        <w:rPr>
          <w:rFonts w:ascii="Times New Roman" w:hAnsi="Times New Roman"/>
          <w:color w:val="000000"/>
          <w:sz w:val="20"/>
        </w:rPr>
        <w:t>”</w:t>
      </w:r>
      <w:r>
        <w:rPr>
          <w:rFonts w:ascii="Times New Roman" w:hAnsi="Times New Roman"/>
          <w:color w:val="000000"/>
          <w:sz w:val="24"/>
        </w:rPr>
        <w:t>) prior written notice (the “</w:t>
      </w:r>
      <w:r>
        <w:rPr>
          <w:rFonts w:ascii="Times New Roman" w:hAnsi="Times New Roman"/>
          <w:b/>
          <w:color w:val="000000"/>
          <w:sz w:val="24"/>
        </w:rPr>
        <w:t>Termination Notice</w:t>
      </w:r>
      <w:r>
        <w:rPr>
          <w:rFonts w:ascii="Times New Roman" w:hAnsi="Times New Roman"/>
          <w:color w:val="000000"/>
          <w:sz w:val="20"/>
        </w:rPr>
        <w:t>”</w:t>
      </w:r>
      <w:r>
        <w:rPr>
          <w:rFonts w:ascii="Times New Roman" w:hAnsi="Times New Roman"/>
          <w:color w:val="000000"/>
          <w:sz w:val="24"/>
        </w:rPr>
        <w:t xml:space="preserve">) to the Breaching Party and specifying the breach and its claim of right to terminate;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 the termination will not become effective at the end of the Notice Period if the Breaching Party cures the breach specified in the Termination Notice during the Notice Period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to the extent such breach is curable, the Breaching Party’s cure right will be extended for up to an additional [***] ([***]) days if the Breaching Party commences actions to cure such breach within the Notice Period and thereafter diligently continues such actions; and (ii) if either Party initiates a dispute resolution procedure under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 as permitted under this Agreement within the Notice Period to resolve the dispute for which termination is being sought and is diligently pursuing such procedure, the termination will become effective only if such breach remains uncured for [***] ([***]) days after the resolution of the dispute through such dispute resolution procedure.</w:t>
      </w:r>
    </w:p>
    <w:p>
      <w:pPr>
        <w:pStyle w:val="TextBody"/>
        <w:bidi w:val="0"/>
        <w:spacing w:before="0" w:after="240"/>
        <w:jc w:val="both"/>
        <w:rPr>
          <w:rFonts w:ascii="Times New Roman" w:hAnsi="Times New Roman"/>
          <w:sz w:val="20"/>
        </w:rPr>
      </w:pPr>
      <w:r>
        <w:rPr>
          <w:rFonts w:ascii="Times New Roman" w:hAnsi="Times New Roman"/>
          <w:b/>
          <w:color w:val="000000"/>
          <w:sz w:val="24"/>
        </w:rPr>
        <w:t>(b) Patent Challenge</w:t>
      </w:r>
      <w:r>
        <w:rPr>
          <w:rFonts w:ascii="Times New Roman" w:hAnsi="Times New Roman"/>
          <w:color w:val="000000"/>
          <w:sz w:val="24"/>
        </w:rPr>
        <w:t>. Unless unenforceable under Applicable Law, Clearside may terminate this Agreement upon written notice to BioCryst if BioCryst, its Affiliates or Sublicensees, individually or in association with any other person or entity, commences a legal action challenging the validity, enforceability or scope of any Clearside Patent Rights in a court or other governmental agency of competent jurisdiction, including a reexamination or opposition proceeding and, with respect to any action commenced by a Sublicensee, (i) such proceeding is not terminated within [***] ([***]) days after BioCryst’s receipt of written notice from Clearside or (ii) BioCryst does not terminate the applicable sublicense within such [***] ([***]) day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 Termination by BioCryst</w:t>
      </w:r>
      <w:r>
        <w:rPr>
          <w:rFonts w:ascii="Times New Roman" w:hAnsi="Times New Roman"/>
          <w:color w:val="000000"/>
          <w:sz w:val="24"/>
        </w:rPr>
        <w:t>. BioCryst may terminate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 </w:t>
      </w:r>
      <w:r>
        <w:rPr>
          <w:rFonts w:ascii="Times New Roman" w:hAnsi="Times New Roman"/>
          <w:color w:val="000000"/>
          <w:sz w:val="24"/>
        </w:rPr>
        <w:t>immediately upon written notice to Clearside where, after exercising Commercially Reasonable Efforts, BioCryst in good faith determines that it is not advisable for BioCryst to continue to Develop or Commercialize the Covered Product due to a Material Safety Issue; or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w:t>
      </w:r>
      <w:r>
        <w:rPr>
          <w:rFonts w:ascii="Times New Roman" w:hAnsi="Times New Roman"/>
          <w:color w:val="000000"/>
          <w:sz w:val="24"/>
        </w:rPr>
        <w:t xml:space="preserve">in its entirety or in part [***], for any or no reason, upon [***] ([***]) days’ prior written notice to Clearside, </w:t>
      </w:r>
      <w:r>
        <w:rPr>
          <w:rFonts w:ascii="Times New Roman" w:hAnsi="Times New Roman"/>
          <w:i/>
          <w:color w:val="000000"/>
          <w:sz w:val="24"/>
        </w:rPr>
        <w:t>provided</w:t>
      </w:r>
      <w:r>
        <w:rPr>
          <w:rFonts w:ascii="Times New Roman" w:hAnsi="Times New Roman"/>
          <w:color w:val="000000"/>
          <w:sz w:val="24"/>
        </w:rPr>
        <w:t>, that, in such event, beginning on the effective date of termination and for a period of two (2) years thereafter, BioCryst shall not initiate any Phase III Clinical Trial in which a BioCryst Compound is administered to the suprachoroidal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space of the eye through the use of a device other than a Clearside Device in the applicable Terminated Territory.</w:t>
      </w:r>
    </w:p>
    <w:p>
      <w:pPr>
        <w:pStyle w:val="TextBody"/>
        <w:bidi w:val="0"/>
        <w:spacing w:before="0" w:after="240"/>
        <w:jc w:val="both"/>
        <w:rPr>
          <w:rFonts w:ascii="Times New Roman" w:hAnsi="Times New Roman"/>
          <w:sz w:val="20"/>
        </w:rPr>
      </w:pPr>
      <w:bookmarkStart w:id="119" w:name="docxtextref147"/>
      <w:bookmarkEnd w:id="119"/>
      <w:r>
        <w:rPr>
          <w:rFonts w:ascii="Times New Roman" w:hAnsi="Times New Roman"/>
          <w:b/>
          <w:color w:val="000000"/>
          <w:sz w:val="24"/>
        </w:rPr>
        <w:t>(d) Termination for Insolvency</w:t>
      </w:r>
      <w:r>
        <w:rPr>
          <w:rFonts w:ascii="Times New Roman" w:hAnsi="Times New Roman"/>
          <w:color w:val="000000"/>
          <w:sz w:val="24"/>
        </w:rPr>
        <w:t>. In the event that either Party: (i)</w:t>
      </w:r>
      <w:r>
        <w:rPr>
          <w:rFonts w:ascii="Times New Roman" w:hAnsi="Times New Roman"/>
          <w:color w:val="000000"/>
          <w:sz w:val="20"/>
        </w:rPr>
        <w:t xml:space="preserve"> </w:t>
      </w:r>
      <w:r>
        <w:rPr>
          <w:rFonts w:ascii="Times New Roman" w:hAnsi="Times New Roman"/>
          <w:color w:val="000000"/>
          <w:sz w:val="24"/>
        </w:rPr>
        <w:t>files for protection under bankruptcy or insolvency laws</w:t>
      </w:r>
      <w:bookmarkStart w:id="120" w:name="docxtextref148"/>
      <w:bookmarkEnd w:id="120"/>
      <w:r>
        <w:rPr>
          <w:rFonts w:ascii="Times New Roman" w:hAnsi="Times New Roman"/>
          <w:color w:val="000000"/>
          <w:sz w:val="24"/>
        </w:rPr>
        <w:t>; (ii)</w:t>
      </w:r>
      <w:r>
        <w:rPr>
          <w:rFonts w:ascii="Times New Roman" w:hAnsi="Times New Roman"/>
          <w:color w:val="000000"/>
          <w:sz w:val="20"/>
        </w:rPr>
        <w:t xml:space="preserve"> </w:t>
      </w:r>
      <w:r>
        <w:rPr>
          <w:rFonts w:ascii="Times New Roman" w:hAnsi="Times New Roman"/>
          <w:color w:val="000000"/>
          <w:sz w:val="24"/>
        </w:rPr>
        <w:t>makes an assignment for the benefit of creditors</w:t>
      </w:r>
      <w:bookmarkStart w:id="121" w:name="docxtextref149"/>
      <w:bookmarkEnd w:id="121"/>
      <w:r>
        <w:rPr>
          <w:rFonts w:ascii="Times New Roman" w:hAnsi="Times New Roman"/>
          <w:color w:val="000000"/>
          <w:sz w:val="24"/>
        </w:rPr>
        <w:t>; (iii)</w:t>
      </w:r>
      <w:r>
        <w:rPr>
          <w:rFonts w:ascii="Times New Roman" w:hAnsi="Times New Roman"/>
          <w:color w:val="000000"/>
          <w:sz w:val="20"/>
        </w:rPr>
        <w:t xml:space="preserve"> </w:t>
      </w:r>
      <w:r>
        <w:rPr>
          <w:rFonts w:ascii="Times New Roman" w:hAnsi="Times New Roman"/>
          <w:color w:val="000000"/>
          <w:sz w:val="24"/>
        </w:rPr>
        <w:t>appoints or suffers appointment of a receiver or trustee over substantially all of its property that is not discharged within [***] ([***]) days after such filing</w:t>
      </w:r>
      <w:bookmarkStart w:id="122" w:name="docxtextref150"/>
      <w:bookmarkEnd w:id="122"/>
      <w:r>
        <w:rPr>
          <w:rFonts w:ascii="Times New Roman" w:hAnsi="Times New Roman"/>
          <w:color w:val="000000"/>
          <w:sz w:val="24"/>
        </w:rPr>
        <w:t>; (iv)</w:t>
      </w:r>
      <w:r>
        <w:rPr>
          <w:rFonts w:ascii="Times New Roman" w:hAnsi="Times New Roman"/>
          <w:color w:val="000000"/>
          <w:sz w:val="20"/>
        </w:rPr>
        <w:t xml:space="preserve"> </w:t>
      </w:r>
      <w:r>
        <w:rPr>
          <w:rFonts w:ascii="Times New Roman" w:hAnsi="Times New Roman"/>
          <w:color w:val="000000"/>
          <w:sz w:val="24"/>
        </w:rPr>
        <w:t>proposes a written agreement of composition or extension of its debts</w:t>
      </w:r>
      <w:bookmarkStart w:id="123" w:name="docxtextref151"/>
      <w:bookmarkEnd w:id="123"/>
      <w:r>
        <w:rPr>
          <w:rFonts w:ascii="Times New Roman" w:hAnsi="Times New Roman"/>
          <w:color w:val="000000"/>
          <w:sz w:val="24"/>
        </w:rPr>
        <w:t>; (v)</w:t>
      </w:r>
      <w:r>
        <w:rPr>
          <w:rFonts w:ascii="Times New Roman" w:hAnsi="Times New Roman"/>
          <w:color w:val="000000"/>
          <w:sz w:val="20"/>
        </w:rPr>
        <w:t xml:space="preserve"> </w:t>
      </w:r>
      <w:r>
        <w:rPr>
          <w:rFonts w:ascii="Times New Roman" w:hAnsi="Times New Roman"/>
          <w:color w:val="000000"/>
          <w:sz w:val="24"/>
        </w:rPr>
        <w:t>proposes or is a party to any dissolution or liquidation</w:t>
      </w:r>
      <w:bookmarkStart w:id="124" w:name="docxtextref152"/>
      <w:bookmarkEnd w:id="124"/>
      <w:r>
        <w:rPr>
          <w:rFonts w:ascii="Times New Roman" w:hAnsi="Times New Roman"/>
          <w:color w:val="000000"/>
          <w:sz w:val="24"/>
        </w:rPr>
        <w:t>; (vi)</w:t>
      </w:r>
      <w:r>
        <w:rPr>
          <w:rFonts w:ascii="Times New Roman" w:hAnsi="Times New Roman"/>
          <w:color w:val="000000"/>
          <w:sz w:val="20"/>
        </w:rPr>
        <w:t xml:space="preserve"> </w:t>
      </w:r>
      <w:r>
        <w:rPr>
          <w:rFonts w:ascii="Times New Roman" w:hAnsi="Times New Roman"/>
          <w:color w:val="000000"/>
          <w:sz w:val="24"/>
        </w:rPr>
        <w:t xml:space="preserve">files a petition under any bankruptcy or insolvency act or has any such petition filed against that is not discharged within [***] ([***]) days of the filing thereof; or </w:t>
      </w:r>
      <w:bookmarkStart w:id="125" w:name="docxtextref153"/>
      <w:bookmarkEnd w:id="125"/>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 xml:space="preserve">admits in writing its inability generally to meet its obligations as they fall due in the general course (the events described in subsections (i) though </w:t>
      </w:r>
      <w:bookmarkStart w:id="126" w:name="docxtextref154"/>
      <w:bookmarkEnd w:id="126"/>
      <w:r>
        <w:rPr>
          <w:rFonts w:ascii="Times New Roman" w:hAnsi="Times New Roman"/>
          <w:color w:val="000000"/>
          <w:sz w:val="24"/>
        </w:rPr>
        <w:t>(vii), collectively, “</w:t>
      </w:r>
      <w:r>
        <w:rPr>
          <w:rFonts w:ascii="Times New Roman" w:hAnsi="Times New Roman"/>
          <w:b/>
          <w:color w:val="000000"/>
          <w:sz w:val="24"/>
        </w:rPr>
        <w:t>Insolvency Proceedings</w:t>
      </w:r>
      <w:r>
        <w:rPr>
          <w:rFonts w:ascii="Times New Roman" w:hAnsi="Times New Roman"/>
          <w:color w:val="000000"/>
          <w:sz w:val="20"/>
        </w:rPr>
        <w:t>”</w:t>
      </w:r>
      <w:r>
        <w:rPr>
          <w:rFonts w:ascii="Times New Roman" w:hAnsi="Times New Roman"/>
          <w:color w:val="000000"/>
          <w:sz w:val="24"/>
        </w:rPr>
        <w:t>), then the other Party may terminate this Agreement in its entirety effective immediately upon written notice to such Party.</w:t>
      </w:r>
    </w:p>
    <w:p>
      <w:pPr>
        <w:pStyle w:val="TextBody"/>
        <w:bidi w:val="0"/>
        <w:spacing w:before="0" w:after="240"/>
        <w:jc w:val="both"/>
        <w:rPr>
          <w:rFonts w:ascii="Times New Roman" w:hAnsi="Times New Roman"/>
          <w:sz w:val="20"/>
        </w:rPr>
      </w:pPr>
      <w:r>
        <w:rPr>
          <w:rFonts w:ascii="Times New Roman" w:hAnsi="Times New Roman"/>
          <w:b/>
          <w:color w:val="000000"/>
          <w:sz w:val="24"/>
        </w:rPr>
        <w:t>(e)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9.3 Consequences of Termination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Termination in the Entire Territory</w:t>
      </w:r>
      <w:r>
        <w:rPr>
          <w:rFonts w:ascii="Times New Roman" w:hAnsi="Times New Roman"/>
          <w:color w:val="000000"/>
          <w:sz w:val="24"/>
        </w:rPr>
        <w:t>. In the event of a termination of this Agreement for the entire Territory for any reason, all rights and licenses granted by either Party hereunder will immediately terminate.</w:t>
      </w:r>
    </w:p>
    <w:p>
      <w:pPr>
        <w:pStyle w:val="TextBody"/>
        <w:bidi w:val="0"/>
        <w:spacing w:before="0" w:after="240"/>
        <w:jc w:val="both"/>
        <w:rPr>
          <w:rFonts w:ascii="Times New Roman" w:hAnsi="Times New Roman"/>
          <w:sz w:val="20"/>
        </w:rPr>
      </w:pPr>
      <w:bookmarkStart w:id="127" w:name="docxtextref156"/>
      <w:bookmarkEnd w:id="127"/>
      <w:r>
        <w:rPr>
          <w:rFonts w:ascii="Times New Roman" w:hAnsi="Times New Roman"/>
          <w:b/>
          <w:color w:val="000000"/>
          <w:sz w:val="24"/>
        </w:rPr>
        <w:t>(b) Termination in a Terminated Territory</w:t>
      </w:r>
      <w:r>
        <w:rPr>
          <w:rFonts w:ascii="Times New Roman" w:hAnsi="Times New Roman"/>
          <w:color w:val="000000"/>
          <w:sz w:val="24"/>
        </w:rPr>
        <w:t>. In the event of a termination of this Agreement in a Terminated Territory (but not in the case of any termination of this Agreement in its entirety), BioCryst will not, and will not permit any of its Affiliates or any of its and their Sublicensees or Distributors to, (A) Exploit the Clearside Devices for use with the Covered Product directly or indirectly or (B) assist another Person to Exploit the Clearside Devices for use with the BioCryst Compound directly or indirectly; in each case ((A) and (B)), to (x) any Person for commercial use in the Terminated Territory or (y) any Person in the Territory that BioCryst knows, or any of its Affiliates or any of its or their Sublicensees or Distributors knows, is likely to Exploit a Clearside Device for use with the Covered Product for commercial use in the Terminated Territory.</w:t>
      </w:r>
    </w:p>
    <w:p>
      <w:pPr>
        <w:pStyle w:val="TextBody"/>
        <w:bidi w:val="0"/>
        <w:spacing w:before="0" w:after="240"/>
        <w:jc w:val="both"/>
        <w:rPr>
          <w:rFonts w:ascii="Times New Roman" w:hAnsi="Times New Roman"/>
          <w:sz w:val="20"/>
        </w:rPr>
      </w:pPr>
      <w:r>
        <w:rPr>
          <w:rFonts w:ascii="Times New Roman" w:hAnsi="Times New Roman"/>
          <w:b/>
          <w:color w:val="000000"/>
          <w:sz w:val="24"/>
        </w:rPr>
        <w:t>(c) Sell-Off; Clinical Studies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Notwithstanding the termination of BioCryst’s licenses and other rights under this Agreement, (A) BioCryst will have the right for [***] ([***]) months after the effective date of such termination to sell or otherwise dispose of all Clearside Devices for use with the Covered Product then in its inventory and any in-progress inventory as though this Agreement had not terminated, and such sale or disposition will not constitute infringement of Clearside’s or its Affiliates’ Patent Rights or other intellectual property or other proprietary rights; </w:t>
      </w:r>
      <w:r>
        <w:rPr>
          <w:rFonts w:ascii="Times New Roman" w:hAnsi="Times New Roman"/>
          <w:i/>
          <w:color w:val="000000"/>
          <w:sz w:val="24"/>
        </w:rPr>
        <w:t>provided</w:t>
      </w:r>
      <w:r>
        <w:rPr>
          <w:rFonts w:ascii="Times New Roman" w:hAnsi="Times New Roman"/>
          <w:color w:val="000000"/>
          <w:sz w:val="24"/>
        </w:rPr>
        <w:t xml:space="preserve">, that BioCryst will continue to make payments thereon as provided in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Milestones</w:t>
      </w:r>
      <w:r>
        <w:rPr>
          <w:rFonts w:ascii="Times New Roman" w:hAnsi="Times New Roman"/>
          <w:color w:val="000000"/>
          <w:sz w:val="24"/>
        </w:rPr>
        <w:t xml:space="preserve">) and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Royalties</w:t>
      </w:r>
      <w:r>
        <w:rPr>
          <w:rFonts w:ascii="Times New Roman" w:hAnsi="Times New Roman"/>
          <w:color w:val="000000"/>
          <w:sz w:val="24"/>
        </w:rPr>
        <w:t>) (as if this Agreement had not terminated); and (B) solely upon termination of this Agreement by BioCryst because of an uncured Clearside material breach or Clearside Insolvency Proceeding, if there are any clinical studies relating to the Covered Product being conducted at the date of termination, BioCryst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entitled to continue Developing and, as applicable pursuant to </w:t>
      </w:r>
      <w:r>
        <w:rPr>
          <w:rFonts w:ascii="Times New Roman" w:hAnsi="Times New Roman"/>
          <w:color w:val="000000"/>
          <w:sz w:val="24"/>
          <w:u w:val="single"/>
        </w:rPr>
        <w:t>Section 4.2(e)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Supply Failure</w:t>
      </w:r>
      <w:r>
        <w:rPr>
          <w:rFonts w:ascii="Times New Roman" w:hAnsi="Times New Roman"/>
          <w:color w:val="000000"/>
          <w:sz w:val="24"/>
        </w:rPr>
        <w:t>) or the Commercial Supply Agreement, Manufacturing the Covered Product to the extent and for the period necessary to effect an orderly transfer or wind down of such clinical studies in a timely manner and in accordance with all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9.4 Remedies</w:t>
      </w:r>
      <w:r>
        <w:rPr>
          <w:rFonts w:ascii="Times New Roman" w:hAnsi="Times New Roman"/>
          <w:color w:val="000000"/>
          <w:sz w:val="24"/>
        </w:rPr>
        <w:t>. Except as otherwise expressly provided herein, termination of this Agreement in whole or in part in accordance with the provisions hereof will not limit remedies that may otherwise be available in law or equity.</w:t>
      </w:r>
    </w:p>
    <w:p>
      <w:pPr>
        <w:pStyle w:val="TextBody"/>
        <w:bidi w:val="0"/>
        <w:spacing w:before="0" w:after="240"/>
        <w:jc w:val="both"/>
        <w:rPr>
          <w:rFonts w:ascii="Times New Roman" w:hAnsi="Times New Roman"/>
          <w:sz w:val="20"/>
        </w:rPr>
      </w:pPr>
      <w:r>
        <w:rPr>
          <w:rFonts w:ascii="Times New Roman" w:hAnsi="Times New Roman"/>
          <w:b/>
          <w:color w:val="000000"/>
          <w:sz w:val="24"/>
        </w:rPr>
        <w:t>9.5 Survival of Certain Obligations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Expiration or termination of this Agreement in whole or in part will not relieve the Parties of any rights, obligations, or remedies that accrued before such expiration or termination.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 xml:space="preserve">The following provisions will survive expiration or termination of this Agreement: </w:t>
      </w:r>
      <w:r>
        <w:rPr>
          <w:rFonts w:ascii="Times New Roman" w:hAnsi="Times New Roman"/>
          <w:color w:val="000000"/>
          <w:sz w:val="24"/>
          <w:u w:val="single"/>
        </w:rPr>
        <w:t>Article 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Definitions</w:t>
      </w:r>
      <w:r>
        <w:rPr>
          <w:rFonts w:ascii="Times New Roman" w:hAnsi="Times New Roman"/>
          <w:color w:val="000000"/>
          <w:sz w:val="24"/>
        </w:rPr>
        <w:t xml:space="preserve">) (to the extent necessary for interpretation of any surviving provisions), </w:t>
      </w:r>
      <w:r>
        <w:rPr>
          <w:rFonts w:ascii="Times New Roman" w:hAnsi="Times New Roman"/>
          <w:color w:val="000000"/>
          <w:sz w:val="24"/>
          <w:u w:val="single"/>
        </w:rPr>
        <w:t>Section 3.2(b)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Recalls, Suspensions or Withdrawals</w:t>
      </w:r>
      <w:r>
        <w:rPr>
          <w:rFonts w:ascii="Times New Roman" w:hAnsi="Times New Roman"/>
          <w:color w:val="000000"/>
          <w:sz w:val="24"/>
        </w:rPr>
        <w:t xml:space="preserve">),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Development and Regulatory Milestone Payments</w:t>
      </w:r>
      <w:r>
        <w:rPr>
          <w:rFonts w:ascii="Times New Roman" w:hAnsi="Times New Roman"/>
          <w:color w:val="000000"/>
          <w:sz w:val="24"/>
        </w:rPr>
        <w:t xml:space="preserve">) (solely to the extent of payment obligations that accrued prior to the effective date of termination),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Commercial Milestones</w:t>
      </w:r>
      <w:r>
        <w:rPr>
          <w:rFonts w:ascii="Times New Roman" w:hAnsi="Times New Roman"/>
          <w:color w:val="000000"/>
          <w:sz w:val="24"/>
        </w:rPr>
        <w:t xml:space="preserve">) (solely to the extent of payment obligations that accrued prior to the effective date of termination),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Royalties</w:t>
      </w:r>
      <w:r>
        <w:rPr>
          <w:rFonts w:ascii="Times New Roman" w:hAnsi="Times New Roman"/>
          <w:color w:val="000000"/>
          <w:sz w:val="24"/>
        </w:rPr>
        <w:t xml:space="preserve">), </w:t>
      </w:r>
      <w:r>
        <w:rPr>
          <w:rFonts w:ascii="Times New Roman" w:hAnsi="Times New Roman"/>
          <w:color w:val="000000"/>
          <w:sz w:val="24"/>
          <w:u w:val="single"/>
        </w:rPr>
        <w:t>Section 5.5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Royalty Payments and Reports</w:t>
      </w:r>
      <w:r>
        <w:rPr>
          <w:rFonts w:ascii="Times New Roman" w:hAnsi="Times New Roman"/>
          <w:color w:val="000000"/>
          <w:sz w:val="24"/>
        </w:rPr>
        <w:t xml:space="preserve">) through </w:t>
      </w:r>
      <w:r>
        <w:rPr>
          <w:rFonts w:ascii="Times New Roman" w:hAnsi="Times New Roman"/>
          <w:color w:val="000000"/>
          <w:sz w:val="24"/>
          <w:u w:val="single"/>
        </w:rPr>
        <w:t>Section 5.9</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Financial Records</w:t>
      </w:r>
      <w:r>
        <w:rPr>
          <w:rFonts w:ascii="Times New Roman" w:hAnsi="Times New Roman"/>
          <w:color w:val="000000"/>
          <w:sz w:val="24"/>
        </w:rPr>
        <w:t xml:space="preserve">) (in each case solely to the extent of payment obligations that accrued prior to the effective date of termination), </w:t>
      </w:r>
      <w:r>
        <w:rPr>
          <w:rFonts w:ascii="Times New Roman" w:hAnsi="Times New Roman"/>
          <w:color w:val="000000"/>
          <w:sz w:val="24"/>
          <w:u w:val="single"/>
        </w:rPr>
        <w:t>Section 5.10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Audit</w:t>
      </w:r>
      <w:r>
        <w:rPr>
          <w:rFonts w:ascii="Times New Roman" w:hAnsi="Times New Roman"/>
          <w:color w:val="000000"/>
          <w:sz w:val="24"/>
        </w:rPr>
        <w:t xml:space="preserve">),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Audit Dispute</w:t>
      </w:r>
      <w:r>
        <w:rPr>
          <w:rFonts w:ascii="Times New Roman" w:hAnsi="Times New Roman"/>
          <w:color w:val="000000"/>
          <w:sz w:val="24"/>
        </w:rPr>
        <w:t xml:space="preserve">), </w:t>
      </w:r>
      <w:r>
        <w:rPr>
          <w:rFonts w:ascii="Times New Roman" w:hAnsi="Times New Roman"/>
          <w:color w:val="000000"/>
          <w:sz w:val="24"/>
          <w:u w:val="single"/>
        </w:rPr>
        <w:t>Section 5.12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 xml:space="preserve">),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Enforcement and Defense of Patent Rights</w:t>
      </w:r>
      <w:r>
        <w:rPr>
          <w:rFonts w:ascii="Times New Roman" w:hAnsi="Times New Roman"/>
          <w:color w:val="000000"/>
          <w:sz w:val="24"/>
        </w:rPr>
        <w:t xml:space="preserve">) (with respect to any action initiated prior to the effective date of expiration or termination),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Defense of Third Party Claims</w:t>
      </w:r>
      <w:r>
        <w:rPr>
          <w:rFonts w:ascii="Times New Roman" w:hAnsi="Times New Roman"/>
          <w:color w:val="000000"/>
          <w:sz w:val="24"/>
        </w:rPr>
        <w:t xml:space="preserve">), </w:t>
      </w:r>
      <w:r>
        <w:rPr>
          <w:rFonts w:ascii="Times New Roman" w:hAnsi="Times New Roman"/>
          <w:color w:val="000000"/>
          <w:sz w:val="24"/>
          <w:u w:val="single"/>
        </w:rPr>
        <w:t>Section 6.5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Ownership of Intellectual Property</w:t>
      </w:r>
      <w:r>
        <w:rPr>
          <w:rFonts w:ascii="Times New Roman" w:hAnsi="Times New Roman"/>
          <w:color w:val="000000"/>
          <w:sz w:val="24"/>
        </w:rPr>
        <w:t xml:space="preserve">),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 xml:space="preserve">), </w:t>
      </w:r>
      <w:r>
        <w:rPr>
          <w:rFonts w:ascii="Times New Roman" w:hAnsi="Times New Roman"/>
          <w:color w:val="000000"/>
          <w:sz w:val="24"/>
          <w:u w:val="single"/>
        </w:rPr>
        <w:t>Section 8.6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Disclaimer</w:t>
      </w:r>
      <w:r>
        <w:rPr>
          <w:rFonts w:ascii="Times New Roman" w:hAnsi="Times New Roman"/>
          <w:color w:val="000000"/>
          <w:sz w:val="24"/>
        </w:rPr>
        <w:t xml:space="preserve">), </w:t>
      </w:r>
      <w:r>
        <w:rPr>
          <w:rFonts w:ascii="Times New Roman" w:hAnsi="Times New Roman"/>
          <w:color w:val="000000"/>
          <w:sz w:val="24"/>
          <w:u w:val="single"/>
        </w:rPr>
        <w:t>Section 9.2(c)(ii)</w:t>
      </w:r>
      <w:r>
        <w:rPr>
          <w:rFonts w:ascii="Times New Roman" w:hAnsi="Times New Roman"/>
          <w:color w:val="000000"/>
          <w:sz w:val="24"/>
        </w:rPr>
        <w:t xml:space="preserve">,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Consequences of Termination</w:t>
      </w:r>
      <w:r>
        <w:rPr>
          <w:rFonts w:ascii="Times New Roman" w:hAnsi="Times New Roman"/>
          <w:color w:val="000000"/>
          <w:sz w:val="24"/>
        </w:rPr>
        <w:t xml:space="preserve">) through </w:t>
      </w:r>
      <w:r>
        <w:rPr>
          <w:rFonts w:ascii="Times New Roman" w:hAnsi="Times New Roman"/>
          <w:color w:val="000000"/>
          <w:sz w:val="24"/>
          <w:u w:val="single"/>
        </w:rPr>
        <w:t>Section 9.5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Survival of Certain Obligations</w:t>
      </w:r>
      <w:r>
        <w:rPr>
          <w:rFonts w:ascii="Times New Roman" w:hAnsi="Times New Roman"/>
          <w:color w:val="000000"/>
          <w:sz w:val="24"/>
        </w:rPr>
        <w:t xml:space="preserve">), </w:t>
      </w:r>
      <w:r>
        <w:rPr>
          <w:rFonts w:ascii="Times New Roman" w:hAnsi="Times New Roman"/>
          <w:color w:val="000000"/>
          <w:sz w:val="24"/>
          <w:u w:val="single"/>
        </w:rPr>
        <w:t>Article 10</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Limitation of Liability, Indemnification and Insurance</w:t>
      </w:r>
      <w:r>
        <w:rPr>
          <w:rFonts w:ascii="Times New Roman" w:hAnsi="Times New Roman"/>
          <w:color w:val="000000"/>
          <w:sz w:val="24"/>
        </w:rPr>
        <w:t xml:space="preserve">), and </w:t>
      </w:r>
      <w:r>
        <w:rPr>
          <w:rFonts w:ascii="Times New Roman" w:hAnsi="Times New Roman"/>
          <w:color w:val="000000"/>
          <w:sz w:val="24"/>
          <w:u w:val="single"/>
        </w:rPr>
        <w:t>Article 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Miscellaneous</w:t>
      </w:r>
      <w:r>
        <w:rPr>
          <w:rFonts w:ascii="Times New Roman" w:hAnsi="Times New Roman"/>
          <w:color w:val="000000"/>
          <w:sz w:val="24"/>
        </w:rPr>
        <w:t>). For clarity, any other Section that explicitly states it survives expiration or termination of this Agreement will so survive.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If this Agreement is terminated with respect to a Terminated Territory but not in its entirety, then following such termination the foregoing provisions of this Agreement will remain in effect with respect to the Terminated Territory (to the extent they would survive and apply in the event the Agreement expires or is terminated in its entirety or as otherwise necessary for any of BioCryst and its Affiliates and its and their Sublicensees and Distributors to exercise their rights in the Territory) and all provisions not surviving in accordance with the foregoing will terminate upon termination of this Agreement for such Terminated Territory and be of no further force and effect (and for clarity all provisions of this Agreement will remain in effect with respect to all countries in the Territory other than the Terminated Territory).</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10</w:t>
      </w:r>
      <w:r>
        <w:rPr>
          <w:rFonts w:ascii="Times New Roman" w:hAnsi="Times New Roman"/>
          <w:caps/>
          <w:color w:val="000000"/>
          <w:sz w:val="24"/>
        </w:rPr>
        <w:br/>
      </w:r>
      <w:r>
        <w:rPr>
          <w:rFonts w:ascii="Times New Roman" w:hAnsi="Times New Roman"/>
          <w:b/>
          <w:caps/>
          <w:color w:val="000000"/>
          <w:sz w:val="24"/>
        </w:rPr>
        <w:t>LIMITATION ON LIABILITY, INDEMNIFICATION AND INSURANCE</w:t>
      </w:r>
    </w:p>
    <w:p>
      <w:pPr>
        <w:pStyle w:val="TextBody"/>
        <w:bidi w:val="0"/>
        <w:spacing w:before="0" w:after="240"/>
        <w:jc w:val="both"/>
        <w:rPr>
          <w:rFonts w:ascii="Times New Roman" w:hAnsi="Times New Roman"/>
          <w:sz w:val="20"/>
        </w:rPr>
      </w:pPr>
      <w:r>
        <w:rPr>
          <w:rFonts w:ascii="Times New Roman" w:hAnsi="Times New Roman"/>
          <w:b/>
          <w:color w:val="000000"/>
          <w:sz w:val="24"/>
        </w:rPr>
        <w:t>10.1 No Consequential Damages</w:t>
      </w:r>
      <w:r>
        <w:rPr>
          <w:rFonts w:ascii="Times New Roman" w:hAnsi="Times New Roman"/>
          <w:color w:val="000000"/>
          <w:sz w:val="24"/>
        </w:rPr>
        <w:t xml:space="preserve">. EXCEPT WITH RESPECT TO LIABILITY ARISING FROM OR RELATED TO A PARTY’S (A) BREACH OF </w:t>
      </w:r>
      <w:r>
        <w:rPr>
          <w:rFonts w:ascii="Times New Roman" w:hAnsi="Times New Roman"/>
          <w:caps/>
          <w:color w:val="000000"/>
          <w:sz w:val="24"/>
          <w:u w:val="single"/>
        </w:rPr>
        <w:t>Article 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PATENT MATTERS; OWNERSHIP OF INTELLECTUAL PROPERTY</w:t>
      </w:r>
      <w:r>
        <w:rPr>
          <w:rFonts w:ascii="Times New Roman" w:hAnsi="Times New Roman"/>
          <w:color w:val="000000"/>
          <w:sz w:val="24"/>
        </w:rPr>
        <w:t xml:space="preserve">)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EXCLUSIVITY COVENANTS</w:t>
      </w:r>
      <w:r>
        <w:rPr>
          <w:rFonts w:ascii="Times New Roman" w:hAnsi="Times New Roman"/>
          <w:color w:val="000000"/>
          <w:sz w:val="24"/>
        </w:rPr>
        <w:t xml:space="preserve">), (B) GROSS NEGLIGENCE, WILLFUL MISCONDUCT OR INTENTIONALLY WRONGFUL ACT (INCLUDING FRAUD AND FRAUDULENT MISREPRESENTATION), OR (C) INDEMNIFICATION OBLIGATIONS UNDER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BIOCRYST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CLEARSIDE</w:t>
      </w:r>
      <w:r>
        <w:rPr>
          <w:rFonts w:ascii="Times New Roman" w:hAnsi="Times New Roman"/>
          <w:color w:val="000000"/>
          <w:sz w:val="24"/>
        </w:rPr>
        <w:t>), THEN, TO THE MAXIMUM EXTENT PERMITTED BY APPLICABLE LAW, IN NO EVENT WILL EITHER PARTY OR ITS AFFILIATES BE LIABLE UNDER THIS AGREEMENT FOR ANY SPECIAL, INDIRECT, INCIDENTAL, CONSEQUENTIAL OR PUNITIVE DAMAGES, WHETHER IN CONTRACT, WARRANTY, TORT, NEGLIGENCE, STRICT LIABILITY OR OTHERWISE, INCLUDING LOSS OF PROFITS OR REVENUE SUFFERED BY EITHER PARTY OR ANY OF ITS RESPECTIVE AFFILIATES OR REPRESENTATIVES.</w:t>
      </w:r>
    </w:p>
    <w:p>
      <w:pPr>
        <w:pStyle w:val="TextBody"/>
        <w:bidi w:val="0"/>
        <w:spacing w:before="0" w:after="240"/>
        <w:jc w:val="both"/>
        <w:rPr>
          <w:rFonts w:ascii="Times New Roman" w:hAnsi="Times New Roman"/>
          <w:sz w:val="20"/>
        </w:rPr>
      </w:pPr>
      <w:r>
        <w:rPr>
          <w:rFonts w:ascii="Times New Roman" w:hAnsi="Times New Roman"/>
          <w:b/>
          <w:color w:val="000000"/>
          <w:sz w:val="24"/>
        </w:rPr>
        <w:t>10.2 Indemnification by BioCryst</w:t>
      </w:r>
      <w:r>
        <w:rPr>
          <w:rFonts w:ascii="Times New Roman" w:hAnsi="Times New Roman"/>
          <w:color w:val="000000"/>
          <w:sz w:val="24"/>
        </w:rPr>
        <w:t>. BioCryst will indemnify, defend and hold harmless Clearside, its Affiliates, and each of its and their respective employees, officers, directors and agents (each, a “</w:t>
      </w:r>
      <w:r>
        <w:rPr>
          <w:rFonts w:ascii="Times New Roman" w:hAnsi="Times New Roman"/>
          <w:b/>
          <w:color w:val="000000"/>
          <w:sz w:val="24"/>
        </w:rPr>
        <w:t>Clearside Indemnified Party</w:t>
      </w:r>
      <w:r>
        <w:rPr>
          <w:rFonts w:ascii="Times New Roman" w:hAnsi="Times New Roman"/>
          <w:color w:val="000000"/>
          <w:sz w:val="20"/>
        </w:rPr>
        <w:t>”</w:t>
      </w:r>
      <w:r>
        <w:rPr>
          <w:rFonts w:ascii="Times New Roman" w:hAnsi="Times New Roman"/>
          <w:color w:val="000000"/>
          <w:sz w:val="24"/>
        </w:rPr>
        <w:t>) from and against any and all liability, loss, damage, expense (including reasonable attorneys’ fees and expenses) and cost (collectively, a “</w:t>
      </w:r>
      <w:r>
        <w:rPr>
          <w:rFonts w:ascii="Times New Roman" w:hAnsi="Times New Roman"/>
          <w:b/>
          <w:color w:val="000000"/>
          <w:sz w:val="24"/>
        </w:rPr>
        <w:t>Liability</w:t>
      </w:r>
      <w:r>
        <w:rPr>
          <w:rFonts w:ascii="Times New Roman" w:hAnsi="Times New Roman"/>
          <w:color w:val="000000"/>
          <w:sz w:val="20"/>
        </w:rPr>
        <w:t>”</w:t>
      </w:r>
      <w:r>
        <w:rPr>
          <w:rFonts w:ascii="Times New Roman" w:hAnsi="Times New Roman"/>
          <w:color w:val="000000"/>
          <w:sz w:val="24"/>
        </w:rPr>
        <w:t>) that the Clearside Indemnified Party may incur or be required to pay to one or more Third Parties to the extent resulting from or arising out 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the material breach by BioCryst or its Affiliates or Sublicensees of any of its representations, warranties or covenants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the gross negligence, recklessness or willful misconduct of any BioCryst Indemnified Party in the conduct of this Agreement; or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the Exploitation by BioCryst or any of its Affiliates or Sublicensees of the Covered Product in the Territory to the extent caused by the BioCryst Compound, including Liability caused by the Exploitation of the Covered Product infringing upon the Intellectual Property rights of a Third Party (to the extent such infringement is caused by the BioCryst Compound);</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that such indemnity will not apply to the extent Clearside has an indemnification obligation pursuant to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Clearside</w:t>
      </w:r>
      <w:r>
        <w:rPr>
          <w:rFonts w:ascii="Times New Roman" w:hAnsi="Times New Roman"/>
          <w:color w:val="000000"/>
          <w:sz w:val="24"/>
        </w:rPr>
        <w:t>) for such Liability, as to which Liability each Party will indemnify the other to the extent of their respective liability for such Liability.</w:t>
      </w:r>
    </w:p>
    <w:p>
      <w:pPr>
        <w:pStyle w:val="TextBody"/>
        <w:bidi w:val="0"/>
        <w:spacing w:before="0" w:after="240"/>
        <w:jc w:val="both"/>
        <w:rPr>
          <w:rFonts w:ascii="Times New Roman" w:hAnsi="Times New Roman"/>
          <w:sz w:val="20"/>
        </w:rPr>
      </w:pPr>
      <w:r>
        <w:rPr>
          <w:rFonts w:ascii="Times New Roman" w:hAnsi="Times New Roman"/>
          <w:b/>
          <w:color w:val="000000"/>
          <w:sz w:val="24"/>
        </w:rPr>
        <w:t>10.3 Indemnification by Clearside</w:t>
      </w:r>
      <w:r>
        <w:rPr>
          <w:rFonts w:ascii="Times New Roman" w:hAnsi="Times New Roman"/>
          <w:color w:val="000000"/>
          <w:sz w:val="24"/>
        </w:rPr>
        <w:t>. Clearside will indemnify, defend and hold harmless BioCryst, its Affiliates, Sublicensees, subcontractors, contractors, Distributors and each of its and their respective employees, officers, directors and agents (each, a “</w:t>
      </w:r>
      <w:r>
        <w:rPr>
          <w:rFonts w:ascii="Times New Roman" w:hAnsi="Times New Roman"/>
          <w:b/>
          <w:color w:val="000000"/>
          <w:sz w:val="24"/>
        </w:rPr>
        <w:t>BioCryst Indemnified Party</w:t>
      </w:r>
      <w:r>
        <w:rPr>
          <w:rFonts w:ascii="Times New Roman" w:hAnsi="Times New Roman"/>
          <w:color w:val="000000"/>
          <w:sz w:val="20"/>
        </w:rPr>
        <w:t>”</w:t>
      </w:r>
      <w:r>
        <w:rPr>
          <w:rFonts w:ascii="Times New Roman" w:hAnsi="Times New Roman"/>
          <w:color w:val="000000"/>
          <w:sz w:val="24"/>
        </w:rPr>
        <w:t>) from and against any and all Liabilities that the BioCryst Indemnified Party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incur or be required to pay to one or more Third Parties to the extent resulting from or arising out 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the material breach by Clearside or its Affiliates or Existing Suppliers or any other supplier qualified in accordance with this Agreement of any of its representations, warranties or covenants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the gross negligence, recklessness or willful misconduct of any Clearside Indemnified Party in the conduct of this Agreement; or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the Exploitation by BioCryst or any of its Affiliates, Sublicensees or Distributors of the Covered Product in the Territory to the extent caused by the Clearside Devices Manufactured by or on behalf of Clearside, including Liability caused by injury to persons or death caused by the Clearside Devices Manufactured by or on behalf of Clearside;</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that such indemnity will not apply to the extent BioCryst has an indemnification obligation pursuant to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BioCryst</w:t>
      </w:r>
      <w:r>
        <w:rPr>
          <w:rFonts w:ascii="Times New Roman" w:hAnsi="Times New Roman"/>
          <w:color w:val="000000"/>
          <w:sz w:val="24"/>
        </w:rPr>
        <w:t>) for such Liability, as to which Liability each Party will indemnify the other to the extent of their respective liability for such Liability.</w:t>
      </w:r>
    </w:p>
    <w:p>
      <w:pPr>
        <w:pStyle w:val="TextBody"/>
        <w:bidi w:val="0"/>
        <w:spacing w:before="0" w:after="240"/>
        <w:jc w:val="both"/>
        <w:rPr>
          <w:rFonts w:ascii="Times New Roman" w:hAnsi="Times New Roman"/>
          <w:sz w:val="20"/>
        </w:rPr>
      </w:pPr>
      <w:r>
        <w:rPr>
          <w:rFonts w:ascii="Times New Roman" w:hAnsi="Times New Roman"/>
          <w:b/>
          <w:color w:val="000000"/>
          <w:sz w:val="24"/>
        </w:rPr>
        <w:t>10.4 Procedure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(a) Notice</w:t>
      </w:r>
      <w:r>
        <w:rPr>
          <w:rFonts w:ascii="Times New Roman" w:hAnsi="Times New Roman"/>
          <w:color w:val="000000"/>
          <w:sz w:val="24"/>
        </w:rPr>
        <w:t>. Each Party will notify the other Party in writing in the event it becomes aware of a claim for which indemnification may be sought hereunder. In the event that any Third Party asserts a claim or other proceeding with respect to any matter for which a Party (the “</w:t>
      </w:r>
      <w:r>
        <w:rPr>
          <w:rFonts w:ascii="Times New Roman" w:hAnsi="Times New Roman"/>
          <w:b/>
          <w:color w:val="000000"/>
          <w:sz w:val="24"/>
        </w:rPr>
        <w:t>Indemnified Party</w:t>
      </w:r>
      <w:r>
        <w:rPr>
          <w:rFonts w:ascii="Times New Roman" w:hAnsi="Times New Roman"/>
          <w:color w:val="000000"/>
          <w:sz w:val="20"/>
        </w:rPr>
        <w:t>”</w:t>
      </w:r>
      <w:r>
        <w:rPr>
          <w:rFonts w:ascii="Times New Roman" w:hAnsi="Times New Roman"/>
          <w:color w:val="000000"/>
          <w:sz w:val="24"/>
        </w:rPr>
        <w:t>) is entitled to indemnification hereunder (a “</w:t>
      </w:r>
      <w:r>
        <w:rPr>
          <w:rFonts w:ascii="Times New Roman" w:hAnsi="Times New Roman"/>
          <w:b/>
          <w:color w:val="000000"/>
          <w:sz w:val="24"/>
        </w:rPr>
        <w:t>Third Party Claim</w:t>
      </w:r>
      <w:r>
        <w:rPr>
          <w:rFonts w:ascii="Times New Roman" w:hAnsi="Times New Roman"/>
          <w:color w:val="000000"/>
          <w:sz w:val="20"/>
        </w:rPr>
        <w:t>”</w:t>
      </w:r>
      <w:r>
        <w:rPr>
          <w:rFonts w:ascii="Times New Roman" w:hAnsi="Times New Roman"/>
          <w:color w:val="000000"/>
          <w:sz w:val="24"/>
        </w:rPr>
        <w:t>), then the Indemnified Party will promptly notify the Party obligated to indemnify the Indemnified Party (the “</w:t>
      </w:r>
      <w:r>
        <w:rPr>
          <w:rFonts w:ascii="Times New Roman" w:hAnsi="Times New Roman"/>
          <w:b/>
          <w:color w:val="000000"/>
          <w:sz w:val="24"/>
        </w:rPr>
        <w:t>Indemnifying Party</w:t>
      </w:r>
      <w:r>
        <w:rPr>
          <w:rFonts w:ascii="Times New Roman" w:hAnsi="Times New Roman"/>
          <w:color w:val="000000"/>
          <w:sz w:val="20"/>
        </w:rPr>
        <w:t>”</w:t>
      </w:r>
      <w:r>
        <w:rPr>
          <w:rFonts w:ascii="Times New Roman" w:hAnsi="Times New Roman"/>
          <w:color w:val="000000"/>
          <w:sz w:val="24"/>
        </w:rPr>
        <w:t>) thereof; provided, however, that no delay on the part of the Indemnified Party in notifying the Indemnifying Party will relieve the Indemnifying Party from any obligation hereunder unless (and then only to the extent that) the Indemnifying Party is prejudiced thereby.</w:t>
      </w:r>
    </w:p>
    <w:p>
      <w:pPr>
        <w:pStyle w:val="TextBody"/>
        <w:bidi w:val="0"/>
        <w:spacing w:before="0" w:after="240"/>
        <w:jc w:val="both"/>
        <w:rPr>
          <w:rFonts w:ascii="Times New Roman" w:hAnsi="Times New Roman"/>
          <w:sz w:val="20"/>
        </w:rPr>
      </w:pPr>
      <w:r>
        <w:rPr>
          <w:rFonts w:ascii="Times New Roman" w:hAnsi="Times New Roman"/>
          <w:b/>
          <w:color w:val="000000"/>
          <w:sz w:val="24"/>
        </w:rPr>
        <w:t>(b) Control</w:t>
      </w:r>
      <w:r>
        <w:rPr>
          <w:rFonts w:ascii="Times New Roman" w:hAnsi="Times New Roman"/>
          <w:color w:val="000000"/>
          <w:sz w:val="24"/>
        </w:rPr>
        <w:t>. The Indemnifying Party will have the right, exercisable by notice to the Indemnified Party within [***] ([***]) Business Days after receipt of notice from the Indemnified Party of the assertion of any Third Party Claim, to participate in and to assume the defense thereof with counsel of its choice, which counsel will be reasonably acceptable to the Indemnified Party; provided that an Indemnified Party will have the right to retain its own counsel at its own expense.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28" w:name="docxtextref160"/>
      <w:bookmarkEnd w:id="128"/>
      <w:r>
        <w:rPr>
          <w:rFonts w:ascii="Times New Roman" w:hAnsi="Times New Roman"/>
          <w:b/>
          <w:color w:val="000000"/>
          <w:sz w:val="24"/>
        </w:rPr>
        <w:t>(c) Settlement</w:t>
      </w:r>
      <w:r>
        <w:rPr>
          <w:rFonts w:ascii="Times New Roman" w:hAnsi="Times New Roman"/>
          <w:color w:val="000000"/>
          <w:sz w:val="24"/>
        </w:rPr>
        <w:t>. The Indemnifying Party will not be liable for any damages with respect to any Third Party Claim that is settled or compromised by the Indemnified Party without the Indemnifying Party’s prior written consent, not to be unreasonably withheld, conditioned or delayed. No offer of settlement, compromise or settlement by the Indemnifying Party will be binding on an Indemnified Party without the Indemnified Party’s prior written consent (not to be unreasonably withheld, conditioned or delayed), unless such settlement or compromise (i)</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releases the Indemnified Party without any liability, loss, cost or obligation, and (ii) admits no liability, wrongdoing or other admission against interest on the part of the Indemnified Party.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10.5 Insurance. </w:t>
      </w:r>
      <w:r>
        <w:rPr>
          <w:rFonts w:ascii="Times New Roman" w:hAnsi="Times New Roman"/>
          <w:color w:val="000000"/>
          <w:sz w:val="24"/>
        </w:rPr>
        <w:t xml:space="preserve">Each Party will have and maintain, at its sole cost and expense, adequate liability insurance, (including product liability insurance, employers liability, statutory Workers Compensation and contractual liability) to protect against potential liabilities and risk arising out of activities to be performed under this Agreement and any agreement related hereto and upon such terms (including coverages, deductible limits and self-insured retentions) as are customary in the pharmaceutical industry generally for the activities to be conducted by such Party under this Agreement, but in no event less than [***] Dollars ($[***]) per occurrence for personal injury and [***] Dollars ($[***]) per occurrence for property damage. Such liability insurance program will insure against all types of liability, including personal injury, physical injury or property damage arising out of such Party’s activities hereunder. All insurance coverage required under this Agreement shall be primary to any coverage carried by an Indemnified Party, shall waive all rights of subrogation against any additional insured and shall be placed with insurers whose A.M. Best’s rating is at least [***]. Such liability insurance program will require any insurance carrier to provide the Parties with no less than [***] ([***]) days’ written notice of any change in the terms or coverage of the policy or its cancellation and, if written on a “claims made” basis, either Party will provide coverage for [***] years after termination of this Agreement. This </w:t>
      </w:r>
      <w:r>
        <w:rPr>
          <w:rFonts w:ascii="Times New Roman" w:hAnsi="Times New Roman"/>
          <w:color w:val="000000"/>
          <w:sz w:val="24"/>
          <w:u w:val="single"/>
        </w:rPr>
        <w:t>Section 10.5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Insurance</w:t>
      </w:r>
      <w:r>
        <w:rPr>
          <w:rFonts w:ascii="Times New Roman" w:hAnsi="Times New Roman"/>
          <w:color w:val="000000"/>
          <w:sz w:val="24"/>
        </w:rPr>
        <w:t>) will not create any limitation on the Parties’ liability under this Agreement. Such insurance information will be kept in confidence in the same manner as any other Confidential Information disclosed by the Parties hereunder.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11</w:t>
      </w:r>
      <w:r>
        <w:rPr>
          <w:rFonts w:ascii="Times New Roman" w:hAnsi="Times New Roman"/>
          <w:caps/>
          <w:color w:val="000000"/>
          <w:sz w:val="24"/>
        </w:rPr>
        <w:br/>
      </w:r>
      <w:r>
        <w:rPr>
          <w:rFonts w:ascii="Times New Roman" w:hAnsi="Times New Roman"/>
          <w:b/>
          <w:caps/>
          <w:color w:val="000000"/>
          <w:sz w:val="24"/>
        </w:rPr>
        <w:t>MISCELLANEOUS</w:t>
      </w:r>
    </w:p>
    <w:p>
      <w:pPr>
        <w:pStyle w:val="TextBody"/>
        <w:bidi w:val="0"/>
        <w:spacing w:before="0" w:after="240"/>
        <w:jc w:val="both"/>
        <w:rPr>
          <w:rFonts w:ascii="Times New Roman" w:hAnsi="Times New Roman"/>
          <w:sz w:val="20"/>
        </w:rPr>
      </w:pPr>
      <w:bookmarkStart w:id="129" w:name="docxtextref161"/>
      <w:bookmarkEnd w:id="129"/>
      <w:r>
        <w:rPr>
          <w:rFonts w:ascii="Times New Roman" w:hAnsi="Times New Roman"/>
          <w:b/>
          <w:color w:val="000000"/>
          <w:sz w:val="24"/>
        </w:rPr>
        <w:t>11.1 Assignment</w:t>
      </w:r>
      <w:r>
        <w:rPr>
          <w:rFonts w:ascii="Times New Roman" w:hAnsi="Times New Roman"/>
          <w:color w:val="000000"/>
          <w:sz w:val="24"/>
        </w:rPr>
        <w:t xml:space="preserve">. The rights arising under this Agreement may not be assigned or otherwise transferred by either Party without the prior written consent of the other Party, not to be unreasonably withheld, conditioned or delayed;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either Party may assign such rights without the consent of the other Party (a)</w:t>
      </w:r>
      <w:r>
        <w:rPr>
          <w:rFonts w:ascii="Times New Roman" w:hAnsi="Times New Roman"/>
          <w:color w:val="000000"/>
          <w:sz w:val="20"/>
        </w:rPr>
        <w:t xml:space="preserve"> </w:t>
      </w:r>
      <w:r>
        <w:rPr>
          <w:rFonts w:ascii="Times New Roman" w:hAnsi="Times New Roman"/>
          <w:color w:val="000000"/>
          <w:sz w:val="24"/>
        </w:rPr>
        <w:t xml:space="preserve">to any of its Affiliates; or </w:t>
      </w:r>
      <w:bookmarkStart w:id="130" w:name="docxtextref162"/>
      <w:bookmarkEnd w:id="130"/>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to any Person acquiring all or substantially all of its assets or business to which this Agreement relates, whether by merger, sale of assets, operation of law or otherwise. In all cases, the assigning Party will provide the other Party with prompt written notice of any such assignment. No assignment of rights under this Agreement will act as a novation. Any assignment not in accordance with this </w:t>
      </w:r>
      <w:r>
        <w:rPr>
          <w:rFonts w:ascii="Times New Roman" w:hAnsi="Times New Roman"/>
          <w:color w:val="000000"/>
          <w:sz w:val="24"/>
          <w:u w:val="single"/>
        </w:rPr>
        <w:t>Section 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Assignment</w:t>
      </w:r>
      <w:r>
        <w:rPr>
          <w:rFonts w:ascii="Times New Roman" w:hAnsi="Times New Roman"/>
          <w:color w:val="000000"/>
          <w:sz w:val="24"/>
        </w:rPr>
        <w:t>) will be null and void.</w:t>
      </w:r>
    </w:p>
    <w:p>
      <w:pPr>
        <w:pStyle w:val="TextBody"/>
        <w:bidi w:val="0"/>
        <w:spacing w:before="0" w:after="240"/>
        <w:jc w:val="both"/>
        <w:rPr>
          <w:rFonts w:ascii="Times New Roman" w:hAnsi="Times New Roman"/>
          <w:sz w:val="20"/>
        </w:rPr>
      </w:pPr>
      <w:bookmarkStart w:id="131" w:name="docxtextref166"/>
      <w:bookmarkEnd w:id="131"/>
      <w:r>
        <w:rPr>
          <w:rFonts w:ascii="Times New Roman" w:hAnsi="Times New Roman"/>
          <w:b/>
          <w:color w:val="000000"/>
          <w:sz w:val="24"/>
        </w:rPr>
        <w:t>11.2 Rights in Bankruptcy</w:t>
      </w:r>
      <w:r>
        <w:rPr>
          <w:rFonts w:ascii="Times New Roman" w:hAnsi="Times New Roman"/>
          <w:color w:val="000000"/>
          <w:sz w:val="24"/>
        </w:rPr>
        <w:t>. All rights and licenses granted under or pursuant to this Agreement by Clearside are and will otherwise be deemed to be, for purposes of Section 365(n)</w:t>
      </w:r>
      <w:r>
        <w:rPr>
          <w:rFonts w:ascii="Times New Roman" w:hAnsi="Times New Roman"/>
          <w:color w:val="000000"/>
          <w:sz w:val="20"/>
        </w:rPr>
        <w:t xml:space="preserve"> </w:t>
      </w:r>
      <w:r>
        <w:rPr>
          <w:rFonts w:ascii="Times New Roman" w:hAnsi="Times New Roman"/>
          <w:color w:val="000000"/>
          <w:sz w:val="24"/>
        </w:rPr>
        <w:t xml:space="preserve">of the U.S. Bankruptcy Code or any analogous provisions in any other country or jurisdiction, licenses of right to “intellectual property” as defined under </w:t>
      </w:r>
      <w:bookmarkStart w:id="132" w:name="docxtextref165"/>
      <w:bookmarkEnd w:id="132"/>
      <w:r>
        <w:rPr>
          <w:rFonts w:ascii="Times New Roman" w:hAnsi="Times New Roman"/>
          <w:color w:val="000000"/>
          <w:sz w:val="24"/>
        </w:rPr>
        <w:t>Section 101</w:t>
      </w:r>
      <w:r>
        <w:rPr>
          <w:rFonts w:ascii="Times New Roman" w:hAnsi="Times New Roman"/>
          <w:color w:val="000000"/>
          <w:sz w:val="20"/>
        </w:rPr>
        <w:t xml:space="preserve"> </w:t>
      </w:r>
      <w:r>
        <w:rPr>
          <w:rFonts w:ascii="Times New Roman" w:hAnsi="Times New Roman"/>
          <w:color w:val="000000"/>
          <w:sz w:val="24"/>
        </w:rPr>
        <w:t>of the U.S. Bankruptcy Code. The Parties agree that BioCryst, as licensee of such rights under this Agreement, will retain and may fully exercise all of its rights and elections under the U.S. Bankruptcy Code or any analogous provisions in any other country or jurisdiction. The Parties further agree that, in the event of the commencement of a bankruptcy proceeding by or against Clearside under the U.S. Bankruptcy Code or any analogous provisions in any other country or jurisdiction, BioCryst will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bookmarkStart w:id="133" w:name="docxtextref163"/>
      <w:bookmarkEnd w:id="133"/>
      <w:r>
        <w:rPr>
          <w:rFonts w:ascii="Times New Roman" w:hAnsi="Times New Roman"/>
          <w:color w:val="000000"/>
          <w:sz w:val="24"/>
        </w:rPr>
        <w:t>be entitled to a complete duplicate of (or complete access to, as appropriate) any such intellectual property and all embodiments of such intellectual property, which, if not already in BioCryst’s possession, will be promptly delivered to it (a)</w:t>
      </w:r>
      <w:r>
        <w:rPr>
          <w:rFonts w:ascii="Times New Roman" w:hAnsi="Times New Roman"/>
          <w:color w:val="000000"/>
          <w:sz w:val="20"/>
        </w:rPr>
        <w:t xml:space="preserve"> </w:t>
      </w:r>
      <w:r>
        <w:rPr>
          <w:rFonts w:ascii="Times New Roman" w:hAnsi="Times New Roman"/>
          <w:color w:val="000000"/>
          <w:sz w:val="24"/>
        </w:rPr>
        <w:t xml:space="preserve">upon any such commencement of a bankruptcy proceeding upon BioCryst’s written request therefor, unless Clearside elects to continue to perform all of its obligations under this Agreement or </w:t>
      </w:r>
      <w:bookmarkStart w:id="134" w:name="docxtextref164"/>
      <w:bookmarkEnd w:id="134"/>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 not delivered under clause (a) above, following the rejection of this Agreement by or on behalf of Clearside upon written request therefor by BioCryst.</w:t>
      </w:r>
    </w:p>
    <w:p>
      <w:pPr>
        <w:pStyle w:val="TextBody"/>
        <w:bidi w:val="0"/>
        <w:spacing w:before="0" w:after="240"/>
        <w:jc w:val="both"/>
        <w:rPr>
          <w:rFonts w:ascii="Times New Roman" w:hAnsi="Times New Roman"/>
          <w:sz w:val="20"/>
        </w:rPr>
      </w:pPr>
      <w:r>
        <w:rPr>
          <w:rFonts w:ascii="Times New Roman" w:hAnsi="Times New Roman"/>
          <w:b/>
          <w:color w:val="000000"/>
          <w:sz w:val="24"/>
        </w:rPr>
        <w:t>11.3 Further Actions</w:t>
      </w:r>
      <w:r>
        <w:rPr>
          <w:rFonts w:ascii="Times New Roman" w:hAnsi="Times New Roman"/>
          <w:color w:val="000000"/>
          <w:sz w:val="24"/>
        </w:rPr>
        <w:t>. Each Party agrees to execute, acknowledge and deliver such further instruments, and to do all such other acts, as may be necessary or appropriate in order to carry out the purposes and intent of the Agreement.</w:t>
      </w:r>
    </w:p>
    <w:p>
      <w:pPr>
        <w:pStyle w:val="TextBody"/>
        <w:bidi w:val="0"/>
        <w:spacing w:before="0" w:after="240"/>
        <w:jc w:val="both"/>
        <w:rPr>
          <w:rFonts w:ascii="Times New Roman" w:hAnsi="Times New Roman"/>
          <w:sz w:val="20"/>
        </w:rPr>
      </w:pPr>
      <w:r>
        <w:rPr>
          <w:rFonts w:ascii="Times New Roman" w:hAnsi="Times New Roman"/>
          <w:b/>
          <w:color w:val="000000"/>
          <w:sz w:val="24"/>
        </w:rPr>
        <w:t>11.4 Force Majeure</w:t>
      </w:r>
      <w:r>
        <w:rPr>
          <w:rFonts w:ascii="Times New Roman" w:hAnsi="Times New Roman"/>
          <w:color w:val="000000"/>
          <w:sz w:val="24"/>
        </w:rPr>
        <w:t>. Any delay in performance by any Party under this Agreement will not be considered a breach of this Agreement if and to the extent caused by occurrences beyond the reasonable control of the Party affected, potentially including but not limited to acts of God, embargoes, governmental restrictions, strikes (but not strikes of the delayed Party) or other concerted acts of workers, fire, flood, earthquakes, explosions, riots, wars, civil disorder, rebellion or sabotage. The Party suffering such occurrence will immediately notify the other Party, and any time for performance hereunder will be extended by the actual time of delay caused by the occurrence.</w:t>
      </w:r>
    </w:p>
    <w:p>
      <w:pPr>
        <w:pStyle w:val="TextBody"/>
        <w:bidi w:val="0"/>
        <w:spacing w:before="0" w:after="240"/>
        <w:jc w:val="both"/>
        <w:rPr>
          <w:rFonts w:ascii="Times New Roman" w:hAnsi="Times New Roman"/>
          <w:sz w:val="20"/>
        </w:rPr>
      </w:pPr>
      <w:bookmarkStart w:id="135" w:name="docxtextref167"/>
      <w:bookmarkEnd w:id="135"/>
      <w:r>
        <w:rPr>
          <w:rFonts w:ascii="Times New Roman" w:hAnsi="Times New Roman"/>
          <w:b/>
          <w:color w:val="000000"/>
          <w:sz w:val="24"/>
        </w:rPr>
        <w:t>11.5 Notices</w:t>
      </w:r>
      <w:r>
        <w:rPr>
          <w:rFonts w:ascii="Times New Roman" w:hAnsi="Times New Roman"/>
          <w:color w:val="000000"/>
          <w:sz w:val="24"/>
        </w:rPr>
        <w:t>. All communications required to be made under this Agreement will be sent to the addresses set out below, or to such other addresses as may be designated by one Party to the other by notice pursuant hereto, by (a)</w:t>
      </w:r>
      <w:r>
        <w:rPr>
          <w:rFonts w:ascii="Times New Roman" w:hAnsi="Times New Roman"/>
          <w:color w:val="000000"/>
          <w:sz w:val="20"/>
        </w:rPr>
        <w:t xml:space="preserve"> </w:t>
      </w:r>
      <w:r>
        <w:rPr>
          <w:rFonts w:ascii="Times New Roman" w:hAnsi="Times New Roman"/>
          <w:color w:val="000000"/>
          <w:sz w:val="24"/>
        </w:rPr>
        <w:t xml:space="preserve">internationally recognized overnight courier which notice shall be effective the next Business Day; </w:t>
      </w:r>
      <w:bookmarkStart w:id="136" w:name="docxtextref168"/>
      <w:bookmarkEnd w:id="136"/>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prepaid registered or certified US mail, return receipt requested, which notice shall be effective seven (7) days of deposit; or </w:t>
      </w:r>
      <w:bookmarkStart w:id="137" w:name="docxtextref169"/>
      <w:bookmarkEnd w:id="137"/>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email, which notice shall be effective on the next Business Day,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such notice is followed by either of the notice methods set forth in subclauses (a) and </w:t>
      </w:r>
      <w:bookmarkStart w:id="138" w:name="docxtextref170"/>
      <w:bookmarkEnd w:id="138"/>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correspondence to BioCryst will be addressed as follows:</w:t>
      </w:r>
    </w:p>
    <w:tbl>
      <w:tblPr>
        <w:tblW w:w="6803" w:type="dxa"/>
        <w:jc w:val="left"/>
        <w:tblInd w:w="0" w:type="dxa"/>
        <w:tblLayout w:type="fixed"/>
        <w:tblCellMar>
          <w:top w:w="28" w:type="dxa"/>
          <w:left w:w="28" w:type="dxa"/>
          <w:bottom w:w="28" w:type="dxa"/>
          <w:right w:w="28" w:type="dxa"/>
        </w:tblCellMar>
      </w:tblPr>
      <w:tblGrid>
        <w:gridCol w:w="6803"/>
      </w:tblGrid>
      <w:tr>
        <w:trPr/>
        <w:tc>
          <w:tcPr>
            <w:tcW w:w="6803" w:type="dxa"/>
            <w:tcBorders/>
            <w:vAlign w:val="center"/>
          </w:tcPr>
          <w:p>
            <w:pPr>
              <w:pStyle w:val="TableContents"/>
              <w:bidi w:val="0"/>
              <w:spacing w:before="0" w:after="283"/>
              <w:ind w:left="0" w:right="0" w:firstLine="2137"/>
              <w:jc w:val="left"/>
              <w:rPr>
                <w:sz w:val="4"/>
                <w:szCs w:val="4"/>
              </w:rPr>
            </w:pPr>
            <w:r>
              <w:rPr>
                <w:sz w:val="4"/>
                <w:szCs w:val="4"/>
              </w:rPr>
            </w:r>
          </w:p>
        </w:tc>
      </w:tr>
      <w:tr>
        <w:trPr/>
        <w:tc>
          <w:tcPr>
            <w:tcW w:w="6803" w:type="dxa"/>
            <w:tcBorders/>
            <w:tcMar>
              <w:top w:w="0" w:type="dxa"/>
              <w:left w:w="0" w:type="dxa"/>
              <w:bottom w:w="0" w:type="dxa"/>
              <w:right w:w="0" w:type="dxa"/>
            </w:tcMar>
            <w:vAlign w:val="center"/>
          </w:tcPr>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BioCryst Pharmaceuticals, Inc.</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4505 Emperor Blvd.</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Suite 200</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Durham, NC 27703</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Attention: Chief Legal Officer</w:t>
            </w:r>
          </w:p>
          <w:p>
            <w:pPr>
              <w:pStyle w:val="TableContents"/>
              <w:bidi w:val="0"/>
              <w:spacing w:before="0" w:after="283"/>
              <w:ind w:left="0" w:right="0" w:firstLine="697"/>
              <w:jc w:val="left"/>
              <w:rPr/>
            </w:pPr>
            <w:r>
              <w:rPr/>
              <w:t> </w:t>
            </w:r>
          </w:p>
        </w:tc>
      </w:tr>
      <w:tr>
        <w:trPr/>
        <w:tc>
          <w:tcPr>
            <w:tcW w:w="6803" w:type="dxa"/>
            <w:tcBorders/>
            <w:tcMar>
              <w:top w:w="0" w:type="dxa"/>
              <w:left w:w="0" w:type="dxa"/>
              <w:bottom w:w="0" w:type="dxa"/>
              <w:right w:w="0" w:type="dxa"/>
            </w:tcMar>
            <w:vAlign w:val="center"/>
          </w:tcPr>
          <w:p>
            <w:pPr>
              <w:pStyle w:val="TableContents"/>
              <w:bidi w:val="0"/>
              <w:spacing w:before="0" w:after="283"/>
              <w:ind w:left="0" w:right="0" w:firstLine="2137"/>
              <w:jc w:val="left"/>
              <w:rPr>
                <w:rFonts w:ascii="Times New Roman" w:hAnsi="Times New Roman"/>
                <w:color w:val="000000"/>
                <w:sz w:val="24"/>
              </w:rPr>
            </w:pPr>
            <w:r>
              <w:rPr>
                <w:rFonts w:ascii="Times New Roman" w:hAnsi="Times New Roman"/>
                <w:color w:val="000000"/>
                <w:sz w:val="24"/>
              </w:rPr>
              <w:t xml:space="preserve">with copies to: </w:t>
            </w:r>
          </w:p>
        </w:tc>
      </w:tr>
      <w:tr>
        <w:trPr/>
        <w:tc>
          <w:tcPr>
            <w:tcW w:w="6803" w:type="dxa"/>
            <w:tcBorders/>
            <w:tcMar>
              <w:top w:w="0" w:type="dxa"/>
              <w:left w:w="0" w:type="dxa"/>
              <w:bottom w:w="0" w:type="dxa"/>
              <w:right w:w="0" w:type="dxa"/>
            </w:tcMar>
            <w:vAlign w:val="center"/>
          </w:tcPr>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BioCryst Pharmaceuticals, Inc.</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4505 Emperor Blvd.</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Suite 200</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Durham, NC 27703</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Attention: Chief Business Development Officer</w:t>
            </w:r>
          </w:p>
          <w:p>
            <w:pPr>
              <w:pStyle w:val="TableContents"/>
              <w:bidi w:val="0"/>
              <w:spacing w:before="0" w:after="283"/>
              <w:ind w:left="2137" w:right="0" w:firstLine="2137"/>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tbl>
      <w:tblPr>
        <w:tblW w:w="8108" w:type="dxa"/>
        <w:jc w:val="left"/>
        <w:tblInd w:w="0" w:type="dxa"/>
        <w:tblLayout w:type="fixed"/>
        <w:tblCellMar>
          <w:top w:w="28" w:type="dxa"/>
          <w:left w:w="28" w:type="dxa"/>
          <w:bottom w:w="28" w:type="dxa"/>
          <w:right w:w="28" w:type="dxa"/>
        </w:tblCellMar>
      </w:tblPr>
      <w:tblGrid>
        <w:gridCol w:w="8108"/>
      </w:tblGrid>
      <w:tr>
        <w:trPr/>
        <w:tc>
          <w:tcPr>
            <w:tcW w:w="8108" w:type="dxa"/>
            <w:tcBorders/>
            <w:vAlign w:val="center"/>
          </w:tcPr>
          <w:p>
            <w:pPr>
              <w:pStyle w:val="TableContents"/>
              <w:bidi w:val="0"/>
              <w:spacing w:before="0" w:after="283"/>
              <w:ind w:left="0" w:right="0" w:firstLine="2131"/>
              <w:jc w:val="left"/>
              <w:rPr>
                <w:sz w:val="4"/>
                <w:szCs w:val="4"/>
              </w:rPr>
            </w:pPr>
            <w:r>
              <w:rPr>
                <w:sz w:val="4"/>
                <w:szCs w:val="4"/>
              </w:rPr>
            </w:r>
          </w:p>
        </w:tc>
      </w:tr>
      <w:tr>
        <w:trPr/>
        <w:tc>
          <w:tcPr>
            <w:tcW w:w="8108" w:type="dxa"/>
            <w:tcBorders/>
            <w:tcMar>
              <w:top w:w="0" w:type="dxa"/>
              <w:left w:w="0" w:type="dxa"/>
              <w:bottom w:w="0" w:type="dxa"/>
              <w:right w:w="0" w:type="dxa"/>
            </w:tcMar>
            <w:vAlign w:val="center"/>
          </w:tcPr>
          <w:p>
            <w:pPr>
              <w:pStyle w:val="TableContents"/>
              <w:bidi w:val="0"/>
              <w:ind w:left="2131" w:right="0" w:firstLine="2131"/>
              <w:jc w:val="left"/>
              <w:rPr>
                <w:rFonts w:ascii="Times New Roman" w:hAnsi="Times New Roman"/>
                <w:color w:val="000000"/>
                <w:sz w:val="24"/>
              </w:rPr>
            </w:pPr>
            <w:r>
              <w:rPr>
                <w:rFonts w:ascii="Times New Roman" w:hAnsi="Times New Roman"/>
                <w:color w:val="000000"/>
                <w:sz w:val="24"/>
              </w:rPr>
              <w:t>Freshfields Bruckhaus Deringer</w:t>
            </w:r>
          </w:p>
          <w:p>
            <w:pPr>
              <w:pStyle w:val="TableContents"/>
              <w:bidi w:val="0"/>
              <w:ind w:left="2131" w:right="0" w:firstLine="2131"/>
              <w:jc w:val="left"/>
              <w:rPr>
                <w:rFonts w:ascii="Times New Roman" w:hAnsi="Times New Roman"/>
                <w:color w:val="000000"/>
                <w:sz w:val="24"/>
              </w:rPr>
            </w:pPr>
            <w:r>
              <w:rPr>
                <w:rFonts w:ascii="Times New Roman" w:hAnsi="Times New Roman"/>
                <w:color w:val="000000"/>
                <w:sz w:val="24"/>
              </w:rPr>
              <w:t>700 13th St. NW</w:t>
            </w:r>
          </w:p>
          <w:p>
            <w:pPr>
              <w:pStyle w:val="TableContents"/>
              <w:bidi w:val="0"/>
              <w:ind w:left="2131" w:right="0" w:firstLine="2131"/>
              <w:jc w:val="left"/>
              <w:rPr>
                <w:rFonts w:ascii="Times New Roman" w:hAnsi="Times New Roman"/>
                <w:color w:val="000000"/>
                <w:sz w:val="24"/>
              </w:rPr>
            </w:pPr>
            <w:r>
              <w:rPr>
                <w:rFonts w:ascii="Times New Roman" w:hAnsi="Times New Roman"/>
                <w:color w:val="000000"/>
                <w:sz w:val="24"/>
              </w:rPr>
              <w:t>Washington, DC 20005</w:t>
            </w:r>
          </w:p>
          <w:p>
            <w:pPr>
              <w:pStyle w:val="TableContents"/>
              <w:bidi w:val="0"/>
              <w:ind w:left="2131" w:right="0" w:firstLine="2131"/>
              <w:jc w:val="left"/>
              <w:rPr>
                <w:rFonts w:ascii="Times New Roman" w:hAnsi="Times New Roman"/>
                <w:color w:val="000000"/>
                <w:sz w:val="24"/>
              </w:rPr>
            </w:pPr>
            <w:r>
              <w:rPr>
                <w:rFonts w:ascii="Times New Roman" w:hAnsi="Times New Roman"/>
                <w:color w:val="000000"/>
                <w:sz w:val="24"/>
              </w:rPr>
              <w:t>Attention: [***]</w:t>
            </w:r>
          </w:p>
          <w:p>
            <w:pPr>
              <w:pStyle w:val="TableContents"/>
              <w:bidi w:val="0"/>
              <w:ind w:left="2131" w:right="0" w:firstLine="2131"/>
              <w:jc w:val="left"/>
              <w:rPr>
                <w:rFonts w:ascii="Times New Roman" w:hAnsi="Times New Roman"/>
                <w:color w:val="000000"/>
                <w:sz w:val="24"/>
              </w:rPr>
            </w:pPr>
            <w:r>
              <w:rPr>
                <w:rFonts w:ascii="Times New Roman" w:hAnsi="Times New Roman"/>
                <w:color w:val="000000"/>
                <w:sz w:val="24"/>
              </w:rPr>
              <w:t>Email: [***]</w:t>
            </w:r>
          </w:p>
          <w:p>
            <w:pPr>
              <w:pStyle w:val="TableContents"/>
              <w:bidi w:val="0"/>
              <w:spacing w:before="0" w:after="283"/>
              <w:ind w:left="0" w:right="0" w:firstLine="720"/>
              <w:jc w:val="left"/>
              <w:rPr/>
            </w:pPr>
            <w:r>
              <w:rPr/>
              <w:t> </w:t>
            </w:r>
          </w:p>
        </w:tc>
      </w:tr>
      <w:tr>
        <w:trPr/>
        <w:tc>
          <w:tcPr>
            <w:tcW w:w="8108" w:type="dxa"/>
            <w:tcBorders/>
            <w:tcMar>
              <w:top w:w="0" w:type="dxa"/>
              <w:left w:w="0" w:type="dxa"/>
              <w:bottom w:w="0" w:type="dxa"/>
              <w:right w:w="0" w:type="dxa"/>
            </w:tcMar>
            <w:vAlign w:val="center"/>
          </w:tcPr>
          <w:p>
            <w:pPr>
              <w:pStyle w:val="TableContents"/>
              <w:bidi w:val="0"/>
              <w:spacing w:before="0" w:after="283"/>
              <w:ind w:left="0" w:right="0" w:firstLine="2137"/>
              <w:jc w:val="left"/>
              <w:rPr>
                <w:rFonts w:ascii="Times New Roman" w:hAnsi="Times New Roman"/>
                <w:color w:val="000000"/>
                <w:sz w:val="24"/>
              </w:rPr>
            </w:pPr>
            <w:r>
              <w:rPr>
                <w:rFonts w:ascii="Times New Roman" w:hAnsi="Times New Roman"/>
                <w:color w:val="000000"/>
                <w:sz w:val="24"/>
              </w:rPr>
              <w:t>All correspondence to Clearside will be addressed as follows:</w:t>
            </w:r>
          </w:p>
        </w:tc>
      </w:tr>
      <w:tr>
        <w:trPr/>
        <w:tc>
          <w:tcPr>
            <w:tcW w:w="8108" w:type="dxa"/>
            <w:tcBorders/>
            <w:tcMar>
              <w:top w:w="0" w:type="dxa"/>
              <w:left w:w="0" w:type="dxa"/>
              <w:bottom w:w="0" w:type="dxa"/>
              <w:right w:w="0" w:type="dxa"/>
            </w:tcMar>
            <w:vAlign w:val="center"/>
          </w:tcPr>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Clearside Biomedical, Inc.</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900 North Point Parkway, Suite 200</w:t>
            </w:r>
          </w:p>
          <w:p>
            <w:pPr>
              <w:pStyle w:val="TableContents"/>
              <w:bidi w:val="0"/>
              <w:ind w:left="2137" w:right="0" w:firstLine="2137"/>
              <w:jc w:val="left"/>
              <w:rPr>
                <w:rFonts w:ascii="Times New Roman" w:hAnsi="Times New Roman"/>
                <w:color w:val="000000"/>
                <w:sz w:val="24"/>
              </w:rPr>
            </w:pPr>
            <w:r>
              <w:rPr>
                <w:rFonts w:ascii="Times New Roman" w:hAnsi="Times New Roman"/>
                <w:color w:val="000000"/>
                <w:sz w:val="24"/>
              </w:rPr>
              <w:t>Alpharetta, GA 30005</w:t>
            </w:r>
          </w:p>
          <w:p>
            <w:pPr>
              <w:pStyle w:val="TableContents"/>
              <w:bidi w:val="0"/>
              <w:spacing w:before="0" w:after="283"/>
              <w:ind w:left="0" w:right="0" w:firstLine="697"/>
              <w:jc w:val="left"/>
              <w:rPr>
                <w:rFonts w:ascii="Times New Roman" w:hAnsi="Times New Roman"/>
                <w:color w:val="000000"/>
                <w:sz w:val="24"/>
              </w:rPr>
            </w:pPr>
            <w:r>
              <w:rPr>
                <w:rFonts w:ascii="Times New Roman" w:hAnsi="Times New Roman"/>
                <w:color w:val="000000"/>
                <w:sz w:val="24"/>
              </w:rPr>
              <w:t>Attention: CEO</w:t>
            </w:r>
          </w:p>
        </w:tc>
      </w:tr>
      <w:tr>
        <w:trPr/>
        <w:tc>
          <w:tcPr>
            <w:tcW w:w="8108" w:type="dxa"/>
            <w:tcBorders/>
            <w:tcMar>
              <w:top w:w="0" w:type="dxa"/>
              <w:left w:w="0" w:type="dxa"/>
              <w:bottom w:w="0" w:type="dxa"/>
              <w:right w:w="0" w:type="dxa"/>
            </w:tcMar>
            <w:vAlign w:val="center"/>
          </w:tcPr>
          <w:p>
            <w:pPr>
              <w:pStyle w:val="TableContents"/>
              <w:bidi w:val="0"/>
              <w:spacing w:before="0" w:after="283"/>
              <w:ind w:left="0" w:right="0" w:firstLine="2146"/>
              <w:jc w:val="left"/>
              <w:rPr>
                <w:rFonts w:ascii="Times New Roman" w:hAnsi="Times New Roman"/>
                <w:color w:val="000000"/>
                <w:sz w:val="24"/>
              </w:rPr>
            </w:pPr>
            <w:r>
              <w:rPr>
                <w:rFonts w:ascii="Times New Roman" w:hAnsi="Times New Roman"/>
                <w:color w:val="000000"/>
                <w:sz w:val="24"/>
              </w:rPr>
              <w:t>with a copy to:</w:t>
            </w:r>
          </w:p>
        </w:tc>
      </w:tr>
      <w:tr>
        <w:trPr/>
        <w:tc>
          <w:tcPr>
            <w:tcW w:w="8108" w:type="dxa"/>
            <w:tcBorders/>
            <w:tcMar>
              <w:top w:w="0" w:type="dxa"/>
              <w:left w:w="0" w:type="dxa"/>
              <w:bottom w:w="0" w:type="dxa"/>
              <w:right w:w="0" w:type="dxa"/>
            </w:tcMar>
            <w:vAlign w:val="center"/>
          </w:tcPr>
          <w:p>
            <w:pPr>
              <w:pStyle w:val="TableContents"/>
              <w:bidi w:val="0"/>
              <w:spacing w:before="0" w:after="120"/>
              <w:ind w:left="2146" w:right="0" w:firstLine="2146"/>
              <w:jc w:val="left"/>
              <w:rPr>
                <w:rFonts w:ascii="Times New Roman" w:hAnsi="Times New Roman"/>
                <w:color w:val="000000"/>
                <w:sz w:val="24"/>
              </w:rPr>
            </w:pPr>
            <w:r>
              <w:rPr>
                <w:rFonts w:ascii="Times New Roman" w:hAnsi="Times New Roman"/>
                <w:color w:val="000000"/>
                <w:sz w:val="24"/>
              </w:rPr>
              <w:t>Cooley LLP</w:t>
              <w:br/>
              <w:t>11951 Freedom Drive, Suite 1400</w:t>
              <w:br/>
              <w:t>Reston, VA 20194</w:t>
              <w:br/>
              <w:t>Email: [***]</w:t>
            </w:r>
          </w:p>
        </w:tc>
      </w:tr>
      <w:tr>
        <w:trPr/>
        <w:tc>
          <w:tcPr>
            <w:tcW w:w="810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rFonts w:ascii="Times New Roman" w:hAnsi="Times New Roman"/>
          <w:sz w:val="20"/>
        </w:rPr>
      </w:pPr>
      <w:r>
        <w:rPr>
          <w:rFonts w:ascii="Times New Roman" w:hAnsi="Times New Roman"/>
          <w:b/>
          <w:color w:val="000000"/>
          <w:sz w:val="24"/>
        </w:rPr>
        <w:t>11.6 Amendment</w:t>
      </w:r>
      <w:r>
        <w:rPr>
          <w:rFonts w:ascii="Times New Roman" w:hAnsi="Times New Roman"/>
          <w:color w:val="000000"/>
          <w:sz w:val="24"/>
        </w:rPr>
        <w:t>. No amendment, modification or supplement of any provision of this Agreement will be valid or effective unless made in writing and signed by a duly authorized officer of each Party.</w:t>
      </w:r>
    </w:p>
    <w:p>
      <w:pPr>
        <w:pStyle w:val="TextBody"/>
        <w:bidi w:val="0"/>
        <w:spacing w:before="0" w:after="240"/>
        <w:jc w:val="both"/>
        <w:rPr>
          <w:rFonts w:ascii="Times New Roman" w:hAnsi="Times New Roman"/>
          <w:sz w:val="20"/>
        </w:rPr>
      </w:pPr>
      <w:r>
        <w:rPr>
          <w:rFonts w:ascii="Times New Roman" w:hAnsi="Times New Roman"/>
          <w:b/>
          <w:color w:val="000000"/>
          <w:sz w:val="24"/>
        </w:rPr>
        <w:t>11.7 Waiver</w:t>
      </w:r>
      <w:r>
        <w:rPr>
          <w:rFonts w:ascii="Times New Roman" w:hAnsi="Times New Roman"/>
          <w:color w:val="000000"/>
          <w:sz w:val="24"/>
        </w:rPr>
        <w:t>. No waiver by either Party hereto of any breach or default hereunder will be deemed a waiver as to any subsequent or similar breach or default. The failure of any Party to assert any of its rights under this Agreement or otherwise will not constitute a waiver of such rights.</w:t>
      </w:r>
    </w:p>
    <w:p>
      <w:pPr>
        <w:pStyle w:val="TextBody"/>
        <w:bidi w:val="0"/>
        <w:spacing w:before="0" w:after="240"/>
        <w:jc w:val="both"/>
        <w:rPr>
          <w:rFonts w:ascii="Times New Roman" w:hAnsi="Times New Roman"/>
          <w:sz w:val="20"/>
        </w:rPr>
      </w:pPr>
      <w:r>
        <w:rPr>
          <w:rFonts w:ascii="Times New Roman" w:hAnsi="Times New Roman"/>
          <w:b/>
          <w:color w:val="000000"/>
          <w:sz w:val="24"/>
        </w:rPr>
        <w:t>11.8 Severability</w:t>
      </w:r>
      <w:r>
        <w:rPr>
          <w:rFonts w:ascii="Times New Roman" w:hAnsi="Times New Roman"/>
          <w:color w:val="000000"/>
          <w:sz w:val="24"/>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or portion thereof had never been contained in this Agreement, and there will be deemed substituted therefor such provision as will most nearly carry out the intent of the Parties as expressed in this Agreement to the fullest extent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4"/>
        </w:rPr>
        <w:t>11.9 Headings</w:t>
      </w:r>
      <w:r>
        <w:rPr>
          <w:rFonts w:ascii="Times New Roman" w:hAnsi="Times New Roman"/>
          <w:color w:val="000000"/>
          <w:sz w:val="24"/>
        </w:rPr>
        <w:t>. The headings herein are for convenience purposes only and will be of no force or effect in construing or interpreting any of the provisions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11.10 Governing Law</w:t>
      </w:r>
      <w:r>
        <w:rPr>
          <w:rFonts w:ascii="Times New Roman" w:hAnsi="Times New Roman"/>
          <w:color w:val="000000"/>
          <w:sz w:val="24"/>
        </w:rPr>
        <w:t>. This Agreement will be governed by the laws of the State of New York, U.S.A., without regard to its choice of law principles, provided, that the United Nations Convention on Contracts for the International Sale of Goods will not apply.</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11.11 Dispute Resolution</w:t>
      </w:r>
      <w:r>
        <w:rPr>
          <w:rFonts w:ascii="Times New Roman" w:hAnsi="Times New Roman"/>
          <w:color w:val="000000"/>
          <w:sz w:val="24"/>
        </w:rPr>
        <w:t xml:space="preserve">. Except as provided in </w:t>
      </w:r>
      <w:r>
        <w:rPr>
          <w:rFonts w:ascii="Times New Roman" w:hAnsi="Times New Roman"/>
          <w:color w:val="000000"/>
          <w:sz w:val="24"/>
          <w:u w:val="single"/>
        </w:rPr>
        <w:t>Section 5.11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Audit Dispute</w:t>
      </w:r>
      <w:r>
        <w:rPr>
          <w:rFonts w:ascii="Times New Roman" w:hAnsi="Times New Roman"/>
          <w:color w:val="000000"/>
          <w:sz w:val="24"/>
        </w:rPr>
        <w:t xml:space="preserve">) and </w:t>
      </w:r>
      <w:r>
        <w:rPr>
          <w:rFonts w:ascii="Times New Roman" w:hAnsi="Times New Roman"/>
          <w:color w:val="000000"/>
          <w:sz w:val="24"/>
          <w:u w:val="single"/>
        </w:rPr>
        <w:t>Section 9.2(e)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Alternative Remedy in Lieu of 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dispute, controversy or claim arising out of, relating to or in connection with this Agreement, including with respect to its formation, interpretation, applicability, breach, termination, validity or enforceability</w:t>
      </w:r>
      <w:r>
        <w:rPr>
          <w:rFonts w:ascii="Times New Roman" w:hAnsi="Times New Roman"/>
          <w:color w:val="000000"/>
          <w:sz w:val="20"/>
        </w:rPr>
        <w:t xml:space="preserve"> </w:t>
      </w:r>
      <w:r>
        <w:rPr>
          <w:rFonts w:ascii="Times New Roman" w:hAnsi="Times New Roman"/>
          <w:color w:val="000000"/>
          <w:sz w:val="24"/>
        </w:rPr>
        <w:t xml:space="preserve">thereof will be referred to the CEO of Clearside and the CEO of BioCryst (or their respective designee who has the authority to make decisions on behalf of such Party) who will negotiate in good faith to resolve the dispute. Either Party may initiate such informal dispute resolution by sending written notice of the dispute to the other Party. If any dispute is not resolved by these individuals (or their designees) within [***] ([***]) days after written notice of the dispute, or such longer period as they may mutually agree, either Party may refer the dispute to arbitration in accordance with this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Any arbitration under this Agreement shall be conducted by three arbitrators and administered by the American Arbitration Associations (the “</w:t>
      </w:r>
      <w:r>
        <w:rPr>
          <w:rFonts w:ascii="Times New Roman" w:hAnsi="Times New Roman"/>
          <w:b/>
          <w:color w:val="000000"/>
          <w:sz w:val="24"/>
        </w:rPr>
        <w:t>AAA</w:t>
      </w:r>
      <w:r>
        <w:rPr>
          <w:rFonts w:ascii="Times New Roman" w:hAnsi="Times New Roman"/>
          <w:color w:val="000000"/>
          <w:sz w:val="20"/>
        </w:rPr>
        <w:t>”</w:t>
      </w:r>
      <w:r>
        <w:rPr>
          <w:rFonts w:ascii="Times New Roman" w:hAnsi="Times New Roman"/>
          <w:color w:val="000000"/>
          <w:sz w:val="24"/>
        </w:rPr>
        <w:t>) in accordance with its Commercial Arbitration Rules (“</w:t>
      </w:r>
      <w:r>
        <w:rPr>
          <w:rFonts w:ascii="Times New Roman" w:hAnsi="Times New Roman"/>
          <w:b/>
          <w:color w:val="000000"/>
          <w:sz w:val="24"/>
        </w:rPr>
        <w:t>Rules</w:t>
      </w:r>
      <w:r>
        <w:rPr>
          <w:rFonts w:ascii="Times New Roman" w:hAnsi="Times New Roman"/>
          <w:color w:val="000000"/>
          <w:sz w:val="20"/>
        </w:rPr>
        <w:t>”</w:t>
      </w:r>
      <w:r>
        <w:rPr>
          <w:rFonts w:ascii="Times New Roman" w:hAnsi="Times New Roman"/>
          <w:color w:val="000000"/>
          <w:sz w:val="24"/>
        </w:rPr>
        <w:t>) in effect at the time, except as they may be modified herein or by agreement of the Parties. The claimant shall nominate an arbitrator in its demand for arbitration. The respondent shall nominate an arbitrator within [***] days of the receipt of the demand for arbitration. The two arbitrators nominated by the parties shall nominate a third arbitrator within [***] days after the nomination of the later-nominated arbitrator. The third arbitrator shall act as chair of the tribunal. If any of the three arbitrators are not nominated within the time prescribed above, then the AAA shall appoint the arbitrator(s) in accordance with its Rules. The seat of arbitration shall be New York, New York. The award rendered by the arbitral tribunal shall be final and binding upon the Parties, and may be enforced as an arbitral award and entered as a judgment in any court of competent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Parties agree that any dispute under the Agreement shall be kept confidential. The existence of the dispute and any arbitration, any non-public information provided in an arbitration, and any submissions, orders or awards made in an arbitration (together, the “</w:t>
      </w:r>
      <w:r>
        <w:rPr>
          <w:rFonts w:ascii="Times New Roman" w:hAnsi="Times New Roman"/>
          <w:b/>
          <w:color w:val="000000"/>
          <w:sz w:val="24"/>
        </w:rPr>
        <w:t>Confidential Dispute Information</w:t>
      </w:r>
      <w:r>
        <w:rPr>
          <w:rFonts w:ascii="Times New Roman" w:hAnsi="Times New Roman"/>
          <w:color w:val="000000"/>
          <w:sz w:val="20"/>
        </w:rPr>
        <w:t>”</w:t>
      </w:r>
      <w:r>
        <w:rPr>
          <w:rFonts w:ascii="Times New Roman" w:hAnsi="Times New Roman"/>
          <w:color w:val="000000"/>
          <w:sz w:val="24"/>
        </w:rPr>
        <w:t xml:space="preserve">) shall not be disclosed to any non-party except the tribunal, the AAA, their counsel, experts, witnesses, accountants and auditors, insurers and reinsurers, and any other person necessary to the conduct of the dispute. Notwithstanding the foregoing, a party may disclose Confidential Dispute Information to the extent that disclosure may be required to fulfill a legal duty, protect or pursue a legal right, or enforce or challenge an award in bona fide legal proceedings. The provisions of this </w:t>
      </w:r>
      <w:r>
        <w:rPr>
          <w:rFonts w:ascii="Times New Roman" w:hAnsi="Times New Roman"/>
          <w:color w:val="000000"/>
          <w:sz w:val="24"/>
          <w:u w:val="single"/>
        </w:rPr>
        <w:t>Section 11.11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Dispute Resolution</w:t>
      </w:r>
      <w:r>
        <w:rPr>
          <w:rFonts w:ascii="Times New Roman" w:hAnsi="Times New Roman"/>
          <w:color w:val="000000"/>
          <w:sz w:val="24"/>
        </w:rPr>
        <w:t>) will survive the termination or expiration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11.12 Compliance with Laws</w:t>
      </w:r>
      <w:r>
        <w:rPr>
          <w:rFonts w:ascii="Times New Roman" w:hAnsi="Times New Roman"/>
          <w:color w:val="000000"/>
          <w:sz w:val="24"/>
        </w:rPr>
        <w:t>. Each Party will, and will ensure that its Affiliates will, comply with all Applicable Law in exercising its rights and fulfilling its obligations under this Agreement. No Party will, or will be required to, undertake any activity under or in connection with this Agreement which violates, or which it believes, in good faith, may violate, any Applicable Law.</w:t>
      </w:r>
    </w:p>
    <w:p>
      <w:pPr>
        <w:pStyle w:val="TextBody"/>
        <w:bidi w:val="0"/>
        <w:spacing w:before="0" w:after="240"/>
        <w:jc w:val="both"/>
        <w:rPr>
          <w:rFonts w:ascii="Times New Roman" w:hAnsi="Times New Roman"/>
          <w:sz w:val="20"/>
        </w:rPr>
      </w:pPr>
      <w:r>
        <w:rPr>
          <w:rFonts w:ascii="Times New Roman" w:hAnsi="Times New Roman"/>
          <w:b/>
          <w:color w:val="000000"/>
          <w:sz w:val="24"/>
        </w:rPr>
        <w:t>11.13 Entire Agreement</w:t>
      </w:r>
      <w:r>
        <w:rPr>
          <w:rFonts w:ascii="Times New Roman" w:hAnsi="Times New Roman"/>
          <w:color w:val="000000"/>
          <w:sz w:val="24"/>
        </w:rPr>
        <w:t>. This Agreement, including any Exhibits hereto and thereto, constitute and contain the complete, final and exclusive understanding and agreement of the Parties and cancel and supersede any and all prior negotiations, correspondence, understandings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agreements, whether oral or written, between the Parties respecting the subject matter hereof and thereof, including the Confidentiality Agreement, the Material Transfer Agreement, and the Technology Access Agreement, which are hereby terminated effective as of the Effective Date.</w:t>
      </w:r>
    </w:p>
    <w:p>
      <w:pPr>
        <w:pStyle w:val="TextBody"/>
        <w:bidi w:val="0"/>
        <w:spacing w:before="0" w:after="240"/>
        <w:jc w:val="both"/>
        <w:rPr>
          <w:rFonts w:ascii="Times New Roman" w:hAnsi="Times New Roman"/>
          <w:sz w:val="20"/>
        </w:rPr>
      </w:pPr>
      <w:r>
        <w:rPr>
          <w:rFonts w:ascii="Times New Roman" w:hAnsi="Times New Roman"/>
          <w:b/>
          <w:color w:val="000000"/>
          <w:sz w:val="24"/>
        </w:rPr>
        <w:t>11.14 Independent Contractors</w:t>
      </w:r>
      <w:r>
        <w:rPr>
          <w:rFonts w:ascii="Times New Roman" w:hAnsi="Times New Roman"/>
          <w:color w:val="000000"/>
          <w:sz w:val="24"/>
        </w:rPr>
        <w:t>. Both Parties are independent contractors under this Agreement. Nothing herein contained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pStyle w:val="TextBody"/>
        <w:bidi w:val="0"/>
        <w:spacing w:before="0" w:after="240"/>
        <w:jc w:val="both"/>
        <w:rPr>
          <w:rFonts w:ascii="Times New Roman" w:hAnsi="Times New Roman"/>
          <w:sz w:val="20"/>
        </w:rPr>
      </w:pPr>
      <w:r>
        <w:rPr>
          <w:rFonts w:ascii="Times New Roman" w:hAnsi="Times New Roman"/>
          <w:b/>
          <w:color w:val="000000"/>
          <w:sz w:val="24"/>
        </w:rPr>
        <w:t>11.15 Cumulative Rights</w:t>
      </w:r>
      <w:r>
        <w:rPr>
          <w:rFonts w:ascii="Times New Roman" w:hAnsi="Times New Roman"/>
          <w:color w:val="000000"/>
          <w:sz w:val="24"/>
        </w:rPr>
        <w:t>. The rights, powers and remedies hereunder will be in addition to, and not in limitation of, all rights, powers and remedies provided at law or in equity, or under any other agreement between the Parties. All of such rights, powers and remedies will be cumulative, and may be exercised successively or cumulatively.</w:t>
      </w:r>
    </w:p>
    <w:p>
      <w:pPr>
        <w:pStyle w:val="TextBody"/>
        <w:bidi w:val="0"/>
        <w:spacing w:before="0" w:after="240"/>
        <w:jc w:val="both"/>
        <w:rPr>
          <w:rFonts w:ascii="Times New Roman" w:hAnsi="Times New Roman"/>
          <w:sz w:val="20"/>
        </w:rPr>
      </w:pPr>
      <w:bookmarkStart w:id="139" w:name="docxtextref172"/>
      <w:bookmarkEnd w:id="139"/>
      <w:r>
        <w:rPr>
          <w:rFonts w:ascii="Times New Roman" w:hAnsi="Times New Roman"/>
          <w:b/>
          <w:color w:val="000000"/>
          <w:sz w:val="24"/>
        </w:rPr>
        <w:t>11.16 Counterparts</w:t>
      </w:r>
      <w:r>
        <w:rPr>
          <w:rFonts w:ascii="Times New Roman" w:hAnsi="Times New Roman"/>
          <w:color w:val="000000"/>
          <w:sz w:val="24"/>
        </w:rPr>
        <w:t>. This Agreement may be executed in two (2)</w:t>
      </w:r>
      <w:r>
        <w:rPr>
          <w:rFonts w:ascii="Times New Roman" w:hAnsi="Times New Roman"/>
          <w:color w:val="000000"/>
          <w:sz w:val="20"/>
        </w:rPr>
        <w:t xml:space="preserve"> </w:t>
      </w:r>
      <w:r>
        <w:rPr>
          <w:rFonts w:ascii="Times New Roman" w:hAnsi="Times New Roman"/>
          <w:color w:val="000000"/>
          <w:sz w:val="24"/>
        </w:rPr>
        <w:t>counterparts, each of which will be an original and both of which will constitute together the same document. Counterparts may be signed and delivered by facsimile or PDF file, each of which will be binding when received by the applicable Party. Electronically scanned signatures shall have the same effect as their originals.</w:t>
      </w:r>
    </w:p>
    <w:p>
      <w:pPr>
        <w:pStyle w:val="TextBody"/>
        <w:bidi w:val="0"/>
        <w:spacing w:before="0" w:after="240"/>
        <w:jc w:val="both"/>
        <w:rPr>
          <w:rFonts w:ascii="Times New Roman" w:hAnsi="Times New Roman"/>
          <w:sz w:val="20"/>
        </w:rPr>
      </w:pPr>
      <w:bookmarkStart w:id="140" w:name="docxtextref173"/>
      <w:bookmarkEnd w:id="140"/>
      <w:r>
        <w:rPr>
          <w:rFonts w:ascii="Times New Roman" w:hAnsi="Times New Roman"/>
          <w:b/>
          <w:color w:val="000000"/>
          <w:sz w:val="24"/>
        </w:rPr>
        <w:t>11.17 Interpretation</w:t>
      </w:r>
      <w:r>
        <w:rPr>
          <w:rFonts w:ascii="Times New Roman" w:hAnsi="Times New Roman"/>
          <w:color w:val="000000"/>
          <w:sz w:val="24"/>
        </w:rPr>
        <w:t>. Unless the context of this Agreement otherwise requires: (a)</w:t>
      </w:r>
      <w:r>
        <w:rPr>
          <w:rFonts w:ascii="Times New Roman" w:hAnsi="Times New Roman"/>
          <w:color w:val="000000"/>
          <w:sz w:val="20"/>
        </w:rPr>
        <w:t xml:space="preserve"> </w:t>
      </w:r>
      <w:r>
        <w:rPr>
          <w:rFonts w:ascii="Times New Roman" w:hAnsi="Times New Roman"/>
          <w:color w:val="000000"/>
          <w:sz w:val="24"/>
        </w:rPr>
        <w:t xml:space="preserve">words of one gender include the other gender; </w:t>
      </w:r>
      <w:bookmarkStart w:id="141" w:name="docxtextref174"/>
      <w:bookmarkEnd w:id="141"/>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words using the singular or plural number also include the plural or singular number, respectively; </w:t>
      </w:r>
      <w:bookmarkStart w:id="142" w:name="docxtextref175"/>
      <w:bookmarkEnd w:id="142"/>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the terms “hereof,” “herein,” “hereby,” and other similar words refer to this entire Agreement; </w:t>
      </w:r>
      <w:bookmarkStart w:id="143" w:name="docxtextref176"/>
      <w:bookmarkEnd w:id="143"/>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the words “include”, “includes”, and “including” when used in this Agreement will be deemed to be followed by the words “without limitation”, unless otherwise specified; </w:t>
      </w:r>
      <w:bookmarkStart w:id="144" w:name="docxtextref177"/>
      <w:bookmarkEnd w:id="144"/>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the terms “Article” and “Section” refer to the specified Article and Section of this Agreement; </w:t>
      </w:r>
      <w:bookmarkStart w:id="145" w:name="docxtextref178"/>
      <w:bookmarkEnd w:id="145"/>
      <w:r>
        <w:rPr>
          <w:rFonts w:ascii="Times New Roman" w:hAnsi="Times New Roman"/>
          <w:color w:val="000000"/>
          <w:sz w:val="24"/>
        </w:rPr>
        <w:t>and (f)</w:t>
      </w:r>
      <w:r>
        <w:rPr>
          <w:rFonts w:ascii="Times New Roman" w:hAnsi="Times New Roman"/>
          <w:color w:val="000000"/>
          <w:sz w:val="20"/>
        </w:rPr>
        <w:t xml:space="preserve"> </w:t>
      </w:r>
      <w:r>
        <w:rPr>
          <w:rFonts w:ascii="Times New Roman" w:hAnsi="Times New Roman"/>
          <w:color w:val="000000"/>
          <w:sz w:val="24"/>
        </w:rPr>
        <w:t>the word “withheld” in the phrases “withheld unreasonably” or “unreasonably withheld” and other forms of such words, will be deemed to be followed by the words “conditioned or delayed,” (g) the word “or” is used in the inclusive sense (and/or); and (h) references to any specific law, rule, or regulation, or article, section, or other division thereof, will be deemed to include the then-current amendments thereto or any replacement or successor law, rule, or regulation thereof.</w:t>
      </w:r>
    </w:p>
    <w:p>
      <w:pPr>
        <w:pStyle w:val="TextBody"/>
        <w:bidi w:val="0"/>
        <w:spacing w:before="0" w:after="240"/>
        <w:jc w:val="both"/>
        <w:rPr>
          <w:rFonts w:ascii="Times New Roman" w:hAnsi="Times New Roman"/>
          <w:sz w:val="20"/>
        </w:rPr>
      </w:pPr>
      <w:r>
        <w:rPr>
          <w:rFonts w:ascii="Times New Roman" w:hAnsi="Times New Roman"/>
          <w:b/>
          <w:color w:val="000000"/>
          <w:sz w:val="24"/>
        </w:rPr>
        <w:t>11.18 Expenses</w:t>
      </w:r>
      <w:r>
        <w:rPr>
          <w:rFonts w:ascii="Times New Roman" w:hAnsi="Times New Roman"/>
          <w:color w:val="000000"/>
          <w:sz w:val="24"/>
        </w:rPr>
        <w:t>. Except as otherwise expressly provided in this Agreement, each Party shall pay the fees and expenses of its respective lawyers and other experts and all other expenses and costs incurred by such Party incurred in connection with the negotiation, preparation, execution, delivery, and performance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11.19 No Third Party Rights or Obligations</w:t>
      </w:r>
      <w:r>
        <w:rPr>
          <w:rFonts w:ascii="Times New Roman" w:hAnsi="Times New Roman"/>
          <w:color w:val="000000"/>
          <w:sz w:val="24"/>
        </w:rPr>
        <w:t xml:space="preserve">. Notwithstanding a Clearside Indemnified Party or a BioCryst Indemnified Party’s right to indemnification under </w:t>
      </w:r>
      <w:r>
        <w:rPr>
          <w:rFonts w:ascii="Times New Roman" w:hAnsi="Times New Roman"/>
          <w:color w:val="000000"/>
          <w:sz w:val="24"/>
          <w:u w:val="single"/>
        </w:rPr>
        <w:t>Section 10.2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BioCryst</w:t>
      </w:r>
      <w:r>
        <w:rPr>
          <w:rFonts w:ascii="Times New Roman" w:hAnsi="Times New Roman"/>
          <w:color w:val="000000"/>
          <w:sz w:val="24"/>
        </w:rPr>
        <w:t xml:space="preserve">) and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Indemnification by Clearside</w:t>
      </w:r>
      <w:r>
        <w:rPr>
          <w:rFonts w:ascii="Times New Roman" w:hAnsi="Times New Roman"/>
          <w:color w:val="000000"/>
          <w:sz w:val="24"/>
        </w:rPr>
        <w:t>) (which, for clarity, must be exercised through a Party and may not be exercised directly by such Persons), no provision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this Agreement will be deemed or construed in any way to result in the creation of any rights or obligation in any Person not a Party to this Agreement. However, either Party may decide, in its sole discretion, to use one or more of its Affiliates to perform its obligations and duties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deciding Party will remain liable hereunder for the performance by any such Affiliates of any such obligations.</w:t>
      </w:r>
    </w:p>
    <w:p>
      <w:pPr>
        <w:pStyle w:val="TextBody"/>
        <w:bidi w:val="0"/>
        <w:spacing w:before="0" w:after="240"/>
        <w:jc w:val="center"/>
        <w:rPr>
          <w:rFonts w:ascii="Times New Roman" w:hAnsi="Times New Roman"/>
          <w:b/>
          <w:i/>
          <w:color w:val="000000"/>
          <w:sz w:val="24"/>
        </w:rPr>
      </w:pPr>
      <w:r>
        <w:rPr>
          <w:rFonts w:ascii="Times New Roman" w:hAnsi="Times New Roman"/>
          <w:b/>
          <w:i/>
          <w:color w:val="000000"/>
          <w:sz w:val="24"/>
        </w:rPr>
        <w:t>[Signature page follows.]</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caused this Agreement to be executed by their duly authorized representatives as of the Effective Date.</w:t>
      </w:r>
    </w:p>
    <w:tbl>
      <w:tblPr>
        <w:tblW w:w="8522" w:type="dxa"/>
        <w:jc w:val="left"/>
        <w:tblInd w:w="0" w:type="dxa"/>
        <w:tblLayout w:type="fixed"/>
        <w:tblCellMar>
          <w:top w:w="28" w:type="dxa"/>
          <w:left w:w="28" w:type="dxa"/>
          <w:bottom w:w="28" w:type="dxa"/>
          <w:right w:w="28" w:type="dxa"/>
        </w:tblCellMar>
      </w:tblPr>
      <w:tblGrid>
        <w:gridCol w:w="4621"/>
        <w:gridCol w:w="3901"/>
      </w:tblGrid>
      <w:tr>
        <w:trPr/>
        <w:tc>
          <w:tcPr>
            <w:tcW w:w="462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4"/>
              </w:rPr>
            </w:pPr>
            <w:r>
              <w:rPr>
                <w:rFonts w:ascii="Times New Roman" w:hAnsi="Times New Roman"/>
                <w:b/>
                <w:color w:val="000000"/>
                <w:sz w:val="24"/>
              </w:rPr>
              <w:t>BIOCRYST PHARMACEUTICALS, INC.</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Alane Barnes</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Alane Barnes</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CLO</w:t>
            </w:r>
          </w:p>
        </w:tc>
        <w:tc>
          <w:tcPr>
            <w:tcW w:w="39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4"/>
              </w:rPr>
            </w:pPr>
            <w:r>
              <w:rPr>
                <w:rFonts w:ascii="Times New Roman" w:hAnsi="Times New Roman"/>
                <w:b/>
                <w:color w:val="000000"/>
                <w:sz w:val="24"/>
              </w:rPr>
              <w:t>CLEARSIDE BIOMEDICAL, INC.</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George Lasezkay</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George Lasezkay</w:t>
            </w:r>
          </w:p>
          <w:p>
            <w:pPr>
              <w:pStyle w:val="TableContents"/>
              <w:bidi w:val="0"/>
              <w:spacing w:before="0" w:after="240"/>
              <w:jc w:val="both"/>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President and CEO</w:t>
            </w:r>
          </w:p>
        </w:tc>
      </w:tr>
    </w:tbl>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License Agreement</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sz w:val="20"/>
        </w:rPr>
      </w:pPr>
      <w:r>
        <w:rPr>
          <w:rFonts w:ascii="Times New Roman" w:hAnsi="Times New Roman"/>
          <w:b/>
          <w:color w:val="000000"/>
          <w:sz w:val="24"/>
        </w:rPr>
        <w:br/>
      </w:r>
      <w:r>
        <w:rPr>
          <w:rFonts w:ascii="Times New Roman" w:hAnsi="Times New Roman"/>
          <w:b/>
          <w:color w:val="000000"/>
          <w:sz w:val="24"/>
          <w:u w:val="single"/>
        </w:rPr>
        <w:t>Exhibit 1.27</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CLEARSIDE PATENT RIGHTS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1.58</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THE TYPE THAT THE REGISTRANT TREATS AS PRIVATE OR CONFIDENTIAL.</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4.2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CLEARSIDE DEVICE SPECIFICATIONS</w:t>
      </w:r>
    </w:p>
    <w:p>
      <w:pPr>
        <w:pStyle w:val="TextBody"/>
        <w:bidi w:val="0"/>
        <w:spacing w:before="79" w:after="24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46" w:name="clsd-ex10_33.htm"/>
      <w:bookmarkStart w:id="147" w:name="ksclsdex10_33"/>
      <w:bookmarkEnd w:id="146"/>
      <w:bookmarkEnd w:id="147"/>
      <w:r>
        <w:rPr>
          <w:rFonts w:ascii="Times New Roman" w:hAnsi="Times New Roman"/>
          <w:b/>
          <w:color w:val="000000"/>
          <w:sz w:val="20"/>
        </w:rPr>
        <w:t>CERTAIN CONFIDENTIAL INFORMATION CONTAINED IN THIS DOCUMENT, MARKED BY [***], HAS BEEN OMITTED BECAUSE IT IS BOTH (I) NOT MATERIAL AND (II) IS THE TYPE THAT THE REGISTRANT TREATS AS PRIVATE OR CONFIDENTIAL.</w:t>
      </w:r>
      <w:r>
        <w:br w:type="page"/>
      </w:r>
    </w:p>
    <w:p>
      <w:pPr>
        <w:pStyle w:val="TextBody"/>
        <w:bidi w:val="0"/>
        <w:jc w:val="center"/>
        <w:rPr/>
      </w:pPr>
      <w:r>
        <w:rPr/>
        <w:t> </w:t>
      </w:r>
    </w:p>
    <w:p>
      <w:pPr>
        <w:pStyle w:val="TextBody"/>
        <w:bidi w:val="0"/>
        <w:spacing w:before="0" w:after="480"/>
        <w:jc w:val="right"/>
        <w:rPr>
          <w:rFonts w:ascii="Times New Roman" w:hAnsi="Times New Roman"/>
          <w:b/>
          <w:color w:val="000000"/>
          <w:sz w:val="24"/>
        </w:rPr>
      </w:pPr>
      <w:r>
        <w:rPr>
          <w:rFonts w:ascii="Times New Roman" w:hAnsi="Times New Roman"/>
          <w:b/>
          <w:color w:val="000000"/>
          <w:sz w:val="24"/>
        </w:rPr>
        <w:t>Exhibit 10.33</w:t>
      </w:r>
    </w:p>
    <w:p>
      <w:pPr>
        <w:pStyle w:val="TextBody"/>
        <w:bidi w:val="0"/>
        <w:spacing w:before="0" w:after="480"/>
        <w:jc w:val="center"/>
        <w:rPr>
          <w:rFonts w:ascii="Times New Roman" w:hAnsi="Times New Roman"/>
          <w:sz w:val="20"/>
        </w:rPr>
      </w:pPr>
      <w:r>
        <w:rPr>
          <w:rFonts w:ascii="Times New Roman" w:hAnsi="Times New Roman"/>
          <w:b/>
          <w:color w:val="000000"/>
          <w:sz w:val="24"/>
        </w:rPr>
        <w:t>FOURTH AMENDMENT TO THE LICENSE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 xml:space="preserve">This Fourth Amendment to the License Agreement </w:t>
      </w:r>
      <w:r>
        <w:rPr>
          <w:rFonts w:ascii="Times New Roman" w:hAnsi="Times New Roman"/>
          <w:color w:val="000000"/>
          <w:sz w:val="24"/>
        </w:rPr>
        <w:t>(the “</w:t>
      </w:r>
      <w:r>
        <w:rPr>
          <w:rFonts w:ascii="Times New Roman" w:hAnsi="Times New Roman"/>
          <w:b/>
          <w:color w:val="000000"/>
          <w:sz w:val="24"/>
        </w:rPr>
        <w:t>Fourth Amendment</w:t>
      </w:r>
      <w:r>
        <w:rPr>
          <w:rFonts w:ascii="Times New Roman" w:hAnsi="Times New Roman"/>
          <w:color w:val="000000"/>
          <w:sz w:val="20"/>
        </w:rPr>
        <w:t>”</w:t>
      </w:r>
      <w:r>
        <w:rPr>
          <w:rFonts w:ascii="Times New Roman" w:hAnsi="Times New Roman"/>
          <w:color w:val="000000"/>
          <w:sz w:val="24"/>
        </w:rPr>
        <w:t>) is entered into as of January 31, 2024 (the “</w:t>
      </w:r>
      <w:r>
        <w:rPr>
          <w:rFonts w:ascii="Times New Roman" w:hAnsi="Times New Roman"/>
          <w:b/>
          <w:color w:val="000000"/>
          <w:sz w:val="24"/>
        </w:rPr>
        <w:t>Fourth Amendment</w:t>
      </w:r>
      <w:r>
        <w:rPr>
          <w:rFonts w:ascii="Times New Roman" w:hAnsi="Times New Roman"/>
          <w:color w:val="000000"/>
          <w:sz w:val="20"/>
        </w:rPr>
        <w:t xml:space="preserve"> </w:t>
      </w:r>
      <w:r>
        <w:rPr>
          <w:rFonts w:ascii="Times New Roman" w:hAnsi="Times New Roman"/>
          <w:b/>
          <w:color w:val="000000"/>
          <w:sz w:val="24"/>
        </w:rPr>
        <w:t>Execution Date</w:t>
      </w:r>
      <w:r>
        <w:rPr>
          <w:rFonts w:ascii="Times New Roman" w:hAnsi="Times New Roman"/>
          <w:color w:val="000000"/>
          <w:sz w:val="20"/>
        </w:rPr>
        <w:t>”</w:t>
      </w:r>
      <w:r>
        <w:rPr>
          <w:rFonts w:ascii="Times New Roman" w:hAnsi="Times New Roman"/>
          <w:color w:val="000000"/>
          <w:sz w:val="24"/>
        </w:rPr>
        <w:t xml:space="preserve">) but effective as of the original Effective Date by and among </w:t>
      </w:r>
      <w:r>
        <w:rPr>
          <w:rFonts w:ascii="Times New Roman" w:hAnsi="Times New Roman"/>
          <w:b/>
          <w:smallCaps/>
          <w:color w:val="000000"/>
          <w:sz w:val="24"/>
        </w:rPr>
        <w:t>Emory University</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EMORY</w:t>
      </w:r>
      <w:r>
        <w:rPr>
          <w:rFonts w:ascii="Times New Roman" w:hAnsi="Times New Roman"/>
          <w:color w:val="000000"/>
          <w:sz w:val="20"/>
        </w:rPr>
        <w:t>”</w:t>
      </w:r>
      <w:r>
        <w:rPr>
          <w:rFonts w:ascii="Times New Roman" w:hAnsi="Times New Roman"/>
          <w:color w:val="000000"/>
          <w:sz w:val="24"/>
        </w:rPr>
        <w:t xml:space="preserve">), the </w:t>
      </w:r>
      <w:r>
        <w:rPr>
          <w:rFonts w:ascii="Times New Roman" w:hAnsi="Times New Roman"/>
          <w:b/>
          <w:smallCaps/>
          <w:color w:val="000000"/>
          <w:sz w:val="24"/>
        </w:rPr>
        <w:t>Georgia Tech Research Corporation</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GTRC</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smallCaps/>
          <w:color w:val="000000"/>
          <w:sz w:val="24"/>
        </w:rPr>
        <w:t xml:space="preserve">Clearside Biomedical, Inc. </w:t>
      </w:r>
      <w:r>
        <w:rPr>
          <w:rFonts w:ascii="Times New Roman" w:hAnsi="Times New Roman"/>
          <w:color w:val="000000"/>
          <w:sz w:val="24"/>
        </w:rPr>
        <w:t>(“</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each hereinafter referred to as a Party and both hereinafter referred to as “Parties”.</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Parties previously entered into that certain License Agreement effective July 4, 2012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Parties have made prior amendments to the Agreement on or around April 2, 2014 (the “</w:t>
      </w:r>
      <w:r>
        <w:rPr>
          <w:rFonts w:ascii="Times New Roman" w:hAnsi="Times New Roman"/>
          <w:b/>
          <w:color w:val="000000"/>
          <w:sz w:val="24"/>
        </w:rPr>
        <w:t>First Amendment</w:t>
      </w:r>
      <w:r>
        <w:rPr>
          <w:rFonts w:ascii="Times New Roman" w:hAnsi="Times New Roman"/>
          <w:color w:val="000000"/>
          <w:sz w:val="20"/>
        </w:rPr>
        <w:t>”</w:t>
      </w:r>
      <w:r>
        <w:rPr>
          <w:rFonts w:ascii="Times New Roman" w:hAnsi="Times New Roman"/>
          <w:color w:val="000000"/>
          <w:sz w:val="24"/>
        </w:rPr>
        <w:t>); on or around December 12, 2016 (the “</w:t>
      </w:r>
      <w:r>
        <w:rPr>
          <w:rFonts w:ascii="Times New Roman" w:hAnsi="Times New Roman"/>
          <w:b/>
          <w:color w:val="000000"/>
          <w:sz w:val="24"/>
        </w:rPr>
        <w:t>Second Amendment</w:t>
      </w:r>
      <w:r>
        <w:rPr>
          <w:rFonts w:ascii="Times New Roman" w:hAnsi="Times New Roman"/>
          <w:color w:val="000000"/>
          <w:sz w:val="20"/>
        </w:rPr>
        <w:t>”</w:t>
      </w:r>
      <w:r>
        <w:rPr>
          <w:rFonts w:ascii="Times New Roman" w:hAnsi="Times New Roman"/>
          <w:color w:val="000000"/>
          <w:sz w:val="24"/>
        </w:rPr>
        <w:t>); and on or around April 1, 2018 (the “</w:t>
      </w:r>
      <w:r>
        <w:rPr>
          <w:rFonts w:ascii="Times New Roman" w:hAnsi="Times New Roman"/>
          <w:b/>
          <w:color w:val="000000"/>
          <w:sz w:val="24"/>
        </w:rPr>
        <w:t>Third Amendment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Parties desire to enter into this Fourth Amendment, to clarify and amend certain financial terms in the Agreement and set forth their mutual understandings with respect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4"/>
        </w:rPr>
        <w:t>, in consideration of the foregoing and other good and valuable consideration, the receipt and sufficiency of which is hereby acknowledged, the Parties agree that the Agreement shall be amended, effective as of the Effective Date, as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Amendment of Section 3.4</w:t>
      </w:r>
      <w:r>
        <w:rPr>
          <w:rFonts w:ascii="Times New Roman" w:hAnsi="Times New Roman"/>
          <w:color w:val="000000"/>
          <w:sz w:val="24"/>
        </w:rPr>
        <w:t>. The Parties agree that Section 3.4 of the Agreement is hereby amended to read in its entirety as follows:</w:t>
      </w:r>
    </w:p>
    <w:p>
      <w:pPr>
        <w:pStyle w:val="TextBody"/>
        <w:bidi w:val="0"/>
        <w:jc w:val="both"/>
        <w:rPr/>
      </w:pPr>
      <w:r>
        <w:rPr>
          <w:color w:val="000000"/>
        </w:rPr>
        <w:t>“</w:t>
      </w:r>
      <w:r>
        <w:rPr>
          <w:rFonts w:ascii="Times New Roman" w:hAnsi="Times New Roman"/>
          <w:color w:val="000000"/>
          <w:sz w:val="24"/>
        </w:rPr>
        <w:t xml:space="preserve">3.4 </w:t>
      </w:r>
      <w:r>
        <w:rPr>
          <w:rFonts w:ascii="Times New Roman" w:hAnsi="Times New Roman"/>
          <w:color w:val="000000"/>
          <w:sz w:val="24"/>
          <w:u w:val="single"/>
        </w:rPr>
        <w:t>Sublicensee Payments</w:t>
      </w:r>
      <w:r>
        <w:rPr>
          <w:rFonts w:ascii="Times New Roman" w:hAnsi="Times New Roman"/>
          <w:color w:val="000000"/>
          <w:sz w:val="24"/>
        </w:rPr>
        <w:t>. Within thirty (30) days of receipt by COMPANY, or no later than March 31, 2025 with respect to amounts received by Company on or after July 1, 2023 but prior to January 1, 2025, COMPANY shall pay LICENSOR [***] percent ([***]%) of any fees or payments paid to COMPANY by a Sublicensee (“</w:t>
      </w:r>
      <w:r>
        <w:rPr>
          <w:rFonts w:ascii="Times New Roman" w:hAnsi="Times New Roman"/>
          <w:b/>
          <w:color w:val="000000"/>
          <w:sz w:val="24"/>
        </w:rPr>
        <w:t>Sublicensee Percentage</w:t>
      </w:r>
      <w:r>
        <w:rPr>
          <w:rFonts w:ascii="Times New Roman" w:hAnsi="Times New Roman"/>
          <w:color w:val="000000"/>
          <w:sz w:val="20"/>
        </w:rPr>
        <w:t>”</w:t>
      </w:r>
      <w:r>
        <w:rPr>
          <w:rFonts w:ascii="Times New Roman" w:hAnsi="Times New Roman"/>
          <w:color w:val="000000"/>
          <w:sz w:val="24"/>
        </w:rPr>
        <w:t>) as consideration for a sublicense grant under this Agreement. Such Sublicense Percentage shall be applied to any payments made to COMPANY by a Sublicensee on or after July 1, 2023 pursuant to an agreement between COMPANY and such Sublicensee that includes a sublicense grant of the Licensed Patents and/or Licensed Technology, such payments including but not limited to any initial licensing fees, milestone fees, maintenance fees and minimum royalty payments, but excluding (i) amounts paid to COMPANY by a Sublicensee on or after July 1, 2023 to reimburse COMPANY for actual costs (including overhead but excluding profit) incurred in connection with research and development of Licensed Products and the prosecution,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IS THE TYPE THAT THE REGISTRANT TREATS AS PRIVATE OR CONFIDENTIAL.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maintenance and enforcement of intellectual property rights covering Licensed Products (collectively, “Reimbursed Costs”), provided that such Reimbursed Costs are paid to COMPANY pursuant to a written agreement between COMPANY and such Sublicensee that expressly provides for reimbursement to COMPANY by such Sublicensee of such Reimbursed Costs, (ii) the value of any intellectual property rights transferred or granted to COMPANY if such rights are necessary or helpful to the development or commercialization of Licensed Products and (iii) amounts paid for shares of Company stock. If COMPANY in-licenses third party technology and/or intellectual property rights and incorporates it into Licensed Product, and receives sublicense revenue with respect to such Licensed Product, then the [***] percent ([***]%) sublicense revenue sharing provided for above shall apply to that portion of the value of the Licensed Product that is attributable to the intellectual property licensed from LICENSOR. For example, the sublicense revenue that is subject to sharing with LICENSOR shall be that fraction A/(A+B) of non-royalty revenue received where A is the amount attributable to the LICENSOR intellectual property, and B is the aggregate amount attributable to the remainder of the technology so licensed. If it is not feasible to accurately determine such amounts, then the allocation shall be commercially reasonable and determined by good faith negotiation between COMPANY and LICENSOR. COMPANY shall not structure any sublicense of the Licensed Patents and/or Licensed Technology, alone or in connection with other assets (e.g., technology, know-how, and/or intellectual property rights) owned or controlled by COMPANY, in a single transaction or series of related transactions, in order to minimize or avoid payments to LICENSOR under this Section 3.4.”</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Amendment of Section 3.6</w:t>
      </w:r>
      <w:r>
        <w:rPr>
          <w:rFonts w:ascii="Times New Roman" w:hAnsi="Times New Roman"/>
          <w:color w:val="000000"/>
          <w:sz w:val="24"/>
        </w:rPr>
        <w:t>. The Parties agree that Section 3.6 of the Agreement is hereby amended to read in its entirety</w:t>
      </w:r>
      <w:r>
        <w:rPr>
          <w:color w:val="000000"/>
        </w:rPr>
        <w:t xml:space="preserve"> </w:t>
      </w:r>
      <w:r>
        <w:rPr>
          <w:rFonts w:ascii="Times New Roman" w:hAnsi="Times New Roman"/>
          <w:color w:val="000000"/>
          <w:sz w:val="24"/>
        </w:rPr>
        <w:t>as follows:</w:t>
      </w:r>
    </w:p>
    <w:p>
      <w:pPr>
        <w:pStyle w:val="TextBody"/>
        <w:bidi w:val="0"/>
        <w:jc w:val="left"/>
        <w:rPr/>
      </w:pPr>
      <w:r>
        <w:rPr>
          <w:color w:val="000000"/>
        </w:rPr>
        <w:t>“</w:t>
      </w:r>
      <w:r>
        <w:rPr>
          <w:rFonts w:ascii="Times New Roman" w:hAnsi="Times New Roman"/>
          <w:color w:val="000000"/>
          <w:sz w:val="24"/>
        </w:rPr>
        <w:t xml:space="preserve">3.6 </w:t>
      </w:r>
      <w:r>
        <w:rPr>
          <w:rFonts w:ascii="Times New Roman" w:hAnsi="Times New Roman"/>
          <w:color w:val="000000"/>
          <w:sz w:val="24"/>
          <w:u w:val="single"/>
        </w:rPr>
        <w:t>License Maintenance Fees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(a) From and after the Effective Date through December 31, 2022, in the event no Milestone Payment bas been paid to LICENSOR prior to an anniversary of the Effective Date as set forth on </w:t>
      </w:r>
      <w:r>
        <w:rPr>
          <w:rFonts w:ascii="Times New Roman" w:hAnsi="Times New Roman"/>
          <w:b/>
          <w:color w:val="000000"/>
          <w:sz w:val="24"/>
        </w:rPr>
        <w:t>APPENDIX G,</w:t>
      </w:r>
      <w:r>
        <w:rPr>
          <w:rFonts w:ascii="Times New Roman" w:hAnsi="Times New Roman"/>
          <w:color w:val="000000"/>
          <w:sz w:val="20"/>
        </w:rPr>
        <w:t xml:space="preserve"> </w:t>
      </w:r>
      <w:r>
        <w:rPr>
          <w:rFonts w:ascii="Times New Roman" w:hAnsi="Times New Roman"/>
          <w:color w:val="000000"/>
          <w:sz w:val="24"/>
        </w:rPr>
        <w:t>COMPANY shall pay to LICENSOR the corresponding Maintenance Fee. No Maintenance Fee pursuant to this Section 3.6(a) shall be payable by COMPANY during any year in which (i) it has achieved at least one Milestone Event, (ii) it has spent at least $100,000 on research and development of the Licensed Products or (iii) it has sold a Licensed Product.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 From and after January 1, 2023, COMPANY shall pay to LICENSOR the Maintenance Fees set forth on APPENDIX G for the applicable calendar years no later than October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of the applicable calendar year (except with respect to the 2023 payment, which shall be made within five days subsequent to the Fourth Amendment Execution Date).”</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IS THE TYPE THAT THE REGISTRANT TREATS AS PRIVATE OR CONFIDENTIAL.</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Amendment of Appendix G</w:t>
      </w:r>
      <w:r>
        <w:rPr>
          <w:rFonts w:ascii="Times New Roman" w:hAnsi="Times New Roman"/>
          <w:color w:val="000000"/>
          <w:sz w:val="24"/>
        </w:rPr>
        <w:t xml:space="preserve">. The Parties agree that </w:t>
      </w:r>
      <w:r>
        <w:rPr>
          <w:rFonts w:ascii="Times New Roman" w:hAnsi="Times New Roman"/>
          <w:color w:val="000000"/>
          <w:sz w:val="24"/>
          <w:u w:val="single"/>
        </w:rPr>
        <w:t>Appendix G</w:t>
      </w:r>
      <w:r>
        <w:rPr>
          <w:color w:val="000000"/>
        </w:rPr>
        <w:t xml:space="preserve"> </w:t>
      </w:r>
      <w:r>
        <w:rPr>
          <w:rFonts w:ascii="Times New Roman" w:hAnsi="Times New Roman"/>
          <w:color w:val="000000"/>
          <w:sz w:val="24"/>
        </w:rPr>
        <w:t>of the Agreement is hereby amended to read in its entirety</w:t>
      </w:r>
      <w:r>
        <w:rPr>
          <w:color w:val="000000"/>
        </w:rPr>
        <w:t xml:space="preserve"> </w:t>
      </w:r>
      <w:r>
        <w:rPr>
          <w:rFonts w:ascii="Times New Roman" w:hAnsi="Times New Roman"/>
          <w:color w:val="000000"/>
          <w:sz w:val="24"/>
        </w:rPr>
        <w:t>as set forth on Appendix G attached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Defined Terms</w:t>
      </w:r>
      <w:r>
        <w:rPr>
          <w:rFonts w:ascii="Times New Roman" w:hAnsi="Times New Roman"/>
          <w:color w:val="000000"/>
          <w:sz w:val="24"/>
        </w:rPr>
        <w:t>. Capitalized terms undefined herein shall have the meaning ascribed to them in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Other Amendment; Effectiveness</w:t>
      </w:r>
      <w:r>
        <w:rPr>
          <w:rFonts w:ascii="Times New Roman" w:hAnsi="Times New Roman"/>
          <w:color w:val="000000"/>
          <w:sz w:val="24"/>
        </w:rPr>
        <w:t>. Except as expressly amended herein, the Agreement, as amended by the First Amendment, the Second Amendment and the Third Amendment, shall remain in full force and effect according to their original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Fourth Amendment shall be construed under and governed by the laws of the State of Georgia and the United States of America.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All rights and restrictions contained herein may be exercised and shall be applicable and binding only to the extent that they do not violate any applicable laws and are intended to be limited to the extent necessary so that they will not render this Agreement illegal, invalid or unenforceable. If any provision or portion of any provision of this Agreement, not essential to the commercial purpose of this Agreement, shall be held to be illegal, invalid or unenforceable by a court of competent jurisdiction, it is the intention of the parties that the remaining provisions or portions thereof shall constitute their agreement with respect to the subject matter hereof, and all such remaining provisions, or portions thereof, shall remain in full force and effect. To the extent legally permissible, any illegal, invalid or unenforceable provision of this Agreement shall be replaced by a valid provision which shall implement the commercial purpose of the illegal, invalid, or unenforceable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Fourth Amendment may be executed electronically and in counterparts, each of which is deemed an original, but all of which together shall constitute one and the same instrument.</w:t>
      </w:r>
    </w:p>
    <w:p>
      <w:pPr>
        <w:pStyle w:val="TextBody"/>
        <w:bidi w:val="0"/>
        <w:spacing w:before="0" w:after="240"/>
        <w:jc w:val="center"/>
        <w:rPr>
          <w:rFonts w:ascii="Times New Roman" w:hAnsi="Times New Roman"/>
          <w:i/>
          <w:smallCaps/>
          <w:color w:val="000000"/>
          <w:sz w:val="24"/>
        </w:rPr>
      </w:pPr>
      <w:r>
        <w:rPr>
          <w:rFonts w:ascii="Times New Roman" w:hAnsi="Times New Roman"/>
          <w:i/>
          <w:smallCaps/>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IS THE TYPE THAT THE REGISTRANT TREATS AS PRIVATE OR CONFIDENTIAL.</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Parties have caused this Fourth Amendment to be executed by their respective duly authorized representatives as of the Fourth Amendment Execution Date.</w:t>
      </w:r>
      <w:r>
        <w:rPr>
          <w:rFonts w:ascii="Times New Roman" w:hAnsi="Times New Roman"/>
          <w:color w:val="000000"/>
          <w:sz w:val="20"/>
        </w:rPr>
        <w:t xml:space="preserve"> </w:t>
      </w:r>
    </w:p>
    <w:p>
      <w:pPr>
        <w:pStyle w:val="TextBody"/>
        <w:bidi w:val="0"/>
        <w:jc w:val="both"/>
        <w:rPr>
          <w:rFonts w:ascii="Times New Roman" w:hAnsi="Times New Roman"/>
          <w:b/>
          <w:smallCaps/>
          <w:color w:val="000000"/>
          <w:sz w:val="24"/>
        </w:rPr>
      </w:pPr>
      <w:r>
        <w:rPr>
          <w:rFonts w:ascii="Times New Roman" w:hAnsi="Times New Roman"/>
          <w:b/>
          <w:smallCaps/>
          <w:color w:val="000000"/>
          <w:sz w:val="24"/>
        </w:rPr>
        <w:t>Emory University Georgia Tech Research Corporation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/s/Todd Sherer By: /s/Raghupathy Sivakumar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Name: Todd Sherer Name: Raghupathy Sivakumar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Title: Executive Director Title: Assistant Secretary, GTRC</w:t>
      </w:r>
    </w:p>
    <w:p>
      <w:pPr>
        <w:pStyle w:val="TextBody"/>
        <w:bidi w:val="0"/>
        <w:jc w:val="both"/>
        <w:rPr/>
      </w:pPr>
      <w:r>
        <w:rPr/>
        <w:t> </w:t>
      </w:r>
    </w:p>
    <w:p>
      <w:pPr>
        <w:pStyle w:val="TextBody"/>
        <w:bidi w:val="0"/>
        <w:jc w:val="both"/>
        <w:rPr>
          <w:rFonts w:ascii="Times New Roman" w:hAnsi="Times New Roman"/>
          <w:b/>
          <w:smallCaps/>
          <w:color w:val="000000"/>
          <w:sz w:val="24"/>
        </w:rPr>
      </w:pPr>
      <w:r>
        <w:rPr>
          <w:rFonts w:ascii="Times New Roman" w:hAnsi="Times New Roman"/>
          <w:b/>
          <w:smallCaps/>
          <w:color w:val="000000"/>
          <w:sz w:val="24"/>
        </w:rPr>
        <w:t xml:space="preserve">Clearside Biomedical, Inc. </w:t>
      </w:r>
    </w:p>
    <w:p>
      <w:pPr>
        <w:pStyle w:val="TextBody"/>
        <w:bidi w:val="0"/>
        <w:jc w:val="both"/>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By: /s/ George Lasezkay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Name: George Lasezkay</w:t>
      </w:r>
    </w:p>
    <w:p>
      <w:pPr>
        <w:pStyle w:val="TextBody"/>
        <w:bidi w:val="0"/>
        <w:spacing w:before="240" w:after="283"/>
        <w:jc w:val="both"/>
        <w:rPr>
          <w:rFonts w:ascii="Times New Roman" w:hAnsi="Times New Roman"/>
          <w:sz w:val="20"/>
        </w:rPr>
      </w:pPr>
      <w:r>
        <w:rPr>
          <w:rFonts w:ascii="Times New Roman" w:hAnsi="Times New Roman"/>
          <w:color w:val="000000"/>
          <w:sz w:val="24"/>
        </w:rPr>
        <w:t>Title: CEO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IT IS BOTH (I) NOT MATERIAL AND (II) IS THE TYPE THAT THE REGISTRANT TREATS AS PRIVATE OR CONFIDENTIAL.</w:t>
      </w:r>
    </w:p>
    <w:p>
      <w:pPr>
        <w:pStyle w:val="TextBody"/>
        <w:bidi w:val="0"/>
        <w:jc w:val="both"/>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APPENDIX G</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LICENSE MAINTENANCE FEES</w:t>
      </w:r>
    </w:p>
    <w:p>
      <w:pPr>
        <w:pStyle w:val="TextBody"/>
        <w:bidi w:val="0"/>
        <w:spacing w:before="240" w:after="283"/>
        <w:jc w:val="center"/>
        <w:rPr/>
      </w:pPr>
      <w:r>
        <w:rPr/>
        <w:t> </w:t>
      </w:r>
    </w:p>
    <w:p>
      <w:pPr>
        <w:pStyle w:val="TextBody"/>
        <w:bidi w:val="0"/>
        <w:jc w:val="left"/>
        <w:rPr>
          <w:rFonts w:ascii="Times New Roman" w:hAnsi="Times New Roman"/>
          <w:sz w:val="20"/>
        </w:rPr>
      </w:pPr>
      <w:r>
        <w:rPr>
          <w:rFonts w:ascii="Times New Roman" w:hAnsi="Times New Roman"/>
          <w:color w:val="000000"/>
          <w:sz w:val="24"/>
          <w:u w:val="single"/>
        </w:rPr>
        <w:t>Effective Date Anniversary</w:t>
      </w:r>
      <w:r>
        <w:rPr>
          <w:rFonts w:ascii="Times New Roman" w:hAnsi="Times New Roman"/>
          <w:color w:val="000000"/>
          <w:sz w:val="20"/>
        </w:rPr>
        <w:t xml:space="preserve"> </w:t>
      </w:r>
      <w:r>
        <w:rPr>
          <w:rFonts w:ascii="Times New Roman" w:hAnsi="Times New Roman"/>
          <w:color w:val="000000"/>
          <w:sz w:val="24"/>
          <w:u w:val="single"/>
        </w:rPr>
        <w:t>License Maintenance Fee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First and Second Anniversary None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Third and Each Subsequent Anniversary until 12/31/22 $25,000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Within five days subsequent to the</w:t>
      </w:r>
    </w:p>
    <w:p>
      <w:pPr>
        <w:pStyle w:val="TextBody"/>
        <w:bidi w:val="0"/>
        <w:jc w:val="left"/>
        <w:rPr>
          <w:rFonts w:ascii="Times New Roman" w:hAnsi="Times New Roman"/>
          <w:color w:val="000000"/>
          <w:sz w:val="24"/>
        </w:rPr>
      </w:pPr>
      <w:r>
        <w:rPr>
          <w:rFonts w:ascii="Times New Roman" w:hAnsi="Times New Roman"/>
          <w:color w:val="000000"/>
          <w:sz w:val="24"/>
        </w:rPr>
        <w:t>Fourth Amendment Execution Date (2024): $250,000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October 1, 2024 $250,000</w:t>
      </w:r>
    </w:p>
    <w:p>
      <w:pPr>
        <w:pStyle w:val="TextBody"/>
        <w:bidi w:val="0"/>
        <w:jc w:val="left"/>
        <w:rPr>
          <w:rFonts w:ascii="Times New Roman" w:hAnsi="Times New Roman"/>
          <w:color w:val="000000"/>
          <w:sz w:val="24"/>
        </w:rPr>
      </w:pPr>
      <w:r>
        <w:rPr>
          <w:rFonts w:ascii="Times New Roman" w:hAnsi="Times New Roman"/>
          <w:color w:val="000000"/>
          <w:sz w:val="24"/>
        </w:rPr>
        <w:t>October 1, 2025 $250,000</w:t>
      </w:r>
    </w:p>
    <w:p>
      <w:pPr>
        <w:pStyle w:val="TextBody"/>
        <w:bidi w:val="0"/>
        <w:jc w:val="left"/>
        <w:rPr>
          <w:rFonts w:ascii="Times New Roman" w:hAnsi="Times New Roman"/>
          <w:color w:val="000000"/>
          <w:sz w:val="24"/>
        </w:rPr>
      </w:pPr>
      <w:r>
        <w:rPr>
          <w:rFonts w:ascii="Times New Roman" w:hAnsi="Times New Roman"/>
          <w:color w:val="000000"/>
          <w:sz w:val="24"/>
        </w:rPr>
        <w:t>October 1, 2026 $350,000</w:t>
      </w:r>
    </w:p>
    <w:p>
      <w:pPr>
        <w:pStyle w:val="TextBody"/>
        <w:bidi w:val="0"/>
        <w:jc w:val="left"/>
        <w:rPr>
          <w:rFonts w:ascii="Times New Roman" w:hAnsi="Times New Roman"/>
          <w:color w:val="000000"/>
          <w:sz w:val="24"/>
        </w:rPr>
      </w:pPr>
      <w:r>
        <w:rPr>
          <w:rFonts w:ascii="Times New Roman" w:hAnsi="Times New Roman"/>
          <w:color w:val="000000"/>
          <w:sz w:val="24"/>
        </w:rPr>
        <w:t>October 1, 2027 $400,000</w:t>
      </w:r>
    </w:p>
    <w:p>
      <w:pPr>
        <w:pStyle w:val="TextBody"/>
        <w:bidi w:val="0"/>
        <w:jc w:val="left"/>
        <w:rPr>
          <w:rFonts w:ascii="Times New Roman" w:hAnsi="Times New Roman"/>
          <w:color w:val="000000"/>
          <w:sz w:val="24"/>
        </w:rPr>
      </w:pPr>
      <w:r>
        <w:rPr>
          <w:rFonts w:ascii="Times New Roman" w:hAnsi="Times New Roman"/>
          <w:color w:val="000000"/>
          <w:sz w:val="24"/>
        </w:rPr>
        <w:t>October 1, 2028 $500,000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further payments after October 1, 2028</w:t>
      </w:r>
    </w:p>
    <w:p>
      <w:pPr>
        <w:pStyle w:val="TextBody"/>
        <w:bidi w:val="0"/>
        <w:spacing w:before="240" w:after="283"/>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48" w:name="clsd-ex10_35.htm"/>
      <w:bookmarkStart w:id="149" w:name="ksclsdex10_35"/>
      <w:bookmarkEnd w:id="148"/>
      <w:bookmarkEnd w:id="149"/>
      <w:r>
        <w:rPr/>
        <w:t> </w:t>
      </w:r>
      <w:r>
        <w:br w:type="page"/>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10.35</w:t>
      </w:r>
    </w:p>
    <w:p>
      <w:pPr>
        <w:pStyle w:val="TextBody"/>
        <w:bidi w:val="0"/>
        <w:spacing w:before="79" w:after="283"/>
        <w:jc w:val="center"/>
        <w:rPr>
          <w:rFonts w:ascii="Times New Roman" w:hAnsi="Times New Roman"/>
          <w:b/>
          <w:color w:val="000000"/>
          <w:sz w:val="24"/>
          <w:u w:val="single"/>
        </w:rPr>
      </w:pPr>
      <w:r>
        <w:rPr>
          <w:rFonts w:ascii="Times New Roman" w:hAnsi="Times New Roman"/>
          <w:b/>
          <w:color w:val="000000"/>
          <w:sz w:val="24"/>
          <w:u w:val="single"/>
        </w:rPr>
        <w:t>FIRST AMENDMENT TO CONSULTING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First Amendment to Consulting Agreement (the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color w:val="000000"/>
          <w:sz w:val="24"/>
        </w:rPr>
        <w:t xml:space="preserve">), effective as of </w:t>
      </w:r>
      <w:r>
        <w:rPr>
          <w:rFonts w:ascii="Times New Roman" w:hAnsi="Times New Roman"/>
          <w:color w:val="000000"/>
          <w:sz w:val="24"/>
          <w:u w:val="single"/>
        </w:rPr>
        <w:t xml:space="preserve">February 17, 2024 </w:t>
      </w:r>
      <w:r>
        <w:rPr>
          <w:rFonts w:ascii="Times New Roman" w:hAnsi="Times New Roman"/>
          <w:color w:val="000000"/>
          <w:sz w:val="24"/>
        </w:rPr>
        <w:t>(the “</w:t>
      </w:r>
      <w:r>
        <w:rPr>
          <w:rFonts w:ascii="Times New Roman" w:hAnsi="Times New Roman"/>
          <w:b/>
          <w:i/>
          <w:color w:val="000000"/>
          <w:sz w:val="24"/>
        </w:rPr>
        <w:t>Amendment Effective Date</w:t>
      </w:r>
      <w:r>
        <w:rPr>
          <w:rFonts w:ascii="Times New Roman" w:hAnsi="Times New Roman"/>
          <w:color w:val="000000"/>
          <w:sz w:val="20"/>
        </w:rPr>
        <w:t>”</w:t>
      </w:r>
      <w:r>
        <w:rPr>
          <w:rFonts w:ascii="Times New Roman" w:hAnsi="Times New Roman"/>
          <w:color w:val="000000"/>
          <w:sz w:val="24"/>
        </w:rPr>
        <w:t>) by and among Dr. Thomas Ciulla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and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amends the Consulting Agreement dated February 17, 2023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Each of Consultant and Client shall be referred to herein individually as a “</w:t>
      </w:r>
      <w:r>
        <w:rPr>
          <w:rFonts w:ascii="Times New Roman" w:hAnsi="Times New Roman"/>
          <w:b/>
          <w:i/>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i/>
          <w:color w:val="000000"/>
          <w:sz w:val="24"/>
        </w:rPr>
        <w:t>Parties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promises set forth herein, the Parties hereby agree as follows:</w:t>
      </w:r>
    </w:p>
    <w:p>
      <w:pPr>
        <w:pStyle w:val="TextBody"/>
        <w:bidi w:val="0"/>
        <w:jc w:val="left"/>
        <w:rPr/>
      </w:pPr>
      <w:r>
        <w:rPr/>
        <w:t> </w:t>
      </w:r>
    </w:p>
    <w:p>
      <w:pPr>
        <w:pStyle w:val="TextBody"/>
        <w:bidi w:val="0"/>
        <w:spacing w:before="204" w:after="283"/>
        <w:jc w:val="left"/>
        <w:rPr/>
      </w:pPr>
      <w:r>
        <w:rPr/>
        <w:t> </w:t>
      </w:r>
    </w:p>
    <w:p>
      <w:pPr>
        <w:pStyle w:val="TextBody"/>
        <w:bidi w:val="0"/>
        <w:jc w:val="center"/>
        <w:rPr>
          <w:rFonts w:ascii="Times New Roman" w:hAnsi="Times New Roman"/>
          <w:b/>
          <w:color w:val="000000"/>
          <w:sz w:val="24"/>
        </w:rPr>
      </w:pPr>
      <w:bookmarkStart w:id="150" w:name="article_i__agreement_amendment"/>
      <w:bookmarkEnd w:id="150"/>
      <w:r>
        <w:rPr>
          <w:rFonts w:ascii="Times New Roman" w:hAnsi="Times New Roman"/>
          <w:b/>
          <w:color w:val="000000"/>
          <w:sz w:val="24"/>
        </w:rPr>
        <w:t>ARTICLE I. AGREEMENT AMENDMENT</w:t>
      </w:r>
    </w:p>
    <w:p>
      <w:pPr>
        <w:pStyle w:val="TextBody"/>
        <w:bidi w:val="0"/>
        <w:spacing w:before="240" w:after="283"/>
        <w:jc w:val="left"/>
        <w:rPr>
          <w:rFonts w:ascii="Times New Roman" w:hAnsi="Times New Roman"/>
          <w:sz w:val="20"/>
        </w:rPr>
      </w:pPr>
      <w:bookmarkStart w:id="151" w:name="section_1__engagement_of_services__exhib"/>
      <w:bookmarkEnd w:id="151"/>
      <w:r>
        <w:rPr>
          <w:rFonts w:ascii="Times New Roman" w:hAnsi="Times New Roman"/>
          <w:b/>
          <w:color w:val="000000"/>
          <w:sz w:val="24"/>
          <w:u w:val="single"/>
        </w:rPr>
        <w:t xml:space="preserve">Section 1. Engagement of Services. Exhibit A </w:t>
      </w:r>
      <w:r>
        <w:rPr>
          <w:rFonts w:ascii="Times New Roman" w:hAnsi="Times New Roman"/>
          <w:color w:val="000000"/>
          <w:sz w:val="24"/>
          <w:u w:val="single"/>
        </w:rPr>
        <w:t>(“Services”) shall be deleted and</w:t>
      </w:r>
      <w:r>
        <w:rPr>
          <w:rFonts w:ascii="Times New Roman" w:hAnsi="Times New Roman"/>
          <w:color w:val="000000"/>
          <w:sz w:val="20"/>
        </w:rPr>
        <w:t xml:space="preserve"> </w:t>
      </w:r>
      <w:r>
        <w:rPr>
          <w:rFonts w:ascii="Times New Roman" w:hAnsi="Times New Roman"/>
          <w:color w:val="000000"/>
          <w:sz w:val="24"/>
          <w:u w:val="single"/>
        </w:rPr>
        <w:t xml:space="preserve">replaced in its entirety with </w:t>
      </w:r>
      <w:r>
        <w:rPr>
          <w:rFonts w:ascii="Times New Roman" w:hAnsi="Times New Roman"/>
          <w:b/>
          <w:color w:val="000000"/>
          <w:sz w:val="24"/>
          <w:u w:val="single"/>
        </w:rPr>
        <w:t xml:space="preserve">Exhibit A </w:t>
      </w:r>
      <w:r>
        <w:rPr>
          <w:rFonts w:ascii="Times New Roman" w:hAnsi="Times New Roman"/>
          <w:color w:val="000000"/>
          <w:sz w:val="24"/>
          <w:u w:val="single"/>
        </w:rPr>
        <w:t>attached hereto.</w:t>
      </w:r>
    </w:p>
    <w:p>
      <w:pPr>
        <w:pStyle w:val="TextBody"/>
        <w:bidi w:val="0"/>
        <w:spacing w:before="240" w:after="283"/>
        <w:jc w:val="left"/>
        <w:rPr>
          <w:rFonts w:ascii="Times New Roman" w:hAnsi="Times New Roman"/>
          <w:sz w:val="20"/>
        </w:rPr>
      </w:pPr>
      <w:bookmarkStart w:id="152" w:name="section_10_1__term___the_agreement_is_he"/>
      <w:bookmarkEnd w:id="152"/>
      <w:r>
        <w:rPr>
          <w:rFonts w:ascii="Times New Roman" w:hAnsi="Times New Roman"/>
          <w:b/>
          <w:color w:val="000000"/>
          <w:sz w:val="24"/>
          <w:u w:val="single"/>
        </w:rPr>
        <w:t>Section 10.1</w:t>
      </w:r>
      <w:r>
        <w:rPr>
          <w:rFonts w:ascii="Times New Roman" w:hAnsi="Times New Roman"/>
          <w:color w:val="000000"/>
          <w:sz w:val="24"/>
          <w:u w:val="single"/>
        </w:rPr>
        <w:t xml:space="preserve">. </w:t>
      </w:r>
      <w:r>
        <w:rPr>
          <w:rFonts w:ascii="Times New Roman" w:hAnsi="Times New Roman"/>
          <w:b/>
          <w:color w:val="000000"/>
          <w:sz w:val="24"/>
          <w:u w:val="single"/>
        </w:rPr>
        <w:t xml:space="preserve">Term. </w:t>
      </w:r>
      <w:r>
        <w:rPr>
          <w:rFonts w:ascii="Times New Roman" w:hAnsi="Times New Roman"/>
          <w:color w:val="000000"/>
          <w:sz w:val="24"/>
          <w:u w:val="single"/>
        </w:rPr>
        <w:t>The Agreement is hereby renewed for a period of one (1) year</w:t>
      </w:r>
      <w:r>
        <w:rPr>
          <w:rFonts w:ascii="Times New Roman" w:hAnsi="Times New Roman"/>
          <w:color w:val="000000"/>
          <w:sz w:val="20"/>
        </w:rPr>
        <w:t xml:space="preserve"> </w:t>
      </w:r>
      <w:r>
        <w:rPr>
          <w:rFonts w:ascii="Times New Roman" w:hAnsi="Times New Roman"/>
          <w:color w:val="000000"/>
          <w:sz w:val="24"/>
          <w:u w:val="single"/>
        </w:rPr>
        <w:t>beginning on the Amendment Effective Date (“Renewal Term”).</w:t>
      </w:r>
    </w:p>
    <w:p>
      <w:pPr>
        <w:pStyle w:val="TextBody"/>
        <w:bidi w:val="0"/>
        <w:jc w:val="left"/>
        <w:rPr/>
      </w:pPr>
      <w:r>
        <w:rPr/>
        <w:t> </w:t>
      </w:r>
    </w:p>
    <w:p>
      <w:pPr>
        <w:pStyle w:val="TextBody"/>
        <w:bidi w:val="0"/>
        <w:spacing w:before="204" w:after="283"/>
        <w:jc w:val="left"/>
        <w:rPr/>
      </w:pPr>
      <w:r>
        <w:rPr/>
        <w:t> </w:t>
      </w:r>
    </w:p>
    <w:p>
      <w:pPr>
        <w:pStyle w:val="TextBody"/>
        <w:bidi w:val="0"/>
        <w:jc w:val="center"/>
        <w:rPr>
          <w:rFonts w:ascii="Times New Roman" w:hAnsi="Times New Roman"/>
          <w:b/>
          <w:color w:val="000000"/>
          <w:sz w:val="24"/>
        </w:rPr>
      </w:pPr>
      <w:bookmarkStart w:id="153" w:name="article_ii__miscellaneous"/>
      <w:bookmarkEnd w:id="153"/>
      <w:r>
        <w:rPr>
          <w:rFonts w:ascii="Times New Roman" w:hAnsi="Times New Roman"/>
          <w:b/>
          <w:color w:val="000000"/>
          <w:sz w:val="24"/>
        </w:rPr>
        <w:t>ARTICLE II. MISCELLANEOUS</w:t>
      </w:r>
    </w:p>
    <w:p>
      <w:pPr>
        <w:pStyle w:val="TextBody"/>
        <w:bidi w:val="0"/>
        <w:spacing w:before="240" w:after="283"/>
        <w:jc w:val="both"/>
        <w:rPr>
          <w:rFonts w:ascii="Times New Roman" w:hAnsi="Times New Roman"/>
          <w:color w:val="000000"/>
          <w:sz w:val="24"/>
        </w:rPr>
      </w:pPr>
      <w:bookmarkStart w:id="154" w:name="capitalized_terms_not_defined_herein_sha"/>
      <w:bookmarkEnd w:id="154"/>
      <w:r>
        <w:rPr>
          <w:rFonts w:ascii="Times New Roman" w:hAnsi="Times New Roman"/>
          <w:color w:val="000000"/>
          <w:sz w:val="24"/>
        </w:rPr>
        <w:t>Capitalized terms not defined herein shall have the same meanings as set forth in the Agreement.</w:t>
      </w:r>
    </w:p>
    <w:p>
      <w:pPr>
        <w:pStyle w:val="TextBody"/>
        <w:bidi w:val="0"/>
        <w:spacing w:before="240" w:after="283"/>
        <w:jc w:val="both"/>
        <w:rPr>
          <w:rFonts w:ascii="Times New Roman" w:hAnsi="Times New Roman"/>
          <w:color w:val="000000"/>
          <w:sz w:val="24"/>
        </w:rPr>
      </w:pPr>
      <w:bookmarkStart w:id="155" w:name="except_as_set_forth_herein__all_other_te"/>
      <w:bookmarkEnd w:id="155"/>
      <w:r>
        <w:rPr>
          <w:rFonts w:ascii="Times New Roman" w:hAnsi="Times New Roman"/>
          <w:color w:val="000000"/>
          <w:sz w:val="24"/>
        </w:rPr>
        <w:t>Except as set forth herein, all other terms and conditions of the Agreement shall remain in full force and effect.</w:t>
      </w:r>
    </w:p>
    <w:p>
      <w:pPr>
        <w:pStyle w:val="TextBody"/>
        <w:bidi w:val="0"/>
        <w:spacing w:before="240" w:after="283"/>
        <w:jc w:val="both"/>
        <w:rPr>
          <w:rFonts w:ascii="Times New Roman" w:hAnsi="Times New Roman"/>
          <w:color w:val="000000"/>
          <w:sz w:val="24"/>
        </w:rPr>
      </w:pPr>
      <w:bookmarkStart w:id="156" w:name="this_amendment_may_be_signed_in_counterp"/>
      <w:bookmarkEnd w:id="156"/>
      <w:r>
        <w:rPr>
          <w:rFonts w:ascii="Times New Roman" w:hAnsi="Times New Roman"/>
          <w:color w:val="000000"/>
          <w:sz w:val="24"/>
        </w:rPr>
        <w:t>This Amendment may be signed in counterparts, each of which shall be an original, with the same effect as if the signatures were upon the same instrument. This Amendment shall become binding when each Party shall have received a counterpart of such agreement signed by the other Parties.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THIS FIRST AMENDMENT TO CONSULTING AGREEMENT IS</w:t>
      </w:r>
    </w:p>
    <w:p>
      <w:pPr>
        <w:pStyle w:val="TextBody"/>
        <w:bidi w:val="0"/>
        <w:jc w:val="left"/>
        <w:rPr>
          <w:rFonts w:ascii="Times New Roman" w:hAnsi="Times New Roman"/>
          <w:sz w:val="20"/>
        </w:rPr>
      </w:pPr>
      <w:r>
        <w:rPr>
          <w:rFonts w:ascii="Times New Roman" w:hAnsi="Times New Roman"/>
          <w:b/>
          <w:color w:val="000000"/>
          <w:sz w:val="24"/>
        </w:rPr>
        <w:t xml:space="preserve">EXECUTED </w:t>
      </w:r>
      <w:r>
        <w:rPr>
          <w:rFonts w:ascii="Times New Roman" w:hAnsi="Times New Roman"/>
          <w:color w:val="000000"/>
          <w:sz w:val="24"/>
        </w:rPr>
        <w:t>by the authorized representatives of the Parties as of the Amendment Effective Date.</w:t>
      </w:r>
    </w:p>
    <w:p>
      <w:pPr>
        <w:pStyle w:val="TextBody"/>
        <w:bidi w:val="0"/>
        <w:jc w:val="left"/>
        <w:rPr/>
      </w:pPr>
      <w:r>
        <w:rPr/>
        <w:t> </w:t>
      </w:r>
    </w:p>
    <w:p>
      <w:pPr>
        <w:pStyle w:val="TextBody"/>
        <w:bidi w:val="0"/>
        <w:spacing w:before="204"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CLEARSIDE BIOMEDICAL, INC. CONSULTANT:</w:t>
      </w:r>
    </w:p>
    <w:p>
      <w:pPr>
        <w:pStyle w:val="TextBody"/>
        <w:bidi w:val="0"/>
        <w:jc w:val="left"/>
        <w:rPr>
          <w:rFonts w:ascii="Times New Roman" w:hAnsi="Times New Roman"/>
          <w:b/>
          <w:color w:val="000000"/>
          <w:sz w:val="24"/>
        </w:rPr>
      </w:pPr>
      <w:r>
        <w:rPr>
          <w:rFonts w:ascii="Times New Roman" w:hAnsi="Times New Roman"/>
          <w:b/>
          <w:color w:val="000000"/>
          <w:sz w:val="24"/>
        </w:rPr>
        <w:t>Dr. Thomas Ciulla</w:t>
      </w:r>
    </w:p>
    <w:p>
      <w:pPr>
        <w:pStyle w:val="TextBody"/>
        <w:bidi w:val="0"/>
        <w:spacing w:before="173" w:after="283"/>
        <w:jc w:val="left"/>
        <w:rPr/>
      </w:pPr>
      <w:r>
        <w:rPr/>
        <w:t> </w:t>
      </w:r>
    </w:p>
    <w:tbl>
      <w:tblPr>
        <w:tblW w:w="6043" w:type="dxa"/>
        <w:jc w:val="left"/>
        <w:tblInd w:w="0" w:type="dxa"/>
        <w:tblLayout w:type="fixed"/>
        <w:tblCellMar>
          <w:top w:w="28" w:type="dxa"/>
          <w:left w:w="28" w:type="dxa"/>
          <w:bottom w:w="28" w:type="dxa"/>
          <w:right w:w="28" w:type="dxa"/>
        </w:tblCellMar>
      </w:tblPr>
      <w:tblGrid>
        <w:gridCol w:w="3016"/>
        <w:gridCol w:w="146"/>
        <w:gridCol w:w="288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/s/George Lasezkay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/s/Thomas Ciulla</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President and CEO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Medical Advisor</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February 21,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February 21, 2024</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sz w:val="20"/>
        </w:rPr>
      </w:pPr>
      <w:r>
        <w:rPr>
          <w:rFonts w:ascii="Times New Roman" w:hAnsi="Times New Roman"/>
          <w:b/>
          <w:color w:val="000000"/>
          <w:sz w:val="22"/>
        </w:rPr>
        <w:t xml:space="preserve">EXHIBIT A – First Amendment to Consulting Agreement Dated: February 17, </w:t>
      </w:r>
      <w:r>
        <w:rPr>
          <w:rFonts w:ascii="Times New Roman" w:hAnsi="Times New Roman"/>
          <w:b/>
          <w:color w:val="000000"/>
          <w:sz w:val="22"/>
          <w:u w:val="single"/>
        </w:rPr>
        <w:t>2024</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Services:</w:t>
      </w:r>
    </w:p>
    <w:p>
      <w:pPr>
        <w:pStyle w:val="TextBody"/>
        <w:bidi w:val="0"/>
        <w:jc w:val="left"/>
        <w:rPr>
          <w:rFonts w:ascii="Times New Roman" w:hAnsi="Times New Roman"/>
          <w:color w:val="000000"/>
          <w:sz w:val="22"/>
        </w:rPr>
      </w:pPr>
      <w:r>
        <w:rPr>
          <w:rFonts w:ascii="Times New Roman" w:hAnsi="Times New Roman"/>
          <w:color w:val="000000"/>
          <w:sz w:val="22"/>
        </w:rPr>
        <w:t>Consultant will render the following services to Client:</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Consultant shall serve as Chairman of the Clearside Biomedical, Inc. Scientific Advisory Board.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Consultant shall serve as Client’s Chief Medical Advisor – Retina.</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Consultant shall assist as needed, if reasonably requested by Client, in the recruitment and evaluation of successor candidates for the following positions: Chief Medical/Development Officer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Consultant shall organize, attend and participate in two Scientific Advisory Board meetings in each of the Initial Term and the first Renewal Term, as requested by and in cooperation with Client.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Consultant shall perform such other advisory or consulting services as may reasonably requested by Client, including but not limited to cooperating with Client in presentation of Client’s scientific and clinical information and participating in Client’s due diligence activities.</w:t>
      </w:r>
    </w:p>
    <w:p>
      <w:pPr>
        <w:pStyle w:val="TextBody"/>
        <w:bidi w:val="0"/>
        <w:spacing w:before="247" w:after="283"/>
        <w:jc w:val="left"/>
        <w:rPr>
          <w:rFonts w:ascii="Times New Roman" w:hAnsi="Times New Roman"/>
          <w:b/>
          <w:color w:val="000000"/>
          <w:sz w:val="22"/>
        </w:rPr>
      </w:pPr>
      <w:r>
        <w:rPr>
          <w:rFonts w:ascii="Times New Roman" w:hAnsi="Times New Roman"/>
          <w:b/>
          <w:color w:val="000000"/>
          <w:sz w:val="22"/>
        </w:rPr>
        <w:t>Schedule Of Services:</w:t>
      </w:r>
    </w:p>
    <w:p>
      <w:pPr>
        <w:pStyle w:val="TextBody"/>
        <w:bidi w:val="0"/>
        <w:jc w:val="left"/>
        <w:rPr>
          <w:rFonts w:ascii="Times New Roman" w:hAnsi="Times New Roman"/>
          <w:color w:val="000000"/>
          <w:sz w:val="22"/>
        </w:rPr>
      </w:pPr>
      <w:r>
        <w:rPr>
          <w:rFonts w:ascii="Times New Roman" w:hAnsi="Times New Roman"/>
          <w:color w:val="000000"/>
          <w:sz w:val="22"/>
        </w:rPr>
        <w:t>During the Term of this Agreement, Consultant agrees to make himself available to perform the Services for up to ten (10) hours per month, and such additional hours as may be mutually agreed upon by Consultant and Client.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Fees And Reimbursement:</w:t>
      </w:r>
    </w:p>
    <w:p>
      <w:pPr>
        <w:pStyle w:val="TextBody"/>
        <w:bidi w:val="0"/>
        <w:jc w:val="left"/>
        <w:rPr>
          <w:rFonts w:ascii="Times New Roman" w:hAnsi="Times New Roman"/>
          <w:sz w:val="20"/>
        </w:rPr>
      </w:pPr>
      <w:r>
        <w:rPr>
          <w:rFonts w:ascii="Times New Roman" w:hAnsi="Times New Roman"/>
          <w:b/>
          <w:color w:val="000000"/>
          <w:sz w:val="22"/>
        </w:rPr>
        <w:t>Monthly Consulting Fee</w:t>
      </w:r>
      <w:r>
        <w:rPr>
          <w:rFonts w:ascii="Times New Roman" w:hAnsi="Times New Roman"/>
          <w:color w:val="000000"/>
          <w:sz w:val="22"/>
        </w:rPr>
        <w:t>. As consideration for the Services rendered pursuant to this Agreement and for the assignment of certain of Consultant’s right, title and interest pursuant hereto during the Term of the Agreement, Consultant will be paid a monthly consulting fee of $8,000 for each calendar month during the Term of this Agreement beginning on March 1, 2023 (the “</w:t>
      </w:r>
      <w:r>
        <w:rPr>
          <w:rFonts w:ascii="Times New Roman" w:hAnsi="Times New Roman"/>
          <w:b/>
          <w:i/>
          <w:color w:val="000000"/>
          <w:sz w:val="22"/>
        </w:rPr>
        <w:t>Monthly Consulting Fee</w:t>
      </w:r>
      <w:r>
        <w:rPr>
          <w:rFonts w:ascii="Times New Roman" w:hAnsi="Times New Roman"/>
          <w:color w:val="000000"/>
          <w:sz w:val="20"/>
        </w:rPr>
        <w:t>”</w:t>
      </w:r>
      <w:r>
        <w:rPr>
          <w:rFonts w:ascii="Times New Roman" w:hAnsi="Times New Roman"/>
          <w:color w:val="000000"/>
          <w:sz w:val="22"/>
        </w:rPr>
        <w:t>). Any undisputed Monthly Consulting Fee will be paid on a monthly basis within thirty (30) days following Client’s receipt of Consultant’s invoice (as described below). If the Agreement is terminated prior to the conclusion of any calendar month, the Monthly Consulting Fee shall be prorated based on the number of days this Agreement was in effect for such partial calendar month. For Services rendered in February 2023, Consultant will be paid a pro-rated portion of the Monthly Consulting Fee based on the number of days this Agreement was in effect for such month.</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2"/>
        </w:rPr>
        <w:t xml:space="preserve">Equity Vesting. </w:t>
      </w:r>
      <w:r>
        <w:rPr>
          <w:rFonts w:ascii="Times New Roman" w:hAnsi="Times New Roman"/>
          <w:color w:val="000000"/>
          <w:sz w:val="22"/>
        </w:rPr>
        <w:t>Consultant has been granted equity compensation in the form of stock options and Restricted Stock Unit awards, in connection with Consultant’s prior employment relationship with the Client (the “</w:t>
      </w:r>
      <w:r>
        <w:rPr>
          <w:rFonts w:ascii="Times New Roman" w:hAnsi="Times New Roman"/>
          <w:b/>
          <w:i/>
          <w:color w:val="000000"/>
          <w:sz w:val="22"/>
        </w:rPr>
        <w:t>Equity Grants</w:t>
      </w:r>
      <w:r>
        <w:rPr>
          <w:rFonts w:ascii="Times New Roman" w:hAnsi="Times New Roman"/>
          <w:color w:val="000000"/>
          <w:sz w:val="20"/>
        </w:rPr>
        <w:t>”</w:t>
      </w:r>
      <w:r>
        <w:rPr>
          <w:rFonts w:ascii="Times New Roman" w:hAnsi="Times New Roman"/>
          <w:color w:val="000000"/>
          <w:sz w:val="22"/>
        </w:rPr>
        <w:t>). Notwithstanding anything to the contrary in Consultant’s Stock Option Grant Notices and Agreements and Consultant’s Restricted Stock Unit Grant Notices and Agreements to the contrary, then effective as of the Effective Date of this Agreement, Consultant acknowledges and agrees that:</w:t>
      </w:r>
    </w:p>
    <w:p>
      <w:pPr>
        <w:pStyle w:val="TextBody"/>
        <w:bidi w:val="0"/>
        <w:spacing w:before="253" w:after="283"/>
        <w:jc w:val="left"/>
        <w:rPr>
          <w:color w:val="000000"/>
        </w:rPr>
      </w:pPr>
      <w:r>
        <w:rPr>
          <w:color w:val="000000"/>
        </w:rPr>
        <w:t>•</w:t>
      </w:r>
    </w:p>
    <w:p>
      <w:pPr>
        <w:pStyle w:val="TextBody"/>
        <w:bidi w:val="0"/>
        <w:spacing w:before="253" w:after="283"/>
        <w:jc w:val="left"/>
        <w:rPr/>
      </w:pPr>
      <w:r>
        <w:rPr>
          <w:rFonts w:ascii="Times New Roman" w:hAnsi="Times New Roman"/>
          <w:color w:val="000000"/>
          <w:sz w:val="22"/>
        </w:rPr>
        <w:t>All vesting with respect to any restricted stock units (each, an “</w:t>
      </w:r>
      <w:r>
        <w:rPr>
          <w:rFonts w:ascii="Times New Roman" w:hAnsi="Times New Roman"/>
          <w:b/>
          <w:i/>
          <w:color w:val="000000"/>
          <w:sz w:val="22"/>
        </w:rPr>
        <w:t>RSU</w:t>
      </w:r>
      <w:r>
        <w:rPr>
          <w:color w:val="000000"/>
        </w:rPr>
        <w:t>”</w:t>
      </w:r>
      <w:r>
        <w:rPr>
          <w:rFonts w:ascii="Times New Roman" w:hAnsi="Times New Roman"/>
          <w:color w:val="000000"/>
          <w:sz w:val="22"/>
        </w:rPr>
        <w:t>) held by Consultant as of the Termination Date ceased as of the Termination Date, with the remaining unvested RSUs being cancelled and of no further force or effect;</w:t>
      </w:r>
    </w:p>
    <w:p>
      <w:pPr>
        <w:pStyle w:val="TextBody"/>
        <w:bidi w:val="0"/>
        <w:spacing w:before="177" w:after="283"/>
        <w:jc w:val="left"/>
        <w:rPr>
          <w:color w:val="000000"/>
        </w:rPr>
      </w:pPr>
      <w:r>
        <w:rPr>
          <w:color w:val="000000"/>
        </w:rPr>
        <w:t>•</w:t>
      </w:r>
    </w:p>
    <w:p>
      <w:pPr>
        <w:pStyle w:val="TextBody"/>
        <w:bidi w:val="0"/>
        <w:spacing w:before="177" w:after="283"/>
        <w:jc w:val="left"/>
        <w:rPr/>
      </w:pPr>
      <w:r>
        <w:rPr>
          <w:rFonts w:ascii="Times New Roman" w:hAnsi="Times New Roman"/>
          <w:color w:val="000000"/>
          <w:sz w:val="22"/>
        </w:rPr>
        <w:t xml:space="preserve">Except as provided in the immediately following paragraphs, any options to purchase shares of the </w:t>
      </w:r>
      <w:r>
        <w:rPr>
          <w:rFonts w:ascii="Times New Roman" w:hAnsi="Times New Roman"/>
          <w:color w:val="000000"/>
          <w:sz w:val="22"/>
          <w:u w:val="single"/>
        </w:rPr>
        <w:t>Client’s</w:t>
      </w:r>
      <w:r>
        <w:rPr>
          <w:color w:val="000000"/>
        </w:rPr>
        <w:t xml:space="preserve"> </w:t>
      </w:r>
      <w:r>
        <w:rPr>
          <w:rFonts w:ascii="Times New Roman" w:hAnsi="Times New Roman"/>
          <w:color w:val="000000"/>
          <w:sz w:val="22"/>
        </w:rPr>
        <w:t>Common Stock (each, an “</w:t>
      </w:r>
      <w:r>
        <w:rPr>
          <w:rFonts w:ascii="Times New Roman" w:hAnsi="Times New Roman"/>
          <w:b/>
          <w:i/>
          <w:color w:val="000000"/>
          <w:sz w:val="22"/>
        </w:rPr>
        <w:t>Option</w:t>
      </w:r>
      <w:r>
        <w:rPr>
          <w:color w:val="000000"/>
        </w:rPr>
        <w:t>”</w:t>
      </w:r>
      <w:r>
        <w:rPr>
          <w:rFonts w:ascii="Times New Roman" w:hAnsi="Times New Roman"/>
          <w:color w:val="000000"/>
          <w:sz w:val="22"/>
        </w:rPr>
        <w:t>) held by Consultant as of the Termination Date will continue to vest in accordance with their terms through August 31, 2023, provided that</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Consultant remains in continuous service with the </w:t>
      </w:r>
      <w:r>
        <w:rPr>
          <w:rFonts w:ascii="Times New Roman" w:hAnsi="Times New Roman"/>
          <w:color w:val="000000"/>
          <w:sz w:val="22"/>
          <w:u w:val="single"/>
        </w:rPr>
        <w:t xml:space="preserve">Client </w:t>
      </w:r>
      <w:r>
        <w:rPr>
          <w:rFonts w:ascii="Times New Roman" w:hAnsi="Times New Roman"/>
          <w:color w:val="000000"/>
          <w:sz w:val="22"/>
        </w:rPr>
        <w:t>through such date, with any then-remaining unvested Option shares being cancelled and of no further force or effect;</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color w:val="000000"/>
          <w:sz w:val="22"/>
          <w:u w:val="single"/>
        </w:rPr>
        <w:t>With respect to that certain Option granted to Consultant on January 4, 2023 (the “</w:t>
      </w:r>
      <w:r>
        <w:rPr>
          <w:rFonts w:ascii="Times New Roman" w:hAnsi="Times New Roman"/>
          <w:b/>
          <w:i/>
          <w:color w:val="000000"/>
          <w:sz w:val="22"/>
          <w:u w:val="single"/>
        </w:rPr>
        <w:t>January 2023</w:t>
      </w:r>
      <w:r>
        <w:rPr>
          <w:color w:val="000000"/>
        </w:rPr>
        <w:t xml:space="preserve"> </w:t>
      </w:r>
      <w:r>
        <w:rPr>
          <w:rFonts w:ascii="Times New Roman" w:hAnsi="Times New Roman"/>
          <w:b/>
          <w:i/>
          <w:color w:val="000000"/>
          <w:sz w:val="22"/>
          <w:u w:val="single"/>
        </w:rPr>
        <w:t>Option</w:t>
      </w:r>
      <w:r>
        <w:rPr>
          <w:color w:val="000000"/>
          <w:u w:val="single"/>
        </w:rPr>
        <w:t>”</w:t>
      </w:r>
      <w:r>
        <w:rPr>
          <w:rFonts w:ascii="Times New Roman" w:hAnsi="Times New Roman"/>
          <w:color w:val="000000"/>
          <w:sz w:val="22"/>
          <w:u w:val="single"/>
        </w:rPr>
        <w:t>),</w:t>
      </w:r>
      <w:r>
        <w:rPr>
          <w:color w:val="000000"/>
        </w:rPr>
        <w:t xml:space="preserve"> </w:t>
      </w:r>
      <w:r>
        <w:rPr>
          <w:rFonts w:ascii="Times New Roman" w:hAnsi="Times New Roman"/>
          <w:color w:val="000000"/>
          <w:sz w:val="22"/>
        </w:rPr>
        <w:t>the January 2023 Option will continue to vest in accordance with its terms through January 4, 2024, provided that Consultant remains in continuous service with the Client through January 4, 2024, at which time 25% of the January 2023 Option shares (46,875 shares) will immediately vest and become exercisable with any then remaining unvested January 2023 Option shares being cancelled and of no further force or effect;</w:t>
      </w:r>
    </w:p>
    <w:p>
      <w:pPr>
        <w:pStyle w:val="TextBody"/>
        <w:bidi w:val="0"/>
        <w:spacing w:before="181" w:after="283"/>
        <w:jc w:val="left"/>
        <w:rPr>
          <w:color w:val="000000"/>
        </w:rPr>
      </w:pPr>
      <w:r>
        <w:rPr>
          <w:color w:val="000000"/>
        </w:rPr>
        <w:t>•</w:t>
      </w:r>
    </w:p>
    <w:p>
      <w:pPr>
        <w:pStyle w:val="TextBody"/>
        <w:bidi w:val="0"/>
        <w:spacing w:before="181" w:after="283"/>
        <w:jc w:val="left"/>
        <w:rPr/>
      </w:pPr>
      <w:r>
        <w:rPr>
          <w:rFonts w:ascii="Times New Roman" w:hAnsi="Times New Roman"/>
          <w:color w:val="000000"/>
          <w:sz w:val="22"/>
          <w:u w:val="single"/>
        </w:rPr>
        <w:t>With respect to that certain Option granted to Consultant on January 18, 2024 (the “</w:t>
      </w:r>
      <w:r>
        <w:rPr>
          <w:rFonts w:ascii="Times New Roman" w:hAnsi="Times New Roman"/>
          <w:b/>
          <w:i/>
          <w:color w:val="000000"/>
          <w:sz w:val="22"/>
          <w:u w:val="single"/>
        </w:rPr>
        <w:t>January 2024</w:t>
      </w:r>
      <w:r>
        <w:rPr>
          <w:color w:val="000000"/>
        </w:rPr>
        <w:t xml:space="preserve"> </w:t>
      </w:r>
      <w:r>
        <w:rPr>
          <w:rFonts w:ascii="Times New Roman" w:hAnsi="Times New Roman"/>
          <w:b/>
          <w:i/>
          <w:color w:val="000000"/>
          <w:sz w:val="22"/>
          <w:u w:val="single"/>
        </w:rPr>
        <w:t>Option</w:t>
      </w:r>
      <w:r>
        <w:rPr>
          <w:color w:val="000000"/>
          <w:u w:val="single"/>
        </w:rPr>
        <w:t>”</w:t>
      </w:r>
      <w:r>
        <w:rPr>
          <w:rFonts w:ascii="Times New Roman" w:hAnsi="Times New Roman"/>
          <w:color w:val="000000"/>
          <w:sz w:val="22"/>
          <w:u w:val="single"/>
        </w:rPr>
        <w:t>),</w:t>
      </w:r>
      <w:r>
        <w:rPr>
          <w:color w:val="000000"/>
        </w:rPr>
        <w:t xml:space="preserve"> </w:t>
      </w:r>
      <w:r>
        <w:rPr>
          <w:rFonts w:ascii="Times New Roman" w:hAnsi="Times New Roman"/>
          <w:color w:val="000000"/>
          <w:sz w:val="22"/>
        </w:rPr>
        <w:t>the January 2024 Option will continue to vest in accordance with its terms in twelve equal monthly installments provided that Consultant remains in continuous service with the Client on each such vesting date;</w:t>
      </w:r>
    </w:p>
    <w:p>
      <w:pPr>
        <w:pStyle w:val="TextBody"/>
        <w:bidi w:val="0"/>
        <w:spacing w:before="181" w:after="283"/>
        <w:jc w:val="left"/>
        <w:rPr>
          <w:rFonts w:ascii="Times New Roman" w:hAnsi="Times New Roman"/>
          <w:color w:val="000000"/>
          <w:sz w:val="22"/>
        </w:rPr>
      </w:pPr>
      <w:r>
        <w:rPr>
          <w:rFonts w:ascii="Times New Roman" w:hAnsi="Times New Roman"/>
          <w:color w:val="000000"/>
          <w:sz w:val="22"/>
        </w:rPr>
        <w:t>Any then-outstanding and vested Options shall remain exercisable until the date that is three months following the termination date of this Agreement (subject in any event to earlier expiration in accordance with the agreements evidencing such Options and the terms of the plan pursuant to which such Option was granted); and</w:t>
      </w:r>
    </w:p>
    <w:p>
      <w:pPr>
        <w:pStyle w:val="TextBody"/>
        <w:bidi w:val="0"/>
        <w:spacing w:before="181" w:after="283"/>
        <w:jc w:val="left"/>
        <w:rPr>
          <w:rFonts w:ascii="Times New Roman" w:hAnsi="Times New Roman"/>
          <w:color w:val="000000"/>
          <w:sz w:val="22"/>
        </w:rPr>
      </w:pPr>
      <w:r>
        <w:rPr>
          <w:rFonts w:ascii="Times New Roman" w:hAnsi="Times New Roman"/>
          <w:color w:val="000000"/>
          <w:sz w:val="22"/>
        </w:rPr>
        <w:t>Any Options originally intended to qualify as incentive stock options under Section 422 of the U.S. Internal Revenue Code of 1986, as amended, shall no long so qualify if exercised more than 3 months after the Termination Date.</w:t>
      </w:r>
    </w:p>
    <w:p>
      <w:pPr>
        <w:pStyle w:val="TextBody"/>
        <w:bidi w:val="0"/>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Consultant acknowledges and agrees that the extension of his exercise period, as described above, is a substantial benefit to him and constitutes additional consideration for the Services hereunder and for Consultant’s entering into this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Consultant will be reimbursed for third party expenses (at cost) if approved in writing in advance by Client.</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Consultant will invoice Client monthly (on the first day of each month, beginning on April 1, 2023) for services rendered and expenses incurred during the previous month and will provide such reasonable receipts or other documentation of expenses as Client might request, including copies of time records. The parties have executed this Exhibit A as of the date first written above.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57" w:name="clsd-ex23_1.htm"/>
      <w:bookmarkStart w:id="158" w:name="ksclsdex23_1"/>
      <w:bookmarkEnd w:id="157"/>
      <w:bookmarkEnd w:id="158"/>
      <w:r>
        <w:rPr>
          <w:rFonts w:ascii="Times New Roman" w:hAnsi="Times New Roman"/>
          <w:b/>
          <w:color w:val="000000"/>
          <w:sz w:val="24"/>
        </w:rPr>
        <w:t>Exhibit 23.1</w:t>
      </w:r>
      <w:r>
        <w:br w:type="page"/>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Consent of Independent Registered Public Accounting Firm</w:t>
      </w:r>
    </w:p>
    <w:p>
      <w:pPr>
        <w:pStyle w:val="TextBody"/>
        <w:bidi w:val="0"/>
        <w:jc w:val="left"/>
        <w:rPr>
          <w:rFonts w:ascii="Times New Roman" w:hAnsi="Times New Roman"/>
          <w:sz w:val="20"/>
        </w:rPr>
      </w:pPr>
      <w:r>
        <w:rPr>
          <w:rFonts w:ascii="Arial" w:hAnsi="Arial"/>
          <w:color w:val="000000"/>
          <w:sz w:val="20"/>
        </w:rPr>
        <w:t>We consent to the incorporation by reference in the following Registration Statements: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Registration Statement (Form S-8 No. 333-212014) pertaining to the 2011 Stock Incentive Plan, as amended, Stock Option Awards, 2016 Equity Incentive Plan, and 2016 Employee Stock Purchase Plan of Clearside Biomedical,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Registration Statement (Form S-8 No. 333-216750) pertaining to the 2016 Equity Incentive Plan and 2016 Employee Stock Purchase Plan of Clearside Biomedical, Inc.,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Registration Statement (Form S-3 No. 333-235880) of Clearside Biomedical, Inc.,</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Registration Statement (Form S-3 No. 333-271902) of Clearside Biomedical, Inc.,</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pPr>
      <w:r>
        <w:rPr>
          <w:rFonts w:ascii="Arial" w:hAnsi="Arial"/>
          <w:color w:val="000000"/>
          <w:sz w:val="20"/>
        </w:rPr>
        <w:t xml:space="preserve">Registration Statement (Form S-8 No. 333-224826) pertaining to the 2016 Equity Incentive Plan and 2016 Employee Stock Purchase Plan of Clearside Biomedical, Inc., </w:t>
        <w:br/>
        <w:br/>
      </w:r>
      <w:r>
        <w:rPr>
          <w:color w:val="000000"/>
        </w:rPr>
        <w:t> </w:t>
      </w:r>
    </w:p>
    <w:p>
      <w:pPr>
        <w:pStyle w:val="TextBody"/>
        <w:bidi w:val="0"/>
        <w:spacing w:before="120" w:after="283"/>
        <w:jc w:val="left"/>
        <w:rPr>
          <w:rFonts w:ascii="Arial" w:hAnsi="Arial"/>
          <w:color w:val="000000"/>
          <w:sz w:val="20"/>
        </w:rPr>
      </w:pPr>
      <w:r>
        <w:rPr>
          <w:rFonts w:ascii="Arial" w:hAnsi="Arial"/>
          <w:color w:val="000000"/>
          <w:sz w:val="20"/>
        </w:rPr>
        <w:t>6.</w:t>
      </w:r>
    </w:p>
    <w:p>
      <w:pPr>
        <w:pStyle w:val="TextBody"/>
        <w:bidi w:val="0"/>
        <w:spacing w:before="120" w:after="283"/>
        <w:jc w:val="left"/>
        <w:rPr>
          <w:rFonts w:ascii="Arial" w:hAnsi="Arial"/>
          <w:color w:val="000000"/>
          <w:sz w:val="20"/>
        </w:rPr>
      </w:pPr>
      <w:r>
        <w:rPr>
          <w:rFonts w:ascii="Arial" w:hAnsi="Arial"/>
          <w:color w:val="000000"/>
          <w:sz w:val="20"/>
        </w:rPr>
        <w:t xml:space="preserve">Registration Statement (Form S-8 No. 333-231383) pertaining to the 2016 Equity Incentive Plan of Clearside Biomedical, Inc., </w:t>
      </w:r>
    </w:p>
    <w:p>
      <w:pPr>
        <w:pStyle w:val="TextBody"/>
        <w:bidi w:val="0"/>
        <w:spacing w:before="120" w:after="283"/>
        <w:jc w:val="left"/>
        <w:rPr>
          <w:rFonts w:ascii="Arial" w:hAnsi="Arial"/>
          <w:color w:val="000000"/>
          <w:sz w:val="20"/>
        </w:rPr>
      </w:pPr>
      <w:r>
        <w:rPr>
          <w:rFonts w:ascii="Arial" w:hAnsi="Arial"/>
          <w:color w:val="000000"/>
          <w:sz w:val="20"/>
        </w:rPr>
        <w:t>7.</w:t>
      </w:r>
    </w:p>
    <w:p>
      <w:pPr>
        <w:pStyle w:val="TextBody"/>
        <w:bidi w:val="0"/>
        <w:spacing w:before="120" w:after="283"/>
        <w:jc w:val="left"/>
        <w:rPr>
          <w:rFonts w:ascii="Arial" w:hAnsi="Arial"/>
          <w:color w:val="000000"/>
          <w:sz w:val="20"/>
        </w:rPr>
      </w:pPr>
      <w:r>
        <w:rPr>
          <w:rFonts w:ascii="Arial" w:hAnsi="Arial"/>
          <w:color w:val="000000"/>
          <w:sz w:val="20"/>
        </w:rPr>
        <w:t>Registration Statement (Form S-8 No. 333-238133) pertaining to the 2016 Equity Incentive Plan of Clearside Biomedical, Inc., and</w:t>
      </w:r>
    </w:p>
    <w:p>
      <w:pPr>
        <w:pStyle w:val="TextBody"/>
        <w:bidi w:val="0"/>
        <w:spacing w:before="120" w:after="283"/>
        <w:jc w:val="left"/>
        <w:rPr>
          <w:rFonts w:ascii="Arial" w:hAnsi="Arial"/>
          <w:color w:val="000000"/>
          <w:sz w:val="20"/>
        </w:rPr>
      </w:pPr>
      <w:r>
        <w:rPr>
          <w:rFonts w:ascii="Arial" w:hAnsi="Arial"/>
          <w:color w:val="000000"/>
          <w:sz w:val="20"/>
        </w:rPr>
        <w:t>8.</w:t>
      </w:r>
    </w:p>
    <w:p>
      <w:pPr>
        <w:pStyle w:val="TextBody"/>
        <w:bidi w:val="0"/>
        <w:spacing w:before="120" w:after="283"/>
        <w:jc w:val="left"/>
        <w:rPr>
          <w:rFonts w:ascii="Arial" w:hAnsi="Arial"/>
          <w:color w:val="000000"/>
          <w:sz w:val="20"/>
        </w:rPr>
      </w:pPr>
      <w:r>
        <w:rPr>
          <w:rFonts w:ascii="Arial" w:hAnsi="Arial"/>
          <w:color w:val="000000"/>
          <w:sz w:val="20"/>
        </w:rPr>
        <w:t>Registration Statement (Form S-8 No. 333-256212) pertaining to the 2016 Equity Incentive Plan of Clearside Biomedical, Inc.</w:t>
      </w:r>
    </w:p>
    <w:p>
      <w:pPr>
        <w:pStyle w:val="TextBody"/>
        <w:bidi w:val="0"/>
        <w:spacing w:before="120" w:after="283"/>
        <w:jc w:val="left"/>
        <w:rPr>
          <w:rFonts w:ascii="Arial" w:hAnsi="Arial"/>
          <w:color w:val="000000"/>
          <w:sz w:val="20"/>
        </w:rPr>
      </w:pPr>
      <w:r>
        <w:rPr>
          <w:rFonts w:ascii="Arial" w:hAnsi="Arial"/>
          <w:color w:val="000000"/>
          <w:sz w:val="20"/>
        </w:rPr>
        <w:t>9.</w:t>
      </w:r>
    </w:p>
    <w:p>
      <w:pPr>
        <w:pStyle w:val="TextBody"/>
        <w:bidi w:val="0"/>
        <w:spacing w:before="120" w:after="283"/>
        <w:jc w:val="left"/>
        <w:rPr>
          <w:rFonts w:ascii="Arial" w:hAnsi="Arial"/>
          <w:color w:val="000000"/>
          <w:sz w:val="20"/>
        </w:rPr>
      </w:pPr>
      <w:r>
        <w:rPr>
          <w:rFonts w:ascii="Arial" w:hAnsi="Arial"/>
          <w:color w:val="000000"/>
          <w:sz w:val="20"/>
        </w:rPr>
        <w:t>Registration Statement (Form S-8 No. 333-264885) pertaining to the 2016 Equity Incentive Plan of Clearside Biomedical, Inc.</w:t>
      </w:r>
    </w:p>
    <w:p>
      <w:pPr>
        <w:pStyle w:val="TextBody"/>
        <w:bidi w:val="0"/>
        <w:spacing w:before="120" w:after="283"/>
        <w:jc w:val="left"/>
        <w:rPr>
          <w:rFonts w:ascii="Arial" w:hAnsi="Arial"/>
          <w:color w:val="000000"/>
          <w:sz w:val="20"/>
        </w:rPr>
      </w:pPr>
      <w:r>
        <w:rPr>
          <w:rFonts w:ascii="Arial" w:hAnsi="Arial"/>
          <w:color w:val="000000"/>
          <w:sz w:val="20"/>
        </w:rPr>
        <w:t>10.</w:t>
      </w:r>
    </w:p>
    <w:p>
      <w:pPr>
        <w:pStyle w:val="TextBody"/>
        <w:bidi w:val="0"/>
        <w:spacing w:before="120" w:after="283"/>
        <w:jc w:val="left"/>
        <w:rPr>
          <w:rFonts w:ascii="Arial" w:hAnsi="Arial"/>
          <w:color w:val="000000"/>
          <w:sz w:val="20"/>
        </w:rPr>
      </w:pPr>
      <w:r>
        <w:rPr>
          <w:rFonts w:ascii="Arial" w:hAnsi="Arial"/>
          <w:color w:val="000000"/>
          <w:sz w:val="20"/>
        </w:rPr>
        <w:t>Registration Statement (Form S-8 No. 333-271877) pertaining to the 2016 Equity Incentive Plan of Clearside Biomedical, Inc.</w:t>
      </w:r>
    </w:p>
    <w:p>
      <w:pPr>
        <w:pStyle w:val="TextBody"/>
        <w:bidi w:val="0"/>
        <w:jc w:val="left"/>
        <w:rPr>
          <w:rFonts w:ascii="Arial" w:hAnsi="Arial"/>
          <w:color w:val="000000"/>
          <w:sz w:val="20"/>
        </w:rPr>
      </w:pPr>
      <w:r>
        <w:rPr>
          <w:rFonts w:ascii="Arial" w:hAnsi="Arial"/>
          <w:color w:val="000000"/>
          <w:sz w:val="20"/>
        </w:rPr>
        <w:t>of our report dated March 12, 2024, with respect to the consolidated financial statements of Clearside Biomedical, Inc. included in this Annual Report (Form 10-K) of Clearside Biomedical, Inc. for the year ended December 31, 2023.</w:t>
      </w:r>
    </w:p>
    <w:p>
      <w:pPr>
        <w:pStyle w:val="TextBody"/>
        <w:bidi w:val="0"/>
        <w:jc w:val="left"/>
        <w:rPr>
          <w:rFonts w:ascii="Arial" w:hAnsi="Arial"/>
          <w:color w:val="000000"/>
          <w:sz w:val="20"/>
        </w:rPr>
      </w:pPr>
      <w:r>
        <w:rPr>
          <w:rFonts w:ascii="Arial" w:hAnsi="Arial"/>
          <w:color w:val="000000"/>
          <w:sz w:val="20"/>
        </w:rPr>
        <w:t>/s/ Ernst &amp; Young LLP</w:t>
      </w:r>
    </w:p>
    <w:p>
      <w:pPr>
        <w:pStyle w:val="TextBody"/>
        <w:bidi w:val="0"/>
        <w:jc w:val="both"/>
        <w:rPr>
          <w:rFonts w:ascii="Times New Roman" w:hAnsi="Times New Roman"/>
          <w:sz w:val="20"/>
        </w:rPr>
      </w:pPr>
      <w:r>
        <w:rPr>
          <w:rFonts w:ascii="Arial" w:hAnsi="Arial"/>
          <w:color w:val="000000"/>
          <w:sz w:val="20"/>
        </w:rPr>
        <w:t>Atlanta, Georgia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March 12, 2024</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9" w:name="clsd-ex31_1.htm"/>
      <w:bookmarkStart w:id="160" w:name="ksclsdex31_1"/>
      <w:bookmarkEnd w:id="159"/>
      <w:bookmarkEnd w:id="16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Lasezkay,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2023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12, 2024</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Pharm.D., J.D.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Pharm.D., J.D.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61" w:name="clsd-ex31_2.htm"/>
      <w:bookmarkStart w:id="162" w:name="ksclsdex31_2"/>
      <w:bookmarkEnd w:id="161"/>
      <w:bookmarkEnd w:id="16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A. Deignan,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2023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12, 2024</w:t>
      </w:r>
    </w:p>
    <w:tbl>
      <w:tblPr>
        <w:tblW w:w="2465" w:type="dxa"/>
        <w:jc w:val="left"/>
        <w:tblInd w:w="0" w:type="dxa"/>
        <w:tblLayout w:type="fixed"/>
        <w:tblCellMar>
          <w:top w:w="28" w:type="dxa"/>
          <w:left w:w="28" w:type="dxa"/>
          <w:bottom w:w="28" w:type="dxa"/>
          <w:right w:w="28" w:type="dxa"/>
        </w:tblCellMar>
      </w:tblPr>
      <w:tblGrid>
        <w:gridCol w:w="124"/>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63" w:name="clsd-ex32_1.htm"/>
      <w:bookmarkStart w:id="164" w:name="ksclsdex32_1"/>
      <w:bookmarkEnd w:id="163"/>
      <w:bookmarkEnd w:id="16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Report on Form 10-K for the year ended December 31, 2023,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set their hands hereto as of the 12th day of March, 2024.</w:t>
      </w:r>
    </w:p>
    <w:tbl>
      <w:tblPr>
        <w:tblW w:w="5676" w:type="dxa"/>
        <w:jc w:val="left"/>
        <w:tblInd w:w="0" w:type="dxa"/>
        <w:tblLayout w:type="fixed"/>
        <w:tblCellMar>
          <w:top w:w="28" w:type="dxa"/>
          <w:left w:w="28" w:type="dxa"/>
          <w:bottom w:w="28" w:type="dxa"/>
          <w:right w:w="28" w:type="dxa"/>
        </w:tblCellMar>
      </w:tblPr>
      <w:tblGrid>
        <w:gridCol w:w="3226"/>
        <w:gridCol w:w="109"/>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Pharm.D., J.D.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Pharm.D., J.D.</w:t>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w:t>
              <w:b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br/>
              <w:t>(principal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0"/>
        <w:jc w:val="right"/>
        <w:rPr>
          <w:rFonts w:ascii="Times New Roman" w:hAnsi="Times New Roman"/>
          <w:b/>
          <w:color w:val="000000"/>
          <w:sz w:val="22"/>
        </w:rPr>
      </w:pPr>
      <w:bookmarkStart w:id="165" w:name="clsd-ex97_clawbackpo.htm"/>
      <w:bookmarkStart w:id="166" w:name="ksclsdex97_clawbackpo"/>
      <w:bookmarkEnd w:id="165"/>
      <w:bookmarkEnd w:id="166"/>
      <w:r>
        <w:rPr>
          <w:rFonts w:ascii="Times New Roman" w:hAnsi="Times New Roman"/>
          <w:b/>
          <w:color w:val="000000"/>
          <w:sz w:val="22"/>
        </w:rPr>
        <w:t>Exhibit 97</w:t>
      </w:r>
      <w:r>
        <w:br w:type="page"/>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Clearside Biomedical,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Clearside Biomedical,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Compensation Committee</w:t>
      </w:r>
      <w:r>
        <w:rPr>
          <w:rFonts w:ascii="Times New Roman" w:hAnsi="Times New Roman"/>
          <w:color w:val="000000"/>
          <w:sz w:val="20"/>
        </w:rPr>
        <w:t xml:space="preserve">” </w:t>
      </w:r>
      <w:r>
        <w:rPr>
          <w:rFonts w:ascii="Times New Roman" w:hAnsi="Times New Roman"/>
          <w:color w:val="000000"/>
          <w:sz w:val="22"/>
        </w:rPr>
        <w:t>means the Compensation Committee of the Board.</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rFonts w:ascii="Times New Roman" w:hAnsi="Times New Roman"/>
          <w:color w:val="000000"/>
          <w:sz w:val="22"/>
        </w:rPr>
        <w:t>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r>
        <w:rPr>
          <w:color w:val="000000"/>
        </w:rPr>
        <w:t xml:space="preserve">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 xml:space="preserve">Any members of the Administrator, and any other members of the Board who assist in the administration of this Policy, shall not be personally liable for any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Clearside Biomedical,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Form of Executive Acknowledgment</w:t>
      </w:r>
    </w:p>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I, the undersigned, agree and acknowledge that I am bound by, and subject to, the Clearside Biomedical, Inc. Incentive Compensation Recoupment Policy, as may be amended, restated, supplemented or otherwise modified from time to time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In the event of any inconsistency between the Policy and the terms of any employment agreement, offer letter or other individual agreement with Clearside Biomedical,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Agreed and Acknowledged:</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Date: </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539029/000119312516615374/d208521dex31.htm" TargetMode="External"/><Relationship Id="rId6" Type="http://schemas.openxmlformats.org/officeDocument/2006/relationships/hyperlink" Target="https://www.sec.gov/Archives/edgar/data/1539029/000095017022012039/clsd-ex3_1.htm" TargetMode="External"/><Relationship Id="rId7" Type="http://schemas.openxmlformats.org/officeDocument/2006/relationships/hyperlink" Target="https://www.sec.gov/Archives/edgar/data/1539029/000119312516615374/d208521dex32.htm" TargetMode="External"/><Relationship Id="rId8" Type="http://schemas.openxmlformats.org/officeDocument/2006/relationships/hyperlink" Target="https://www.sec.gov/Archives/edgar/data/1539029/000119312516510413/d742552dex41.htm" TargetMode="External"/><Relationship Id="rId9" Type="http://schemas.openxmlformats.org/officeDocument/2006/relationships/hyperlink" Target="https://www.sec.gov/Archives/edgar/data/1539029/000119312516730463/d280787dex41.htm" TargetMode="External"/><Relationship Id="rId10" Type="http://schemas.openxmlformats.org/officeDocument/2006/relationships/hyperlink" Target="https://www.sec.gov/Archives/edgar/data/1539029/000119312524028487/d754271dex41.htm" TargetMode="External"/><Relationship Id="rId11" Type="http://schemas.openxmlformats.org/officeDocument/2006/relationships/hyperlink" Target="https://www.sec.gov/Archives/edgar/data/1539029/000156459020010810/clsd-ex44_474.htm" TargetMode="External"/><Relationship Id="rId12" Type="http://schemas.openxmlformats.org/officeDocument/2006/relationships/hyperlink" Target="https://www.sec.gov/Archives/edgar/data/1539029/000119312516424684/d742552dex101.htm" TargetMode="External"/><Relationship Id="rId13" Type="http://schemas.openxmlformats.org/officeDocument/2006/relationships/hyperlink" Target="https://www.sec.gov/Archives/edgar/data/1539029/000119312516424684/d742552dex103.htm" TargetMode="External"/><Relationship Id="rId14" Type="http://schemas.openxmlformats.org/officeDocument/2006/relationships/hyperlink" Target="https://www.sec.gov/Archives/edgar/data/1539029/000119312516424684/d742552dex104.htm" TargetMode="External"/><Relationship Id="rId15" Type="http://schemas.openxmlformats.org/officeDocument/2006/relationships/hyperlink" Target="https://www.sec.gov/Archives/edgar/data/1539029/000119312516424684/d742552dex105.htm" TargetMode="External"/><Relationship Id="rId16" Type="http://schemas.openxmlformats.org/officeDocument/2006/relationships/hyperlink" Target="https://www.sec.gov/Archives/edgar/data/1539029/000119312516621364/d196989dex47.htm" TargetMode="External"/><Relationship Id="rId17" Type="http://schemas.openxmlformats.org/officeDocument/2006/relationships/hyperlink" Target="https://www.sec.gov/Archives/edgar/data/1539029/000119312516510413/d742552dex107.htm" TargetMode="External"/><Relationship Id="rId18" Type="http://schemas.openxmlformats.org/officeDocument/2006/relationships/hyperlink" Target="https://www.sec.gov/Archives/edgar/data/1539029/000119312516510413/d742552dex108.htm" TargetMode="External"/><Relationship Id="rId19" Type="http://schemas.openxmlformats.org/officeDocument/2006/relationships/hyperlink" Target="https://www.sec.gov/Archives/edgar/data/1539029/000119312516424684/d742552dex109.htm" TargetMode="External"/><Relationship Id="rId20" Type="http://schemas.openxmlformats.org/officeDocument/2006/relationships/hyperlink" Target="https://www.sec.gov/Archives/edgar/data/1539029/000119312516510413/d742552dex1012.htm" TargetMode="External"/><Relationship Id="rId21" Type="http://schemas.openxmlformats.org/officeDocument/2006/relationships/hyperlink" Target="https://www.sec.gov/Archives/edgar/data/1539029/000119312516776461/d299560dex101.htm" TargetMode="External"/><Relationship Id="rId22" Type="http://schemas.openxmlformats.org/officeDocument/2006/relationships/hyperlink" Target="https://www.sec.gov/Archives/edgar/data/1539029/000156459017004643/clsd-ex1021_665.htm" TargetMode="External"/><Relationship Id="rId23" Type="http://schemas.openxmlformats.org/officeDocument/2006/relationships/hyperlink" Target="https://www.sec.gov/Archives/edgar/data/1539029/000156459017023267/clsd-ex102_69.htm" TargetMode="External"/><Relationship Id="rId24" Type="http://schemas.openxmlformats.org/officeDocument/2006/relationships/hyperlink" Target="https://www.sec.gov/Archives/edgar/data/1539029/000095017022017137/clsd-ex10_1.htm" TargetMode="External"/><Relationship Id="rId25" Type="http://schemas.openxmlformats.org/officeDocument/2006/relationships/hyperlink" Target="https://www.sec.gov/Archives/edgar/data/1539029/000156459018020519/clsd-ex101_147.htm" TargetMode="External"/><Relationship Id="rId26" Type="http://schemas.openxmlformats.org/officeDocument/2006/relationships/hyperlink" Target="https://www.sec.gov/Archives/edgar/data/1539029/000156459018020519/clsd-ex102_146.htm" TargetMode="External"/><Relationship Id="rId27" Type="http://schemas.openxmlformats.org/officeDocument/2006/relationships/hyperlink" Target="https://www.sec.gov/Archives/edgar/data/1539029/000156459019030795/clsd-ex101_131.htm" TargetMode="External"/><Relationship Id="rId28" Type="http://schemas.openxmlformats.org/officeDocument/2006/relationships/hyperlink" Target="https://www.sec.gov/Archives/edgar/data/1539029/000156459020010810/clsd-ex1026_501.htm" TargetMode="External"/><Relationship Id="rId29" Type="http://schemas.openxmlformats.org/officeDocument/2006/relationships/hyperlink" Target="https://www.sec.gov/Archives/edgar/data/1539029/000156459020038893/clsd-ex101_237.htm" TargetMode="External"/><Relationship Id="rId30" Type="http://schemas.openxmlformats.org/officeDocument/2006/relationships/hyperlink" Target="https://www.sec.gov/Archives/edgar/data/1539029/000156459019011832/clsd-ex101_6.htm" TargetMode="External"/><Relationship Id="rId31" Type="http://schemas.openxmlformats.org/officeDocument/2006/relationships/hyperlink" Target="https://www.sec.gov/Archives/edgar/data/1539029/000156459019030795/clsd-ex103_296.htm" TargetMode="External"/><Relationship Id="rId32" Type="http://schemas.openxmlformats.org/officeDocument/2006/relationships/hyperlink" Target="https://www.sec.gov/Archives/edgar/data/1539029/000156459020010810/clsd-ex1030_500.htm" TargetMode="External"/><Relationship Id="rId33" Type="http://schemas.openxmlformats.org/officeDocument/2006/relationships/hyperlink" Target="https://www.sec.gov/Archives/edgar/data/1539029/000156459020023620/clsd-ex102_178.htm" TargetMode="External"/><Relationship Id="rId34" Type="http://schemas.openxmlformats.org/officeDocument/2006/relationships/hyperlink" Target="https://www.sec.gov/Archives/edgar/data/1539029/000156459020038893/clsd-ex102_238.htm" TargetMode="External"/><Relationship Id="rId35" Type="http://schemas.openxmlformats.org/officeDocument/2006/relationships/hyperlink" Target="https://www.sec.gov/Archives/edgar/data/1539029/000095017021004115/clsd-ex10_1.htm" TargetMode="External"/><Relationship Id="rId36" Type="http://schemas.openxmlformats.org/officeDocument/2006/relationships/hyperlink" Target="https://www.sec.gov/Archives/edgar/data/1539029/000095017021004115/clsd-ex10_2.htm" TargetMode="External"/><Relationship Id="rId37" Type="http://schemas.openxmlformats.org/officeDocument/2006/relationships/hyperlink" Target="https://www.sec.gov/Archives/edgar/data/1539029/000095017021004115/clsd-ex10_3.htm" TargetMode="External"/><Relationship Id="rId38" Type="http://schemas.openxmlformats.org/officeDocument/2006/relationships/hyperlink" Target="https://www.sec.gov/Archives/edgar/data/1539029/000095017022023525/clsd-ex10_1.htm" TargetMode="External"/><Relationship Id="rId39" Type="http://schemas.openxmlformats.org/officeDocument/2006/relationships/hyperlink" Target="https://www.sec.gov/Archives/edgar/data/1539029/000095017023007732/clsd-ex10_29.htm" TargetMode="External"/><Relationship Id="rId40" Type="http://schemas.openxmlformats.org/officeDocument/2006/relationships/hyperlink" Target="https://www.sec.gov/Archives/edgar/data/1539029/000095017023007732/clsd-ex10_30.htm" TargetMode="External"/><Relationship Id="rId41" Type="http://schemas.openxmlformats.org/officeDocument/2006/relationships/hyperlink" Target="https://www.sec.gov/Archives/edgar/data/1539029/000095017023003293/clsd-ex10_1.htm" TargetMode="External"/><Relationship Id="rId42" Type="http://schemas.openxmlformats.org/officeDocument/2006/relationships/hyperlink" Target="https://www.sec.gov/Archives/edgar/data/1539029/000095017023073587/clsd-ex10_1.htm" TargetMode="External"/><Relationship Id="rId43" Type="http://schemas.openxmlformats.org/officeDocument/2006/relationships/hyperlink" Target="https://www.sec.gov/Archives/edgar/data/1539029/000095017023021769/clsd-ex10_1.htm" TargetMode="External"/><Relationship Id="rId44" Type="http://schemas.openxmlformats.org/officeDocument/2006/relationships/hyperlink" Target="https://www.sec.gov/Archives/edgar/data/1539029/000095017023021769/clsd-ex10_1.htm" TargetMode="External"/><Relationship Id="rId45" Type="http://schemas.openxmlformats.org/officeDocument/2006/relationships/hyperlink" Target="https://www.sec.gov/Archives/edgar/data/1539029/000095017023021769/clsd-ex10_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109219</Words>
  <Characters>606471</Characters>
  <CharactersWithSpaces>715233</CharactersWithSpaces>
  <Paragraphs>7218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