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82550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860" w:right="1880" w:hanging="3852"/>
        <w:spacing w:after="0" w:line="349" w:lineRule="auto"/>
        <w:tabs>
          <w:tab w:leader="none" w:pos="21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200" w:right="1860" w:hanging="4192"/>
        <w:spacing w:after="0" w:line="376" w:lineRule="auto"/>
        <w:tabs>
          <w:tab w:leader="none" w:pos="21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Clearside Biomedical, Inc.</w:t>
      </w:r>
    </w:p>
    <w:p>
      <w:pPr>
        <w:sectPr>
          <w:pgSz w:w="11900" w:h="16838" w:orient="portrait"/>
          <w:cols w:equalWidth="0" w:num="1">
            <w:col w:w="11240"/>
          </w:cols>
          <w:pgMar w:left="320" w:top="576" w:right="339" w:bottom="1440" w:gutter="0" w:footer="0" w:header="0"/>
        </w:sectPr>
      </w:pPr>
    </w:p>
    <w:p>
      <w:pPr>
        <w:spacing w:after="0" w:line="2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45"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(State or other jurisdiction of</w:t>
      </w:r>
    </w:p>
    <w:p>
      <w:pPr>
        <w:spacing w:after="0" w:line="25"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45-2437375</w:t>
      </w:r>
    </w:p>
    <w:p>
      <w:pPr>
        <w:spacing w:after="0" w:line="5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47" w:lineRule="exact"/>
        <w:rPr>
          <w:sz w:val="24"/>
          <w:szCs w:val="24"/>
          <w:color w:val="auto"/>
        </w:rPr>
      </w:pPr>
    </w:p>
    <w:p>
      <w:pPr>
        <w:sectPr>
          <w:pgSz w:w="11900" w:h="16838" w:orient="portrait"/>
          <w:cols w:equalWidth="0" w:num="2">
            <w:col w:w="7700" w:space="160"/>
            <w:col w:w="3380"/>
          </w:cols>
          <w:pgMar w:left="320" w:top="576" w:right="339" w:bottom="1440" w:gutter="0" w:footer="0" w:header="0"/>
          <w:type w:val="continuous"/>
        </w:sectPr>
      </w:pPr>
    </w:p>
    <w:tbl>
      <w:tblPr>
        <w:tblLayout w:type="fixed"/>
        <w:tblInd w:w="1440" w:type="dxa"/>
        <w:tblCellMar>
          <w:top w:w="0" w:type="dxa"/>
          <w:left w:w="0" w:type="dxa"/>
          <w:bottom w:w="0" w:type="dxa"/>
          <w:right w:w="0" w:type="dxa"/>
        </w:tblCellMar>
      </w:tblPr>
      <w:tr>
        <w:trPr>
          <w:trHeight w:val="230"/>
        </w:trPr>
        <w:tc>
          <w:tcPr>
            <w:tcW w:w="3180" w:type="dxa"/>
            <w:vAlign w:val="bottom"/>
          </w:tcPr>
          <w:p>
            <w:pPr>
              <w:jc w:val="center"/>
              <w:ind w:right="336"/>
              <w:spacing w:after="0"/>
              <w:rPr>
                <w:sz w:val="20"/>
                <w:szCs w:val="20"/>
                <w:color w:val="auto"/>
              </w:rPr>
            </w:pPr>
            <w:r>
              <w:rPr>
                <w:rFonts w:ascii="Arial" w:cs="Arial" w:eastAsia="Arial" w:hAnsi="Arial"/>
                <w:sz w:val="18"/>
                <w:szCs w:val="18"/>
                <w:b w:val="1"/>
                <w:bCs w:val="1"/>
                <w:color w:val="auto"/>
                <w:w w:val="91"/>
              </w:rPr>
              <w:t>900 North Point Parkway, Suite 200</w:t>
            </w:r>
          </w:p>
        </w:tc>
        <w:tc>
          <w:tcPr>
            <w:tcW w:w="4140" w:type="dxa"/>
            <w:vAlign w:val="bottom"/>
          </w:tcPr>
          <w:p>
            <w:pPr>
              <w:spacing w:after="0"/>
              <w:rPr>
                <w:sz w:val="19"/>
                <w:szCs w:val="19"/>
                <w:color w:val="auto"/>
              </w:rPr>
            </w:pPr>
          </w:p>
        </w:tc>
      </w:tr>
      <w:tr>
        <w:trPr>
          <w:trHeight w:val="234"/>
        </w:trPr>
        <w:tc>
          <w:tcPr>
            <w:tcW w:w="3180" w:type="dxa"/>
            <w:vAlign w:val="bottom"/>
          </w:tcPr>
          <w:p>
            <w:pPr>
              <w:jc w:val="center"/>
              <w:ind w:right="336"/>
              <w:spacing w:after="0"/>
              <w:rPr>
                <w:sz w:val="20"/>
                <w:szCs w:val="20"/>
                <w:color w:val="auto"/>
              </w:rPr>
            </w:pPr>
            <w:r>
              <w:rPr>
                <w:rFonts w:ascii="Arial" w:cs="Arial" w:eastAsia="Arial" w:hAnsi="Arial"/>
                <w:sz w:val="18"/>
                <w:szCs w:val="18"/>
                <w:b w:val="1"/>
                <w:bCs w:val="1"/>
                <w:color w:val="auto"/>
                <w:w w:val="95"/>
              </w:rPr>
              <w:t>Alpharetta, GA</w:t>
            </w:r>
          </w:p>
        </w:tc>
        <w:tc>
          <w:tcPr>
            <w:tcW w:w="4140" w:type="dxa"/>
            <w:vAlign w:val="bottom"/>
          </w:tcPr>
          <w:p>
            <w:pPr>
              <w:jc w:val="right"/>
              <w:ind w:right="16"/>
              <w:spacing w:after="0"/>
              <w:rPr>
                <w:sz w:val="20"/>
                <w:szCs w:val="20"/>
                <w:color w:val="auto"/>
              </w:rPr>
            </w:pPr>
            <w:r>
              <w:rPr>
                <w:rFonts w:ascii="Arial" w:cs="Arial" w:eastAsia="Arial" w:hAnsi="Arial"/>
                <w:sz w:val="18"/>
                <w:szCs w:val="18"/>
                <w:b w:val="1"/>
                <w:bCs w:val="1"/>
                <w:color w:val="auto"/>
              </w:rPr>
              <w:t>30005</w:t>
            </w:r>
          </w:p>
        </w:tc>
      </w:tr>
      <w:tr>
        <w:trPr>
          <w:trHeight w:val="204"/>
        </w:trPr>
        <w:tc>
          <w:tcPr>
            <w:tcW w:w="3180" w:type="dxa"/>
            <w:vAlign w:val="bottom"/>
          </w:tcPr>
          <w:p>
            <w:pPr>
              <w:jc w:val="center"/>
              <w:ind w:right="35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140" w:type="dxa"/>
            <w:vAlign w:val="bottom"/>
          </w:tcPr>
          <w:p>
            <w:pPr>
              <w:jc w:val="center"/>
              <w:ind w:left="3396"/>
              <w:spacing w:after="0"/>
              <w:rPr>
                <w:sz w:val="20"/>
                <w:szCs w:val="20"/>
                <w:color w:val="auto"/>
              </w:rPr>
            </w:pPr>
            <w:r>
              <w:rPr>
                <w:rFonts w:ascii="Arial" w:cs="Arial" w:eastAsia="Arial" w:hAnsi="Arial"/>
                <w:sz w:val="14"/>
                <w:szCs w:val="14"/>
                <w:b w:val="1"/>
                <w:bCs w:val="1"/>
                <w:color w:val="auto"/>
                <w:w w:val="95"/>
              </w:rPr>
              <w:t>(Zip Code)</w:t>
            </w:r>
          </w:p>
        </w:tc>
      </w:tr>
      <w:tr>
        <w:trPr>
          <w:trHeight w:val="309"/>
        </w:trPr>
        <w:tc>
          <w:tcPr>
            <w:tcW w:w="3180" w:type="dxa"/>
            <w:vAlign w:val="bottom"/>
          </w:tcPr>
          <w:p>
            <w:pPr>
              <w:spacing w:after="0"/>
              <w:rPr>
                <w:sz w:val="24"/>
                <w:szCs w:val="24"/>
                <w:color w:val="auto"/>
              </w:rPr>
            </w:pPr>
          </w:p>
        </w:tc>
        <w:tc>
          <w:tcPr>
            <w:tcW w:w="4140" w:type="dxa"/>
            <w:vAlign w:val="bottom"/>
          </w:tcPr>
          <w:p>
            <w:pPr>
              <w:jc w:val="right"/>
              <w:ind w:right="2496"/>
              <w:spacing w:after="0"/>
              <w:rPr>
                <w:sz w:val="20"/>
                <w:szCs w:val="20"/>
                <w:color w:val="auto"/>
              </w:rPr>
            </w:pPr>
            <w:r>
              <w:rPr>
                <w:rFonts w:ascii="Arial" w:cs="Arial" w:eastAsia="Arial" w:hAnsi="Arial"/>
                <w:sz w:val="18"/>
                <w:szCs w:val="18"/>
                <w:b w:val="1"/>
                <w:bCs w:val="1"/>
                <w:color w:val="auto"/>
              </w:rPr>
              <w:t>(678) 270-3631</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7" w:lineRule="exact"/>
        <w:rPr>
          <w:sz w:val="24"/>
          <w:szCs w:val="24"/>
          <w:color w:val="auto"/>
        </w:rPr>
      </w:pPr>
    </w:p>
    <w:p>
      <w:pPr>
        <w:ind w:left="1440"/>
        <w:spacing w:after="0"/>
        <w:tabs>
          <w:tab w:leader="none" w:pos="4640" w:val="left"/>
          <w:tab w:leader="none" w:pos="730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50" w:lineRule="exact"/>
        <w:rPr>
          <w:sz w:val="24"/>
          <w:szCs w:val="24"/>
          <w:color w:val="auto"/>
        </w:rPr>
      </w:pPr>
    </w:p>
    <w:p>
      <w:pPr>
        <w:ind w:left="540"/>
        <w:spacing w:after="0"/>
        <w:tabs>
          <w:tab w:leader="none" w:pos="5100" w:val="left"/>
          <w:tab w:leader="none" w:pos="7760" w:val="left"/>
        </w:tabs>
        <w:rPr>
          <w:sz w:val="20"/>
          <w:szCs w:val="20"/>
          <w:color w:val="auto"/>
        </w:rPr>
      </w:pPr>
      <w:r>
        <w:rPr>
          <w:rFonts w:ascii="Arial" w:cs="Arial" w:eastAsia="Arial" w:hAnsi="Arial"/>
          <w:sz w:val="18"/>
          <w:szCs w:val="18"/>
          <w:color w:val="auto"/>
        </w:rPr>
        <w:t>Common Stock, par value $0.001 per share</w:t>
      </w:r>
      <w:r>
        <w:rPr>
          <w:sz w:val="20"/>
          <w:szCs w:val="20"/>
          <w:color w:val="auto"/>
        </w:rPr>
        <w:tab/>
      </w:r>
      <w:r>
        <w:rPr>
          <w:rFonts w:ascii="Arial" w:cs="Arial" w:eastAsia="Arial" w:hAnsi="Arial"/>
          <w:sz w:val="18"/>
          <w:szCs w:val="18"/>
          <w:color w:val="auto"/>
        </w:rPr>
        <w:t>CLSD</w:t>
      </w:r>
      <w:r>
        <w:rPr>
          <w:sz w:val="20"/>
          <w:szCs w:val="20"/>
          <w:color w:val="auto"/>
        </w:rPr>
        <w:tab/>
      </w:r>
      <w:r>
        <w:rPr>
          <w:rFonts w:ascii="Arial" w:cs="Arial" w:eastAsia="Arial" w:hAnsi="Arial"/>
          <w:sz w:val="16"/>
          <w:szCs w:val="16"/>
          <w:color w:val="auto"/>
        </w:rPr>
        <w:t>The Nasdaq Stock Market LLC</w:t>
      </w:r>
    </w:p>
    <w:p>
      <w:pPr>
        <w:spacing w:after="0" w:line="104" w:lineRule="exact"/>
        <w:rPr>
          <w:sz w:val="24"/>
          <w:szCs w:val="24"/>
          <w:color w:val="auto"/>
        </w:rPr>
      </w:pPr>
    </w:p>
    <w:p>
      <w:pPr>
        <w:ind w:right="60" w:firstLine="509"/>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40" w:firstLine="509"/>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0" w:firstLine="509"/>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09"/>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520" w:right="122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6, 2021, the registrant had 59,479,568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425450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20" w:type="dxa"/>
            <w:vAlign w:val="bottom"/>
            <w:gridSpan w:val="8"/>
          </w:tcPr>
          <w:p>
            <w:pPr>
              <w:jc w:val="center"/>
              <w:ind w:right="2440"/>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21"/>
                <w:szCs w:val="21"/>
                <w:color w:val="auto"/>
              </w:rPr>
            </w:pPr>
          </w:p>
        </w:tc>
      </w:tr>
      <w:tr>
        <w:trPr>
          <w:trHeight w:val="28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660" w:type="dxa"/>
            <w:vAlign w:val="bottom"/>
            <w:gridSpan w:val="14"/>
          </w:tcPr>
          <w:p>
            <w:pPr>
              <w:spacing w:after="0"/>
              <w:rPr>
                <w:sz w:val="20"/>
                <w:szCs w:val="20"/>
                <w:color w:val="auto"/>
              </w:rPr>
            </w:pPr>
            <w:r>
              <w:rPr>
                <w:rFonts w:ascii="Arial" w:cs="Arial" w:eastAsia="Arial" w:hAnsi="Arial"/>
                <w:sz w:val="18"/>
                <w:szCs w:val="18"/>
                <w:color w:val="auto"/>
              </w:rPr>
              <w:t>Financial Statements (unaudited)</w:t>
            </w:r>
          </w:p>
        </w:tc>
        <w:tc>
          <w:tcPr>
            <w:tcW w:w="4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6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Balance Sheets as of June 30, 2021 and December 31, 2020</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60" w:type="dxa"/>
            <w:vAlign w:val="bottom"/>
            <w:gridSpan w:val="1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Statements of Operations for the three and six months ended June 30, 2021 and 2020</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Statements of Stockholders’ Equity for the three and six months ended June 30, 2021 and 2020</w:t>
              </w:r>
            </w:hyperlink>
          </w:p>
        </w:tc>
        <w:tc>
          <w:tcPr>
            <w:tcW w:w="2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60" w:type="dxa"/>
            <w:vAlign w:val="bottom"/>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Statements of Cash Flows for the six months ended June 30, 2021 and 2020</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60" w:type="dxa"/>
            <w:vAlign w:val="bottom"/>
            <w:tcBorders>
              <w:top w:val="single" w:sz="8" w:color="0000FF"/>
            </w:tcBorders>
            <w:gridSpan w:val="1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Financial Statements</w:t>
              </w:r>
            </w:hyperlink>
          </w:p>
        </w:tc>
        <w:tc>
          <w:tcPr>
            <w:tcW w:w="4200" w:type="dxa"/>
            <w:vAlign w:val="bottom"/>
            <w:gridSpan w:val="4"/>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660" w:type="dxa"/>
            <w:vAlign w:val="bottom"/>
            <w:gridSpan w:val="14"/>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2"/>
              </w:rPr>
            </w:pPr>
            <w:hyperlink w:anchor="page24">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3"/>
          </w:tcPr>
          <w:p>
            <w:pPr>
              <w:spacing w:after="0"/>
              <w:rPr>
                <w:sz w:val="20"/>
                <w:szCs w:val="20"/>
                <w:color w:val="auto"/>
              </w:rPr>
            </w:pPr>
          </w:p>
        </w:tc>
        <w:tc>
          <w:tcPr>
            <w:tcW w:w="3200" w:type="dxa"/>
            <w:vAlign w:val="bottom"/>
            <w:gridSpan w:val="2"/>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660" w:type="dxa"/>
            <w:vAlign w:val="bottom"/>
            <w:gridSpan w:val="14"/>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20" w:type="dxa"/>
            <w:vAlign w:val="bottom"/>
            <w:gridSpan w:val="8"/>
          </w:tcPr>
          <w:p>
            <w:pPr>
              <w:jc w:val="center"/>
              <w:ind w:right="2440"/>
              <w:spacing w:after="0"/>
              <w:rPr>
                <w:sz w:val="20"/>
                <w:szCs w:val="20"/>
                <w:color w:val="auto"/>
              </w:rPr>
            </w:pPr>
            <w:r>
              <w:rPr>
                <w:rFonts w:ascii="Arial" w:cs="Arial" w:eastAsia="Arial" w:hAnsi="Arial"/>
                <w:sz w:val="18"/>
                <w:szCs w:val="18"/>
                <w:b w:val="1"/>
                <w:bCs w:val="1"/>
                <w:color w:val="auto"/>
              </w:rPr>
              <w:t>PART II - OTHER INFORMATION</w:t>
            </w:r>
          </w:p>
        </w:tc>
        <w:tc>
          <w:tcPr>
            <w:tcW w:w="420" w:type="dxa"/>
            <w:vAlign w:val="bottom"/>
          </w:tcPr>
          <w:p>
            <w:pPr>
              <w:spacing w:after="0"/>
              <w:rPr>
                <w:sz w:val="24"/>
                <w:szCs w:val="24"/>
                <w:color w:val="auto"/>
              </w:rPr>
            </w:pPr>
          </w:p>
        </w:tc>
      </w:tr>
      <w:tr>
        <w:trPr>
          <w:trHeight w:val="24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660" w:type="dxa"/>
            <w:vAlign w:val="bottom"/>
            <w:gridSpan w:val="1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320" w:type="dxa"/>
            <w:vAlign w:val="bottom"/>
            <w:gridSpan w:val="10"/>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Unregistered Sales of Equity Securities and Use of Proceeds</w:t>
              </w:r>
            </w:hyperlink>
          </w:p>
        </w:tc>
        <w:tc>
          <w:tcPr>
            <w:tcW w:w="5300" w:type="dxa"/>
            <w:vAlign w:val="bottom"/>
            <w:gridSpan w:val="6"/>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660" w:type="dxa"/>
            <w:vAlign w:val="bottom"/>
            <w:gridSpan w:val="1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Exhibits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1160" w:type="dxa"/>
            <w:vAlign w:val="bottom"/>
            <w:gridSpan w:val="3"/>
          </w:tcPr>
          <w:p>
            <w:pPr>
              <w:ind w:left="20"/>
              <w:spacing w:after="0"/>
              <w:rPr>
                <w:rFonts w:ascii="Arial" w:cs="Arial" w:eastAsia="Arial" w:hAnsi="Arial"/>
                <w:sz w:val="18"/>
                <w:szCs w:val="18"/>
                <w:color w:val="0000FF"/>
              </w:rPr>
            </w:pPr>
            <w:hyperlink w:anchor="page27">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06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26,414</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17,287</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r>
      <w:tr>
        <w:trPr>
          <w:trHeight w:val="257"/>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27,653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18,118</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r>
      <w:tr>
        <w:trPr>
          <w:trHeight w:val="25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7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28,592</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19,322</w:t>
            </w:r>
          </w:p>
        </w:tc>
        <w:tc>
          <w:tcPr>
            <w:tcW w:w="100" w:type="dxa"/>
            <w:vAlign w:val="bottom"/>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r>
      <w:tr>
        <w:trPr>
          <w:trHeight w:val="257"/>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8,796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9,943</w:t>
            </w:r>
          </w:p>
        </w:tc>
        <w:tc>
          <w:tcPr>
            <w:tcW w:w="100" w:type="dxa"/>
            <w:vAlign w:val="bottom"/>
          </w:tcPr>
          <w:p>
            <w:pPr>
              <w:spacing w:after="0"/>
              <w:rPr>
                <w:sz w:val="21"/>
                <w:szCs w:val="21"/>
                <w:color w:val="auto"/>
              </w:rPr>
            </w:pPr>
          </w:p>
        </w:tc>
      </w:tr>
      <w:tr>
        <w:trPr>
          <w:trHeight w:val="25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9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9,254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Preferred stock, $0.001 par value; 10,000,000 shares authorized and no</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shares issued at June 30, 2021 and December 31, 2020</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7720" w:type="dxa"/>
            <w:vAlign w:val="bottom"/>
          </w:tcPr>
          <w:p>
            <w:pPr>
              <w:ind w:left="280"/>
              <w:spacing w:after="0"/>
              <w:rPr>
                <w:sz w:val="20"/>
                <w:szCs w:val="20"/>
                <w:color w:val="auto"/>
              </w:rPr>
            </w:pPr>
            <w:r>
              <w:rPr>
                <w:rFonts w:ascii="Arial" w:cs="Arial" w:eastAsia="Arial" w:hAnsi="Arial"/>
                <w:sz w:val="18"/>
                <w:szCs w:val="18"/>
                <w:color w:val="auto"/>
              </w:rPr>
              <w:t>Common stock, $0.001 par value; 100,000,000 shares authorized at</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720" w:type="dxa"/>
            <w:vAlign w:val="bottom"/>
          </w:tcPr>
          <w:p>
            <w:pPr>
              <w:ind w:left="400"/>
              <w:spacing w:after="0"/>
              <w:rPr>
                <w:sz w:val="20"/>
                <w:szCs w:val="20"/>
                <w:color w:val="auto"/>
              </w:rPr>
            </w:pPr>
            <w:r>
              <w:rPr>
                <w:rFonts w:ascii="Arial" w:cs="Arial" w:eastAsia="Arial" w:hAnsi="Arial"/>
                <w:sz w:val="18"/>
                <w:szCs w:val="18"/>
                <w:color w:val="auto"/>
              </w:rPr>
              <w:t>June 30, 2021 and December 31, 2020; 59,091,591 and</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tcPr>
          <w:p>
            <w:pPr>
              <w:ind w:left="400"/>
              <w:spacing w:after="0"/>
              <w:rPr>
                <w:sz w:val="20"/>
                <w:szCs w:val="20"/>
                <w:color w:val="auto"/>
              </w:rPr>
            </w:pPr>
            <w:r>
              <w:rPr>
                <w:rFonts w:ascii="Arial" w:cs="Arial" w:eastAsia="Arial" w:hAnsi="Arial"/>
                <w:sz w:val="18"/>
                <w:szCs w:val="18"/>
                <w:color w:val="auto"/>
              </w:rPr>
              <w:t>51,860,941 shares issued and outstanding at June 30, 2021 and</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720" w:type="dxa"/>
            <w:vAlign w:val="bottom"/>
          </w:tcPr>
          <w:p>
            <w:pPr>
              <w:ind w:left="400"/>
              <w:spacing w:after="0"/>
              <w:rPr>
                <w:sz w:val="20"/>
                <w:szCs w:val="20"/>
                <w:color w:val="auto"/>
              </w:rPr>
            </w:pPr>
            <w:r>
              <w:rPr>
                <w:rFonts w:ascii="Arial" w:cs="Arial" w:eastAsia="Arial" w:hAnsi="Arial"/>
                <w:sz w:val="18"/>
                <w:szCs w:val="18"/>
                <w:color w:val="auto"/>
              </w:rPr>
              <w:t>December 31, 2020, respectively</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288,592</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264,578</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(269,313 )</w:t>
            </w:r>
          </w:p>
        </w:tc>
        <w:tc>
          <w:tcPr>
            <w:tcW w:w="16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(255,867 )</w:t>
            </w:r>
          </w:p>
        </w:tc>
      </w:tr>
      <w:tr>
        <w:trPr>
          <w:trHeight w:val="250"/>
        </w:trPr>
        <w:tc>
          <w:tcPr>
            <w:tcW w:w="772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19,338</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720" w:type="dxa"/>
            <w:vAlign w:val="bottom"/>
          </w:tcPr>
          <w:p>
            <w:pPr>
              <w:ind w:left="9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28,592</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19,322</w:t>
            </w:r>
          </w:p>
        </w:tc>
        <w:tc>
          <w:tcPr>
            <w:tcW w:w="100" w:type="dxa"/>
            <w:vAlign w:val="bottom"/>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-4428490</wp:posOffset>
            </wp:positionV>
            <wp:extent cx="1885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-4428490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-3768090</wp:posOffset>
            </wp:positionV>
            <wp:extent cx="18859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-3768090</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-2430780</wp:posOffset>
            </wp:positionV>
            <wp:extent cx="18859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-2430780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-2096770</wp:posOffset>
            </wp:positionV>
            <wp:extent cx="18859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-2096770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wp:posOffset>
            </wp:positionV>
            <wp:extent cx="18859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3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and other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7,111</w:t>
            </w: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21"/>
                <w:szCs w:val="21"/>
                <w:color w:val="auto"/>
              </w:rPr>
            </w:pPr>
          </w:p>
        </w:tc>
      </w:tr>
      <w:tr>
        <w:trPr>
          <w:trHeight w:val="250"/>
        </w:trPr>
        <w:tc>
          <w:tcPr>
            <w:tcW w:w="5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w:t>
            </w:r>
          </w:p>
        </w:tc>
        <w:tc>
          <w:tcPr>
            <w:tcW w:w="4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(6,096 )</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(5,557 )</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(14,445 )</w:t>
            </w: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(8,393 )</w:t>
            </w: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(197 )</w:t>
            </w: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(272 )</w:t>
            </w:r>
          </w:p>
        </w:tc>
      </w:tr>
      <w:tr>
        <w:trPr>
          <w:trHeight w:val="20"/>
        </w:trPr>
        <w:tc>
          <w:tcPr>
            <w:tcW w:w="5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(6,095 )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(5,754 )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(13,446 )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(8,665 )</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Net loss per share of common stock —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(0.11 )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(0.13 )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(0.19 )</w:t>
            </w: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2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57,745,465</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45,214,500</w:t>
            </w:r>
          </w:p>
        </w:tc>
        <w:tc>
          <w:tcPr>
            <w:tcW w:w="4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57,394,017</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44,984,005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-1068070</wp:posOffset>
            </wp:positionV>
            <wp:extent cx="17145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-1068070</wp:posOffset>
            </wp:positionV>
            <wp:extent cx="24828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-1068070</wp:posOffset>
            </wp:positionV>
            <wp:extent cx="15430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-1068070</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-402590</wp:posOffset>
            </wp:positionV>
            <wp:extent cx="171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-385445</wp:posOffset>
            </wp:positionV>
            <wp:extent cx="171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-402590</wp:posOffset>
            </wp:positionV>
            <wp:extent cx="2482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-385445</wp:posOffset>
            </wp:positionV>
            <wp:extent cx="248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-402590</wp:posOffset>
            </wp:positionV>
            <wp:extent cx="1543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-385445</wp:posOffset>
            </wp:positionV>
            <wp:extent cx="1543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1714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171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248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248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1543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1543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9"/>
              </w:rPr>
              <w:t>Six Months Ended June 30, 2021</w:t>
            </w: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4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r>
      <w:tr>
        <w:trPr>
          <w:trHeight w:val="214"/>
        </w:trPr>
        <w:tc>
          <w:tcPr>
            <w:tcW w:w="460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r>
      <w:tr>
        <w:trPr>
          <w:trHeight w:val="190"/>
        </w:trPr>
        <w:tc>
          <w:tcPr>
            <w:tcW w:w="4600" w:type="dxa"/>
            <w:vAlign w:val="bottom"/>
          </w:tcPr>
          <w:p>
            <w:pPr>
              <w:spacing w:after="0"/>
              <w:rPr>
                <w:sz w:val="16"/>
                <w:szCs w:val="16"/>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9"/>
              </w:rPr>
              <w:t>Paid-In-Capital</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51,860,941</w:t>
            </w:r>
          </w:p>
        </w:tc>
        <w:tc>
          <w:tcPr>
            <w:tcW w:w="1060" w:type="dxa"/>
            <w:vAlign w:val="bottom"/>
            <w:gridSpan w:val="2"/>
            <w:shd w:val="clear" w:color="auto" w:fill="CFF0FC"/>
          </w:tcPr>
          <w:p>
            <w:pPr>
              <w:jc w:val="right"/>
              <w:ind w:right="626"/>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264,578</w:t>
            </w:r>
          </w:p>
        </w:tc>
        <w:tc>
          <w:tcPr>
            <w:tcW w:w="50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(255,867 )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8,763</w:t>
            </w:r>
          </w:p>
        </w:tc>
        <w:tc>
          <w:tcPr>
            <w:tcW w:w="100" w:type="dxa"/>
            <w:vAlign w:val="bottom"/>
            <w:shd w:val="clear" w:color="auto" w:fill="CFF0FC"/>
          </w:tcPr>
          <w:p>
            <w:pPr>
              <w:spacing w:after="0"/>
              <w:rPr>
                <w:sz w:val="19"/>
                <w:szCs w:val="19"/>
                <w:color w:val="auto"/>
              </w:rPr>
            </w:pPr>
          </w:p>
        </w:tc>
      </w:tr>
      <w:tr>
        <w:trPr>
          <w:trHeight w:val="206"/>
        </w:trPr>
        <w:tc>
          <w:tcPr>
            <w:tcW w:w="4600" w:type="dxa"/>
            <w:vAlign w:val="bottom"/>
          </w:tcPr>
          <w:p>
            <w:pPr>
              <w:ind w:left="20"/>
              <w:spacing w:after="0"/>
              <w:rPr>
                <w:sz w:val="20"/>
                <w:szCs w:val="20"/>
                <w:color w:val="auto"/>
              </w:rPr>
            </w:pPr>
            <w:r>
              <w:rPr>
                <w:rFonts w:ascii="Arial" w:cs="Arial" w:eastAsia="Arial" w:hAnsi="Arial"/>
                <w:sz w:val="16"/>
                <w:szCs w:val="16"/>
                <w:color w:val="auto"/>
              </w:rPr>
              <w:t>Issuance of common shares under a direct</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registered offering</w:t>
            </w:r>
          </w:p>
        </w:tc>
        <w:tc>
          <w:tcPr>
            <w:tcW w:w="1020" w:type="dxa"/>
            <w:vAlign w:val="bottom"/>
          </w:tcPr>
          <w:p>
            <w:pPr>
              <w:jc w:val="right"/>
              <w:spacing w:after="0"/>
              <w:rPr>
                <w:sz w:val="20"/>
                <w:szCs w:val="20"/>
                <w:color w:val="auto"/>
              </w:rPr>
            </w:pPr>
            <w:r>
              <w:rPr>
                <w:rFonts w:ascii="Arial" w:cs="Arial" w:eastAsia="Arial" w:hAnsi="Arial"/>
                <w:sz w:val="16"/>
                <w:szCs w:val="16"/>
                <w:color w:val="auto"/>
              </w:rPr>
              <w:t>4,209,050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11,074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11,078</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4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sales agreement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1,186,579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3,249</w:t>
            </w:r>
          </w:p>
        </w:tc>
        <w:tc>
          <w:tcPr>
            <w:tcW w:w="100" w:type="dxa"/>
            <w:vAlign w:val="bottom"/>
            <w:shd w:val="clear" w:color="auto" w:fill="CFF0FC"/>
          </w:tcPr>
          <w:p>
            <w:pPr>
              <w:spacing w:after="0"/>
              <w:rPr>
                <w:sz w:val="19"/>
                <w:szCs w:val="19"/>
                <w:color w:val="auto"/>
              </w:rPr>
            </w:pPr>
          </w:p>
        </w:tc>
      </w:tr>
      <w:tr>
        <w:trPr>
          <w:trHeight w:val="220"/>
        </w:trPr>
        <w:tc>
          <w:tcPr>
            <w:tcW w:w="46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62,493</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r>
      <w:tr>
        <w:trPr>
          <w:trHeight w:val="239"/>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and settlement of restricted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227,754</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4600" w:type="dxa"/>
            <w:vAlign w:val="bottom"/>
          </w:tcPr>
          <w:p>
            <w:pPr>
              <w:ind w:left="20"/>
              <w:spacing w:after="0"/>
              <w:rPr>
                <w:sz w:val="20"/>
                <w:szCs w:val="20"/>
                <w:color w:val="auto"/>
              </w:rPr>
            </w:pPr>
            <w:r>
              <w:rPr>
                <w:rFonts w:ascii="Arial" w:cs="Arial" w:eastAsia="Arial" w:hAnsi="Arial"/>
                <w:sz w:val="16"/>
                <w:szCs w:val="16"/>
                <w:color w:val="auto"/>
              </w:rPr>
              <w:t>Issuance of common shares under employee stock</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1020" w:type="dxa"/>
            <w:vAlign w:val="bottom"/>
          </w:tcPr>
          <w:p>
            <w:pPr>
              <w:jc w:val="right"/>
              <w:spacing w:after="0"/>
              <w:rPr>
                <w:sz w:val="20"/>
                <w:szCs w:val="20"/>
                <w:color w:val="auto"/>
              </w:rPr>
            </w:pPr>
            <w:r>
              <w:rPr>
                <w:rFonts w:ascii="Arial" w:cs="Arial" w:eastAsia="Arial" w:hAnsi="Arial"/>
                <w:sz w:val="16"/>
                <w:szCs w:val="16"/>
                <w:color w:val="auto"/>
              </w:rPr>
              <w:t>31,908</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r>
      <w:tr>
        <w:trPr>
          <w:trHeight w:val="239"/>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FF0FC"/>
          </w:tcPr>
          <w:p>
            <w:pPr>
              <w:spacing w:after="0"/>
              <w:rPr>
                <w:sz w:val="20"/>
                <w:szCs w:val="20"/>
                <w:color w:val="auto"/>
              </w:rPr>
            </w:pPr>
          </w:p>
        </w:tc>
      </w:tr>
      <w:tr>
        <w:trPr>
          <w:trHeight w:val="220"/>
        </w:trPr>
        <w:tc>
          <w:tcPr>
            <w:tcW w:w="46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(7,351 )</w:t>
            </w: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(7,351 )</w:t>
            </w:r>
          </w:p>
        </w:tc>
      </w:tr>
      <w:tr>
        <w:trPr>
          <w:trHeight w:val="23"/>
        </w:trPr>
        <w:tc>
          <w:tcPr>
            <w:tcW w:w="46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March 31, 2021</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57,578,725</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280,145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(263,218 )</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16,985</w:t>
            </w:r>
          </w:p>
        </w:tc>
        <w:tc>
          <w:tcPr>
            <w:tcW w:w="100" w:type="dxa"/>
            <w:vAlign w:val="bottom"/>
            <w:shd w:val="clear" w:color="auto" w:fill="CFF0FC"/>
          </w:tcPr>
          <w:p>
            <w:pPr>
              <w:spacing w:after="0"/>
              <w:rPr>
                <w:sz w:val="19"/>
                <w:szCs w:val="19"/>
                <w:color w:val="auto"/>
              </w:rPr>
            </w:pPr>
          </w:p>
        </w:tc>
      </w:tr>
      <w:tr>
        <w:trPr>
          <w:trHeight w:val="206"/>
        </w:trPr>
        <w:tc>
          <w:tcPr>
            <w:tcW w:w="4600" w:type="dxa"/>
            <w:vAlign w:val="bottom"/>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sales agreement</w:t>
            </w:r>
          </w:p>
        </w:tc>
        <w:tc>
          <w:tcPr>
            <w:tcW w:w="1020" w:type="dxa"/>
            <w:vAlign w:val="bottom"/>
          </w:tcPr>
          <w:p>
            <w:pPr>
              <w:jc w:val="right"/>
              <w:spacing w:after="0"/>
              <w:rPr>
                <w:sz w:val="20"/>
                <w:szCs w:val="20"/>
                <w:color w:val="auto"/>
              </w:rPr>
            </w:pPr>
            <w:r>
              <w:rPr>
                <w:rFonts w:ascii="Arial" w:cs="Arial" w:eastAsia="Arial" w:hAnsi="Arial"/>
                <w:sz w:val="16"/>
                <w:szCs w:val="16"/>
                <w:color w:val="auto"/>
              </w:rPr>
              <w:t>1,397,436</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7,084</w:t>
            </w:r>
          </w:p>
        </w:tc>
        <w:tc>
          <w:tcPr>
            <w:tcW w:w="100" w:type="dxa"/>
            <w:vAlign w:val="bottom"/>
          </w:tcPr>
          <w:p>
            <w:pPr>
              <w:spacing w:after="0"/>
              <w:rPr>
                <w:sz w:val="18"/>
                <w:szCs w:val="18"/>
                <w:color w:val="auto"/>
              </w:rPr>
            </w:pPr>
          </w:p>
        </w:tc>
      </w:tr>
      <w:tr>
        <w:trPr>
          <w:trHeight w:val="239"/>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21,673</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20"/>
                <w:szCs w:val="20"/>
                <w:color w:val="auto"/>
              </w:rPr>
            </w:pPr>
          </w:p>
        </w:tc>
      </w:tr>
      <w:tr>
        <w:trPr>
          <w:trHeight w:val="220"/>
        </w:trPr>
        <w:tc>
          <w:tcPr>
            <w:tcW w:w="4600" w:type="dxa"/>
            <w:vAlign w:val="bottom"/>
          </w:tcPr>
          <w:p>
            <w:pPr>
              <w:ind w:left="20"/>
              <w:spacing w:after="0"/>
              <w:rPr>
                <w:sz w:val="20"/>
                <w:szCs w:val="20"/>
                <w:color w:val="auto"/>
              </w:rPr>
            </w:pPr>
            <w:r>
              <w:rPr>
                <w:rFonts w:ascii="Arial" w:cs="Arial" w:eastAsia="Arial" w:hAnsi="Arial"/>
                <w:sz w:val="16"/>
                <w:szCs w:val="16"/>
                <w:color w:val="auto"/>
              </w:rPr>
              <w:t>Vesting and settlement of restricted stock units</w:t>
            </w:r>
          </w:p>
        </w:tc>
        <w:tc>
          <w:tcPr>
            <w:tcW w:w="1020" w:type="dxa"/>
            <w:vAlign w:val="bottom"/>
          </w:tcPr>
          <w:p>
            <w:pPr>
              <w:jc w:val="right"/>
              <w:spacing w:after="0"/>
              <w:rPr>
                <w:sz w:val="20"/>
                <w:szCs w:val="20"/>
                <w:color w:val="auto"/>
              </w:rPr>
            </w:pPr>
            <w:r>
              <w:rPr>
                <w:rFonts w:ascii="Arial" w:cs="Arial" w:eastAsia="Arial" w:hAnsi="Arial"/>
                <w:sz w:val="16"/>
                <w:szCs w:val="16"/>
                <w:color w:val="auto"/>
              </w:rPr>
              <w:t>93,757</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w:t>
            </w:r>
          </w:p>
        </w:tc>
        <w:tc>
          <w:tcPr>
            <w:tcW w:w="100" w:type="dxa"/>
            <w:vAlign w:val="bottom"/>
            <w:shd w:val="clear" w:color="auto" w:fill="CFF0FC"/>
          </w:tcPr>
          <w:p>
            <w:pPr>
              <w:spacing w:after="0"/>
              <w:rPr>
                <w:sz w:val="20"/>
                <w:szCs w:val="20"/>
                <w:color w:val="auto"/>
              </w:rPr>
            </w:pPr>
          </w:p>
        </w:tc>
      </w:tr>
      <w:tr>
        <w:trPr>
          <w:trHeight w:val="220"/>
        </w:trPr>
        <w:tc>
          <w:tcPr>
            <w:tcW w:w="46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(6,095 )</w:t>
            </w: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(6,095 )</w:t>
            </w:r>
          </w:p>
        </w:tc>
      </w:tr>
      <w:tr>
        <w:trPr>
          <w:trHeight w:val="23"/>
        </w:trPr>
        <w:tc>
          <w:tcPr>
            <w:tcW w:w="46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2021</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59,091,591</w:t>
            </w: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288,592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(269,313 )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19,338</w:t>
            </w:r>
          </w:p>
        </w:tc>
        <w:tc>
          <w:tcPr>
            <w:tcW w:w="100" w:type="dxa"/>
            <w:vAlign w:val="bottom"/>
            <w:shd w:val="clear" w:color="auto" w:fill="CFF0FC"/>
          </w:tcPr>
          <w:p>
            <w:pPr>
              <w:spacing w:after="0"/>
              <w:rPr>
                <w:sz w:val="21"/>
                <w:szCs w:val="2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588"/>
        </w:trPr>
        <w:tc>
          <w:tcPr>
            <w:tcW w:w="46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9"/>
              </w:rPr>
              <w:t>Six Months Ended June 30, 2020</w:t>
            </w: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4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r>
      <w:tr>
        <w:trPr>
          <w:trHeight w:val="215"/>
        </w:trPr>
        <w:tc>
          <w:tcPr>
            <w:tcW w:w="460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r>
      <w:tr>
        <w:trPr>
          <w:trHeight w:val="190"/>
        </w:trPr>
        <w:tc>
          <w:tcPr>
            <w:tcW w:w="4600" w:type="dxa"/>
            <w:vAlign w:val="bottom"/>
          </w:tcPr>
          <w:p>
            <w:pPr>
              <w:spacing w:after="0"/>
              <w:rPr>
                <w:sz w:val="16"/>
                <w:szCs w:val="16"/>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9"/>
              </w:rPr>
              <w:t>Paid-In-Capital</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r>
      <w:tr>
        <w:trPr>
          <w:trHeight w:val="220"/>
        </w:trPr>
        <w:tc>
          <w:tcPr>
            <w:tcW w:w="460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020" w:type="dxa"/>
            <w:vAlign w:val="bottom"/>
          </w:tcPr>
          <w:p>
            <w:pPr>
              <w:jc w:val="right"/>
              <w:spacing w:after="0"/>
              <w:rPr>
                <w:sz w:val="20"/>
                <w:szCs w:val="20"/>
                <w:color w:val="auto"/>
              </w:rPr>
            </w:pPr>
            <w:r>
              <w:rPr>
                <w:rFonts w:ascii="Arial" w:cs="Arial" w:eastAsia="Arial" w:hAnsi="Arial"/>
                <w:sz w:val="16"/>
                <w:szCs w:val="16"/>
                <w:color w:val="auto"/>
              </w:rPr>
              <w:t>44,413,372</w:t>
            </w:r>
          </w:p>
        </w:tc>
        <w:tc>
          <w:tcPr>
            <w:tcW w:w="1060" w:type="dxa"/>
            <w:vAlign w:val="bottom"/>
            <w:gridSpan w:val="2"/>
          </w:tcPr>
          <w:p>
            <w:pPr>
              <w:jc w:val="right"/>
              <w:ind w:right="626"/>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44</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248,770</w:t>
            </w:r>
          </w:p>
        </w:tc>
        <w:tc>
          <w:tcPr>
            <w:tcW w:w="50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(237,657 )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11,157</w:t>
            </w:r>
          </w:p>
        </w:tc>
        <w:tc>
          <w:tcPr>
            <w:tcW w:w="100" w:type="dxa"/>
            <w:vAlign w:val="bottom"/>
          </w:tcPr>
          <w:p>
            <w:pPr>
              <w:spacing w:after="0"/>
              <w:rPr>
                <w:sz w:val="19"/>
                <w:szCs w:val="19"/>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4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sales agreement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455,186</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FF0FC"/>
          </w:tcPr>
          <w:p>
            <w:pPr>
              <w:spacing w:after="0"/>
              <w:rPr>
                <w:sz w:val="19"/>
                <w:szCs w:val="19"/>
                <w:color w:val="auto"/>
              </w:rPr>
            </w:pPr>
          </w:p>
        </w:tc>
      </w:tr>
      <w:tr>
        <w:trPr>
          <w:trHeight w:val="220"/>
        </w:trPr>
        <w:tc>
          <w:tcPr>
            <w:tcW w:w="460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(2,911 )</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(2,911 )</w:t>
            </w:r>
          </w:p>
        </w:tc>
      </w:tr>
      <w:tr>
        <w:trPr>
          <w:trHeight w:val="23"/>
        </w:trPr>
        <w:tc>
          <w:tcPr>
            <w:tcW w:w="460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4600" w:type="dxa"/>
            <w:vAlign w:val="bottom"/>
          </w:tcPr>
          <w:p>
            <w:pPr>
              <w:ind w:left="20"/>
              <w:spacing w:after="0"/>
              <w:rPr>
                <w:sz w:val="20"/>
                <w:szCs w:val="20"/>
                <w:color w:val="auto"/>
              </w:rPr>
            </w:pPr>
            <w:r>
              <w:rPr>
                <w:rFonts w:ascii="Arial" w:cs="Arial" w:eastAsia="Arial" w:hAnsi="Arial"/>
                <w:sz w:val="16"/>
                <w:szCs w:val="16"/>
                <w:color w:val="auto"/>
              </w:rPr>
              <w:t>Balance at March 31, 2020</w:t>
            </w:r>
          </w:p>
        </w:tc>
        <w:tc>
          <w:tcPr>
            <w:tcW w:w="1020" w:type="dxa"/>
            <w:vAlign w:val="bottom"/>
          </w:tcPr>
          <w:p>
            <w:pPr>
              <w:jc w:val="right"/>
              <w:spacing w:after="0"/>
              <w:rPr>
                <w:sz w:val="20"/>
                <w:szCs w:val="20"/>
                <w:color w:val="auto"/>
              </w:rPr>
            </w:pPr>
            <w:r>
              <w:rPr>
                <w:rFonts w:ascii="Arial" w:cs="Arial" w:eastAsia="Arial" w:hAnsi="Arial"/>
                <w:sz w:val="16"/>
                <w:szCs w:val="16"/>
                <w:color w:val="auto"/>
              </w:rPr>
              <w:t>44,868,558</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250,963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(240,568 )</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10,440</w:t>
            </w:r>
          </w:p>
        </w:tc>
        <w:tc>
          <w:tcPr>
            <w:tcW w:w="100" w:type="dxa"/>
            <w:vAlign w:val="bottom"/>
          </w:tcPr>
          <w:p>
            <w:pPr>
              <w:spacing w:after="0"/>
              <w:rPr>
                <w:sz w:val="19"/>
                <w:szCs w:val="19"/>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4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sales agreement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800,170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1,607</w:t>
            </w:r>
          </w:p>
        </w:tc>
        <w:tc>
          <w:tcPr>
            <w:tcW w:w="100" w:type="dxa"/>
            <w:vAlign w:val="bottom"/>
            <w:shd w:val="clear" w:color="auto" w:fill="CFF0FC"/>
          </w:tcPr>
          <w:p>
            <w:pPr>
              <w:spacing w:after="0"/>
              <w:rPr>
                <w:sz w:val="19"/>
                <w:szCs w:val="19"/>
                <w:color w:val="auto"/>
              </w:rPr>
            </w:pPr>
          </w:p>
        </w:tc>
      </w:tr>
      <w:tr>
        <w:trPr>
          <w:trHeight w:val="220"/>
        </w:trPr>
        <w:tc>
          <w:tcPr>
            <w:tcW w:w="46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58,333</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9"/>
                <w:szCs w:val="19"/>
                <w:color w:val="auto"/>
              </w:rPr>
            </w:pPr>
          </w:p>
        </w:tc>
      </w:tr>
      <w:tr>
        <w:trPr>
          <w:trHeight w:val="239"/>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and settlement of restricted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512,550</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4600" w:type="dxa"/>
            <w:vAlign w:val="bottom"/>
          </w:tcPr>
          <w:p>
            <w:pPr>
              <w:ind w:left="20"/>
              <w:spacing w:after="0"/>
              <w:rPr>
                <w:sz w:val="20"/>
                <w:szCs w:val="20"/>
                <w:color w:val="auto"/>
              </w:rPr>
            </w:pPr>
            <w:r>
              <w:rPr>
                <w:rFonts w:ascii="Arial" w:cs="Arial" w:eastAsia="Arial" w:hAnsi="Arial"/>
                <w:sz w:val="16"/>
                <w:szCs w:val="16"/>
                <w:color w:val="auto"/>
              </w:rPr>
              <w:t>Issuance of common shares under employee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stock purchase plan</w:t>
            </w:r>
          </w:p>
        </w:tc>
        <w:tc>
          <w:tcPr>
            <w:tcW w:w="1020" w:type="dxa"/>
            <w:vAlign w:val="bottom"/>
          </w:tcPr>
          <w:p>
            <w:pPr>
              <w:jc w:val="right"/>
              <w:spacing w:after="0"/>
              <w:rPr>
                <w:sz w:val="20"/>
                <w:szCs w:val="20"/>
                <w:color w:val="auto"/>
              </w:rPr>
            </w:pPr>
            <w:r>
              <w:rPr>
                <w:rFonts w:ascii="Arial" w:cs="Arial" w:eastAsia="Arial" w:hAnsi="Arial"/>
                <w:sz w:val="16"/>
                <w:szCs w:val="16"/>
                <w:color w:val="auto"/>
              </w:rPr>
              <w:t>35,359</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r>
      <w:tr>
        <w:trPr>
          <w:trHeight w:val="239"/>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FF0FC"/>
          </w:tcPr>
          <w:p>
            <w:pPr>
              <w:spacing w:after="0"/>
              <w:rPr>
                <w:sz w:val="20"/>
                <w:szCs w:val="20"/>
                <w:color w:val="auto"/>
              </w:rPr>
            </w:pPr>
          </w:p>
        </w:tc>
      </w:tr>
      <w:tr>
        <w:trPr>
          <w:trHeight w:val="220"/>
        </w:trPr>
        <w:tc>
          <w:tcPr>
            <w:tcW w:w="46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(5,754 )</w:t>
            </w: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(5,754 )</w:t>
            </w:r>
          </w:p>
        </w:tc>
      </w:tr>
      <w:tr>
        <w:trPr>
          <w:trHeight w:val="23"/>
        </w:trPr>
        <w:tc>
          <w:tcPr>
            <w:tcW w:w="46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2020</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46,274,970</w:t>
            </w: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253,563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(246,322 )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7,287</w:t>
            </w:r>
          </w:p>
        </w:tc>
        <w:tc>
          <w:tcPr>
            <w:tcW w:w="100" w:type="dxa"/>
            <w:vAlign w:val="bottom"/>
            <w:shd w:val="clear" w:color="auto" w:fill="CFF0FC"/>
          </w:tcPr>
          <w:p>
            <w:pPr>
              <w:spacing w:after="0"/>
              <w:rPr>
                <w:sz w:val="21"/>
                <w:szCs w:val="2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-2999740</wp:posOffset>
            </wp:positionV>
            <wp:extent cx="179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-2982595</wp:posOffset>
            </wp:positionV>
            <wp:extent cx="1797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-2999740</wp:posOffset>
            </wp:positionV>
            <wp:extent cx="1625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-2982595</wp:posOffset>
            </wp:positionV>
            <wp:extent cx="1625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-2999740</wp:posOffset>
            </wp:positionV>
            <wp:extent cx="1631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-2982595</wp:posOffset>
            </wp:positionV>
            <wp:extent cx="163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-2999740</wp:posOffset>
            </wp:positionV>
            <wp:extent cx="1625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-2982595</wp:posOffset>
            </wp:positionV>
            <wp:extent cx="1625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-1462405</wp:posOffset>
            </wp:positionV>
            <wp:extent cx="17970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-1462405</wp:posOffset>
            </wp:positionV>
            <wp:extent cx="1625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-1462405</wp:posOffset>
            </wp:positionV>
            <wp:extent cx="16319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-1462405</wp:posOffset>
            </wp:positionV>
            <wp:extent cx="16256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-1462405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179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-8255</wp:posOffset>
            </wp:positionV>
            <wp:extent cx="1797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1625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1625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1631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1631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625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1625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17145</wp:posOffset>
            </wp:positionV>
            <wp:extent cx="2160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(13,446 )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(8,665 )</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Gain on extinguishment of debt</w:t>
            </w:r>
          </w:p>
        </w:tc>
        <w:tc>
          <w:tcPr>
            <w:tcW w:w="9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(998 )</w:t>
            </w:r>
          </w:p>
        </w:tc>
        <w:tc>
          <w:tcPr>
            <w:tcW w:w="3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Non-cash interest expense</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Accretion of debt discount</w:t>
            </w:r>
          </w:p>
        </w:tc>
        <w:tc>
          <w:tcPr>
            <w:tcW w:w="98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(408 )</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assets and liabilities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(75 )</w:t>
            </w: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50"/>
        </w:trPr>
        <w:tc>
          <w:tcPr>
            <w:tcW w:w="7720" w:type="dxa"/>
            <w:vAlign w:val="bottom"/>
          </w:tcPr>
          <w:p>
            <w:pPr>
              <w:ind w:left="520"/>
              <w:spacing w:after="0"/>
              <w:rPr>
                <w:sz w:val="20"/>
                <w:szCs w:val="20"/>
                <w:color w:val="auto"/>
              </w:rPr>
            </w:pPr>
            <w:r>
              <w:rPr>
                <w:rFonts w:ascii="Arial" w:cs="Arial" w:eastAsia="Arial" w:hAnsi="Arial"/>
                <w:sz w:val="18"/>
                <w:szCs w:val="18"/>
                <w:color w:val="auto"/>
              </w:rPr>
              <w:t>Accounts payable and accrued liabilities</w:t>
            </w:r>
          </w:p>
        </w:tc>
        <w:tc>
          <w:tcPr>
            <w:tcW w:w="9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(156 )</w:t>
            </w: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(878 )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(12,509 )</w:t>
            </w: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(6,023 )</w:t>
            </w: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of property and equipment</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registered direct offering, net of issuance costs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11,078</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at-the-market sales agreement, net of issuance costs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10,333</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shares issued under employee stock purchase plan</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98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made on long-term debt</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(5,340 )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21,536</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(1,446 )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9,027</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(7,524 )</w:t>
            </w: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17,647</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98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26,674</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Forgiveness of PPP Loan and accrued interest</w:t>
            </w:r>
          </w:p>
        </w:tc>
        <w:tc>
          <w:tcPr>
            <w:tcW w:w="98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7720" w:type="dxa"/>
            <w:vAlign w:val="bottom"/>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980" w:type="dxa"/>
            <w:vAlign w:val="bottom"/>
          </w:tcPr>
          <w:p>
            <w:pPr>
              <w:spacing w:after="0"/>
              <w:rPr>
                <w:sz w:val="24"/>
                <w:szCs w:val="24"/>
                <w:color w:val="auto"/>
              </w:rPr>
            </w:pPr>
          </w:p>
        </w:tc>
        <w:tc>
          <w:tcPr>
            <w:tcW w:w="1260" w:type="dxa"/>
            <w:vAlign w:val="bottom"/>
            <w:gridSpan w:val="3"/>
            <w:vMerge w:val="restart"/>
          </w:tcPr>
          <w:p>
            <w:pPr>
              <w:jc w:val="right"/>
              <w:ind w:right="150"/>
              <w:spacing w:after="0"/>
              <w:rPr>
                <w:sz w:val="20"/>
                <w:szCs w:val="20"/>
                <w:color w:val="auto"/>
              </w:rPr>
            </w:pPr>
            <w:r>
              <w:rPr>
                <w:rFonts w:ascii="Arial" w:cs="Arial" w:eastAsia="Arial" w:hAnsi="Arial"/>
                <w:sz w:val="16"/>
                <w:szCs w:val="16"/>
                <w:b w:val="1"/>
                <w:bCs w:val="1"/>
                <w:color w:val="auto"/>
              </w:rPr>
              <w:t>June 30,</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vMerge w:val="continue"/>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7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26,414</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Restricted cash (including $100 for each period recorded in other current assets)</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26,674</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-3442335</wp:posOffset>
            </wp:positionV>
            <wp:extent cx="18859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-3442335</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-2131060</wp:posOffset>
            </wp:positionV>
            <wp:extent cx="18859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-2131060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-1456690</wp:posOffset>
            </wp:positionV>
            <wp:extent cx="1885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-1439545</wp:posOffset>
            </wp:positionV>
            <wp:extent cx="1885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885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885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60" w:firstLine="441"/>
        <w:spacing w:after="0" w:line="271" w:lineRule="auto"/>
        <w:rPr>
          <w:sz w:val="20"/>
          <w:szCs w:val="20"/>
          <w:color w:val="auto"/>
        </w:rPr>
      </w:pPr>
      <w:r>
        <w:rPr>
          <w:rFonts w:ascii="Arial" w:cs="Arial" w:eastAsia="Arial" w:hAnsi="Arial"/>
          <w:sz w:val="18"/>
          <w:szCs w:val="18"/>
          <w:color w:val="auto"/>
        </w:rPr>
        <w:t>Clearside Biomedical, Inc. (the “Company”) is a biopharmaceutical company dedicated to developing and delivering treatments that restore and preserve vision for people with serious back of the eye diseases. The Company’s proprietary SCS Microinjector targets the suprachoroidal space and offers unique access to the macula, retina and choroid where sight-threatening disease often occurs. This suprachoroidal space injection is an inherently flexible, in-office, non-surgical procedure, intended to provide targeted delivery to the site of disease and to work with both established and new formulations of medications, as well as future therapeutic innovations. Incorporated in the State of Delaware on May 26, 2011, the Company has its corporate headquarters in Alpharetta, Georgia.</w:t>
      </w:r>
    </w:p>
    <w:p>
      <w:pPr>
        <w:spacing w:after="0" w:line="83" w:lineRule="exact"/>
        <w:rPr>
          <w:sz w:val="20"/>
          <w:szCs w:val="20"/>
          <w:color w:val="auto"/>
        </w:rPr>
      </w:pPr>
    </w:p>
    <w:p>
      <w:pPr>
        <w:ind w:right="20" w:firstLine="441"/>
        <w:spacing w:after="0" w:line="270" w:lineRule="auto"/>
        <w:rPr>
          <w:sz w:val="20"/>
          <w:szCs w:val="20"/>
          <w:color w:val="auto"/>
        </w:rPr>
      </w:pPr>
      <w:r>
        <w:rPr>
          <w:rFonts w:ascii="Arial" w:cs="Arial" w:eastAsia="Arial" w:hAnsi="Arial"/>
          <w:sz w:val="18"/>
          <w:szCs w:val="18"/>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either on its own or with a third party.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31"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The Company had cash and cash equivalents of $26.4 million as of June 30, 2021. On January 6, 2021, the Company entered into a securities purchase agreement with certain institutional purchasers that purchased 4.2 million shares of its common stock in a registered direct offering at a price of $2.851 per share. The Company raised net proceeds of $11.1 million after deducting offering expenses. During the six months ended June 30, 2021, the Company sold 2.6 million shares of its common stock for net proceeds of $10.3 million under its at-the-market agreement with Cowen and Company, LLC. Subsequent to June 30, 2021, the Company sold an additional 0.3 million shares of its common stock for net proceeds of $1.9 million under its at-the-market agreement with Cowen and Company, LLC.</w:t>
      </w:r>
    </w:p>
    <w:p>
      <w:pPr>
        <w:spacing w:after="0" w:line="83" w:lineRule="exact"/>
        <w:rPr>
          <w:sz w:val="20"/>
          <w:szCs w:val="20"/>
          <w:color w:val="auto"/>
        </w:rPr>
      </w:pPr>
    </w:p>
    <w:p>
      <w:pPr>
        <w:ind w:right="160" w:firstLine="486"/>
        <w:spacing w:after="0" w:line="290" w:lineRule="auto"/>
        <w:rPr>
          <w:sz w:val="20"/>
          <w:szCs w:val="20"/>
          <w:color w:val="auto"/>
        </w:rPr>
      </w:pPr>
      <w:r>
        <w:rPr>
          <w:rFonts w:ascii="Arial" w:cs="Arial" w:eastAsia="Arial" w:hAnsi="Arial"/>
          <w:sz w:val="17"/>
          <w:szCs w:val="17"/>
          <w:color w:val="auto"/>
        </w:rPr>
        <w:t>The Company has funded its operations primarily through the sale of common stock and convertible preferred stock and the issuance of long-term debt. The Company will continue to need to obtain additional financing to fund future operations, including completing the development, partnering and potential commercialization of its primary product candidates. The Company will need to obtain financing to conduct additional trials for the regulatory approval of its product candidates if requested by regulatory bodies, and completing the development of any product candidates that might be acquired. If such products were to receive regulatory approval, the Company would need to obtain financing to prepare for the potential commercialization of its product candidates, if the Company decides to commercialize the products on its own.</w:t>
      </w:r>
    </w:p>
    <w:p>
      <w:pPr>
        <w:spacing w:after="0" w:line="68" w:lineRule="exact"/>
        <w:rPr>
          <w:sz w:val="20"/>
          <w:szCs w:val="20"/>
          <w:color w:val="auto"/>
        </w:rPr>
      </w:pPr>
    </w:p>
    <w:p>
      <w:pPr>
        <w:ind w:right="140" w:firstLine="441"/>
        <w:spacing w:after="0" w:line="319" w:lineRule="auto"/>
        <w:rPr>
          <w:sz w:val="20"/>
          <w:szCs w:val="20"/>
          <w:color w:val="auto"/>
        </w:rPr>
      </w:pPr>
      <w:r>
        <w:rPr>
          <w:rFonts w:ascii="Arial" w:cs="Arial" w:eastAsia="Arial" w:hAnsi="Arial"/>
          <w:sz w:val="16"/>
          <w:szCs w:val="16"/>
          <w:color w:val="auto"/>
        </w:rPr>
        <w:t>The Company has suffered recurring losses and negative cash flows from operations since inception and anticipates incurring additional losses until such time, if ever, that it can obtain regulatory approval to sell, and then generate significant revenue from commercializing its lead product candidate, XIPERE™ (triamcinolone acetonide suprachoroidal injectable suspension) with its licensees. In the absence of product or other revenues, the amount, timing, nature or source of which cannot be predicted, the Company’s losses will continue as it conducts its research and development activities.</w:t>
      </w:r>
    </w:p>
    <w:p>
      <w:pPr>
        <w:spacing w:after="0" w:line="48" w:lineRule="exact"/>
        <w:rPr>
          <w:sz w:val="20"/>
          <w:szCs w:val="20"/>
          <w:color w:val="auto"/>
        </w:rPr>
      </w:pPr>
    </w:p>
    <w:p>
      <w:pPr>
        <w:ind w:right="40" w:firstLine="441"/>
        <w:spacing w:after="0" w:line="287" w:lineRule="auto"/>
        <w:rPr>
          <w:sz w:val="20"/>
          <w:szCs w:val="20"/>
          <w:color w:val="auto"/>
        </w:rPr>
      </w:pPr>
      <w:r>
        <w:rPr>
          <w:rFonts w:ascii="Arial" w:cs="Arial" w:eastAsia="Arial" w:hAnsi="Arial"/>
          <w:sz w:val="17"/>
          <w:szCs w:val="17"/>
          <w:color w:val="auto"/>
        </w:rPr>
        <w:t>These conditions raise substantial doubt about the Company’s ability to continue as a going concern within one year after the date the financial statements are issued. Based on its current plans and forecasted expenses, the Company expects that its cash and cash equivalents as of the filing date, August 10, 2021, will enable it to fund its planned operating expenses and capital expenditure requirements into the second quarter of 2022. This estimate does not give effect to additional development milestone payments the Company might receive under the agreements with Bausch, REGENXBIO or Arctic Vision, or in connection with any other potential license or collaboration agreement for XIPERE or any future product candidates.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74"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ind w:firstLine="441"/>
        <w:spacing w:after="0" w:line="293"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31" w:lineRule="exact"/>
        <w:rPr>
          <w:sz w:val="20"/>
          <w:szCs w:val="20"/>
          <w:color w:val="auto"/>
        </w:rPr>
      </w:pPr>
    </w:p>
    <w:p>
      <w:pPr>
        <w:ind w:firstLine="441"/>
        <w:spacing w:after="0" w:line="306" w:lineRule="auto"/>
        <w:rPr>
          <w:sz w:val="20"/>
          <w:szCs w:val="20"/>
          <w:color w:val="auto"/>
        </w:rPr>
      </w:pPr>
      <w:r>
        <w:rPr>
          <w:rFonts w:ascii="Arial" w:cs="Arial" w:eastAsia="Arial" w:hAnsi="Arial"/>
          <w:sz w:val="16"/>
          <w:szCs w:val="16"/>
          <w:color w:val="auto"/>
        </w:rPr>
        <w:t>The accompanying balance sheet as of June 30 2021, statements of operations for the three and six months ended June 30, 2021 and 2020, statements of stockholders’ equity for the three and six months ended June 30, 2021 and 2020 and statements of cash flows for the six months ended June 30, 2021 and 2020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June 30, 2021, its results of its operations for the three and six months ended June 30, 2021 and 2020, its changes in stockholders’ equity for the three and six months ended June 30, 2021 and 2020 and its cash flows for the six months ended June 30, 2021 and 2020. The financial data and other information disclosed in these notes related to the three and six months ended June 30, 2021 and 2020 are unaudited. The results for the six months ended June 30, 2021 are not indicative of results to be expected for the year ending December 31, 2021, any other interim periods or any future year or period. These unaudited financial statements should be read in conjunction with the audited financial statements and related footnotes, which are included in the Company’s Annual Report on Form 10-K for the year ended December 31,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20" w:firstLine="441"/>
        <w:spacing w:after="0" w:line="27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COVID-19</w:t>
      </w:r>
    </w:p>
    <w:p>
      <w:pPr>
        <w:spacing w:after="0" w:line="131" w:lineRule="exact"/>
        <w:rPr>
          <w:sz w:val="20"/>
          <w:szCs w:val="20"/>
          <w:color w:val="auto"/>
        </w:rPr>
      </w:pPr>
    </w:p>
    <w:p>
      <w:pPr>
        <w:ind w:right="60" w:firstLine="441"/>
        <w:spacing w:after="0" w:line="299" w:lineRule="auto"/>
        <w:rPr>
          <w:sz w:val="20"/>
          <w:szCs w:val="20"/>
          <w:color w:val="auto"/>
        </w:rPr>
      </w:pPr>
      <w:r>
        <w:rPr>
          <w:rFonts w:ascii="Arial" w:cs="Arial" w:eastAsia="Arial" w:hAnsi="Arial"/>
          <w:sz w:val="16"/>
          <w:szCs w:val="16"/>
          <w:color w:val="auto"/>
        </w:rPr>
        <w:t>The COVID-19 pandemic has created global volatility, economic uncertainty and general market disruption. Estimates and assumptions about future events and their effects cannot be determined with certainty and therefore require the exercise of judgment. As of the date of issuance of these</w:t>
      </w:r>
    </w:p>
    <w:p>
      <w:pPr>
        <w:spacing w:after="0" w:line="1"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color w:val="auto"/>
        </w:rPr>
        <w:t>financial statements, the Company is not aware of any specific event or circumstance that would require us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20" w:firstLine="441"/>
        <w:spacing w:after="0" w:line="309" w:lineRule="auto"/>
        <w:rPr>
          <w:sz w:val="20"/>
          <w:szCs w:val="20"/>
          <w:color w:val="auto"/>
        </w:rPr>
      </w:pPr>
      <w:r>
        <w:rPr>
          <w:rFonts w:ascii="Arial" w:cs="Arial" w:eastAsia="Arial" w:hAnsi="Arial"/>
          <w:sz w:val="16"/>
          <w:szCs w:val="16"/>
          <w:color w:val="212529"/>
        </w:rPr>
        <w:t xml:space="preserve">The Company recognizes revenue from its contracts with customers under Financial Accounting Standards Board (“FASB”) Accounting Standards Codification (“ASC”) Topic 606, </w:t>
      </w:r>
      <w:r>
        <w:rPr>
          <w:rFonts w:ascii="Arial" w:cs="Arial" w:eastAsia="Arial" w:hAnsi="Arial"/>
          <w:sz w:val="16"/>
          <w:szCs w:val="16"/>
          <w:i w:val="1"/>
          <w:iCs w:val="1"/>
          <w:color w:val="212529"/>
        </w:rPr>
        <w:t>Revenue from Contracts with Customers</w:t>
      </w:r>
      <w:r>
        <w:rPr>
          <w:rFonts w:ascii="Arial" w:cs="Arial" w:eastAsia="Arial" w:hAnsi="Arial"/>
          <w:sz w:val="16"/>
          <w:szCs w:val="16"/>
          <w:color w:val="212529"/>
        </w:rPr>
        <w:t xml:space="preserve"> (“ASC Topic 606”).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56" w:lineRule="exact"/>
        <w:rPr>
          <w:sz w:val="20"/>
          <w:szCs w:val="20"/>
          <w:color w:val="auto"/>
        </w:rPr>
      </w:pPr>
    </w:p>
    <w:p>
      <w:pPr>
        <w:ind w:right="400" w:firstLine="500"/>
        <w:spacing w:after="0" w:line="266"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54" w:lineRule="exact"/>
        <w:rPr>
          <w:sz w:val="20"/>
          <w:szCs w:val="20"/>
          <w:color w:val="auto"/>
        </w:rPr>
      </w:pPr>
    </w:p>
    <w:p>
      <w:pPr>
        <w:ind w:left="900" w:right="200"/>
        <w:spacing w:after="0" w:line="293" w:lineRule="auto"/>
        <w:rPr>
          <w:sz w:val="20"/>
          <w:szCs w:val="20"/>
          <w:color w:val="auto"/>
        </w:rPr>
      </w:pPr>
      <w:r>
        <w:rPr>
          <w:rFonts w:ascii="Arial" w:cs="Arial" w:eastAsia="Arial" w:hAnsi="Arial"/>
          <w:sz w:val="18"/>
          <w:szCs w:val="18"/>
          <w:color w:val="auto"/>
        </w:rPr>
        <w:t>expenses incurred under agreements with contract research organizations, contract manufacturing organizations and consultants that conduct preclinical studies and clinical trials;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costs associated with preclinical and clinical development activities;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costs associated with submitting regulatory approval applications for the Company’s product candidates;</w:t>
      </w:r>
    </w:p>
    <w:p>
      <w:pPr>
        <w:spacing w:after="0" w:line="131" w:lineRule="exact"/>
        <w:rPr>
          <w:sz w:val="20"/>
          <w:szCs w:val="20"/>
          <w:color w:val="auto"/>
        </w:rPr>
      </w:pPr>
    </w:p>
    <w:p>
      <w:pPr>
        <w:ind w:left="900" w:right="40"/>
        <w:spacing w:after="0" w:line="293" w:lineRule="auto"/>
        <w:rPr>
          <w:sz w:val="20"/>
          <w:szCs w:val="20"/>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costs associated with technology and intellectual property licenses;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costs for the Company’s research and development facility; and</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depreciation expense for assets used in research and development activities.</w:t>
      </w:r>
    </w:p>
    <w:p>
      <w:pPr>
        <w:spacing w:after="0" w:line="131" w:lineRule="exact"/>
        <w:rPr>
          <w:sz w:val="20"/>
          <w:szCs w:val="20"/>
          <w:color w:val="auto"/>
        </w:rPr>
      </w:pPr>
    </w:p>
    <w:p>
      <w:pPr>
        <w:ind w:right="120" w:firstLine="441"/>
        <w:spacing w:after="0" w:line="275" w:lineRule="auto"/>
        <w:rPr>
          <w:sz w:val="20"/>
          <w:szCs w:val="20"/>
          <w:color w:val="auto"/>
        </w:rPr>
      </w:pPr>
      <w:r>
        <w:rPr>
          <w:rFonts w:ascii="Arial" w:cs="Arial" w:eastAsia="Arial" w:hAnsi="Arial"/>
          <w:sz w:val="18"/>
          <w:szCs w:val="18"/>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1" w:lineRule="exact"/>
        <w:rPr>
          <w:sz w:val="20"/>
          <w:szCs w:val="20"/>
          <w:color w:val="auto"/>
        </w:rPr>
      </w:pPr>
    </w:p>
    <w:p>
      <w:pPr>
        <w:ind w:right="60" w:firstLine="486"/>
        <w:spacing w:after="0" w:line="292"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restricted stock units granted is measured based on the market value of the Company’s common stock on the date of grant. Share-based compensation costs are expensed on a straight-line basis over the relevant vesting period.</w:t>
      </w:r>
    </w:p>
    <w:p>
      <w:pPr>
        <w:spacing w:after="0" w:line="66" w:lineRule="exact"/>
        <w:rPr>
          <w:sz w:val="20"/>
          <w:szCs w:val="20"/>
          <w:color w:val="auto"/>
        </w:rPr>
      </w:pPr>
    </w:p>
    <w:p>
      <w:pPr>
        <w:ind w:firstLine="441"/>
        <w:spacing w:after="0" w:line="275"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7" w:lineRule="exact"/>
        <w:rPr>
          <w:sz w:val="20"/>
          <w:szCs w:val="20"/>
          <w:color w:val="auto"/>
        </w:rPr>
      </w:pPr>
    </w:p>
    <w:p>
      <w:pPr>
        <w:ind w:right="360" w:firstLine="441"/>
        <w:spacing w:after="0" w:line="293"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31" w:lineRule="exact"/>
        <w:rPr>
          <w:sz w:val="20"/>
          <w:szCs w:val="20"/>
          <w:color w:val="auto"/>
        </w:rPr>
      </w:pPr>
    </w:p>
    <w:p>
      <w:pPr>
        <w:ind w:right="260" w:firstLine="441"/>
        <w:spacing w:after="0" w:line="293"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In December 2019, the FASB issued Accounting Standards Update ("ASU") 2019-12, Income Taxes (Topic 740): Simplifying the Accounting for Income Taxes (“ASU 2019-12”), which simplifies the accounting for income taxes by removing certain exceptions related to the approach for intraperiod tax allocation, the methodology for calculating income taxes in an interim period and the recognition of deferred tax liabilities for outside basis differences. The new ASU also simplifies aspects of the accounting for franchise taxes and enacted changes in tax laws or rates. These changes aim to improve the overall usefulness of disclosures to financial statement users and reduce unnecessary costs to companies when preparing the disclosures. The Company adopted ASU 2019-12 on January 1, 2021, and the adoption did not have a material impact on its financial statements and related disclosures.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180" w:type="dxa"/>
            <w:vAlign w:val="bottom"/>
          </w:tcPr>
          <w:p>
            <w:pPr>
              <w:jc w:val="center"/>
              <w:ind w:left="113"/>
              <w:spacing w:after="0"/>
              <w:rPr>
                <w:sz w:val="20"/>
                <w:szCs w:val="20"/>
                <w:color w:val="auto"/>
              </w:rPr>
            </w:pPr>
            <w:r>
              <w:rPr>
                <w:rFonts w:ascii="Arial" w:cs="Arial" w:eastAsia="Arial" w:hAnsi="Arial"/>
                <w:sz w:val="16"/>
                <w:szCs w:val="16"/>
                <w:b w:val="1"/>
                <w:bCs w:val="1"/>
                <w:color w:val="auto"/>
                <w:w w:val="91"/>
              </w:rPr>
              <w:t>Estimated</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spacing w:after="0"/>
              <w:rPr>
                <w:sz w:val="17"/>
                <w:szCs w:val="17"/>
                <w:color w:val="auto"/>
              </w:rPr>
            </w:pPr>
          </w:p>
        </w:tc>
        <w:tc>
          <w:tcPr>
            <w:tcW w:w="1180" w:type="dxa"/>
            <w:vAlign w:val="bottom"/>
          </w:tcPr>
          <w:p>
            <w:pPr>
              <w:jc w:val="center"/>
              <w:ind w:left="113"/>
              <w:spacing w:after="0"/>
              <w:rPr>
                <w:sz w:val="20"/>
                <w:szCs w:val="20"/>
                <w:color w:val="auto"/>
              </w:rPr>
            </w:pPr>
            <w:r>
              <w:rPr>
                <w:rFonts w:ascii="Arial" w:cs="Arial" w:eastAsia="Arial" w:hAnsi="Arial"/>
                <w:sz w:val="16"/>
                <w:szCs w:val="16"/>
                <w:b w:val="1"/>
                <w:bCs w:val="1"/>
                <w:color w:val="auto"/>
                <w:w w:val="91"/>
              </w:rPr>
              <w:t>Useful Lives</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w w:val="87"/>
              </w:rPr>
              <w:t>June 30,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1180" w:type="dxa"/>
            <w:vAlign w:val="bottom"/>
            <w:tcBorders>
              <w:bottom w:val="single" w:sz="8" w:color="auto"/>
            </w:tcBorders>
          </w:tcPr>
          <w:p>
            <w:pPr>
              <w:jc w:val="center"/>
              <w:ind w:left="113"/>
              <w:spacing w:after="0"/>
              <w:rPr>
                <w:sz w:val="20"/>
                <w:szCs w:val="20"/>
                <w:color w:val="auto"/>
              </w:rPr>
            </w:pPr>
            <w:r>
              <w:rPr>
                <w:rFonts w:ascii="Arial" w:cs="Arial" w:eastAsia="Arial" w:hAnsi="Arial"/>
                <w:sz w:val="16"/>
                <w:szCs w:val="16"/>
                <w:b w:val="1"/>
                <w:bCs w:val="1"/>
                <w:color w:val="auto"/>
                <w:w w:val="92"/>
              </w:rPr>
              <w:t>(Years)</w:t>
            </w:r>
          </w:p>
        </w:tc>
        <w:tc>
          <w:tcPr>
            <w:tcW w:w="2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180" w:type="dxa"/>
            <w:vAlign w:val="bottom"/>
            <w:shd w:val="clear" w:color="auto" w:fill="CFF0FC"/>
          </w:tcPr>
          <w:p>
            <w:pPr>
              <w:jc w:val="center"/>
              <w:ind w:left="113"/>
              <w:spacing w:after="0"/>
              <w:rPr>
                <w:sz w:val="20"/>
                <w:szCs w:val="20"/>
                <w:color w:val="auto"/>
              </w:rPr>
            </w:pPr>
            <w:r>
              <w:rPr>
                <w:rFonts w:ascii="Arial" w:cs="Arial" w:eastAsia="Arial" w:hAnsi="Arial"/>
                <w:sz w:val="18"/>
                <w:szCs w:val="18"/>
                <w:color w:val="auto"/>
                <w:w w:val="99"/>
              </w:rPr>
              <w:t>5</w:t>
            </w:r>
          </w:p>
        </w:tc>
        <w:tc>
          <w:tcPr>
            <w:tcW w:w="9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180" w:type="dxa"/>
            <w:vAlign w:val="bottom"/>
          </w:tcPr>
          <w:p>
            <w:pPr>
              <w:jc w:val="center"/>
              <w:ind w:left="113"/>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180" w:type="dxa"/>
            <w:vAlign w:val="bottom"/>
            <w:shd w:val="clear" w:color="auto" w:fill="CFF0FC"/>
          </w:tcPr>
          <w:p>
            <w:pPr>
              <w:jc w:val="center"/>
              <w:ind w:left="113"/>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180" w:type="dxa"/>
            <w:vAlign w:val="bottom"/>
          </w:tcPr>
          <w:p>
            <w:pPr>
              <w:jc w:val="center"/>
              <w:ind w:left="113"/>
              <w:spacing w:after="0"/>
              <w:rPr>
                <w:sz w:val="20"/>
                <w:szCs w:val="20"/>
                <w:color w:val="auto"/>
              </w:rPr>
            </w:pPr>
            <w:r>
              <w:rPr>
                <w:rFonts w:ascii="Arial" w:cs="Arial" w:eastAsia="Arial" w:hAnsi="Arial"/>
                <w:sz w:val="18"/>
                <w:szCs w:val="18"/>
                <w:color w:val="auto"/>
                <w:w w:val="89"/>
              </w:rPr>
              <w:t>Lesser of</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40" w:type="dxa"/>
            <w:vAlign w:val="bottom"/>
          </w:tcPr>
          <w:p>
            <w:pPr>
              <w:spacing w:after="0"/>
              <w:rPr>
                <w:sz w:val="19"/>
                <w:szCs w:val="19"/>
                <w:color w:val="auto"/>
              </w:rPr>
            </w:pPr>
          </w:p>
        </w:tc>
        <w:tc>
          <w:tcPr>
            <w:tcW w:w="1180" w:type="dxa"/>
            <w:vAlign w:val="bottom"/>
          </w:tcPr>
          <w:p>
            <w:pPr>
              <w:jc w:val="center"/>
              <w:ind w:left="93"/>
              <w:spacing w:after="0"/>
              <w:rPr>
                <w:sz w:val="20"/>
                <w:szCs w:val="20"/>
                <w:color w:val="auto"/>
              </w:rPr>
            </w:pPr>
            <w:r>
              <w:rPr>
                <w:rFonts w:ascii="Arial" w:cs="Arial" w:eastAsia="Arial" w:hAnsi="Arial"/>
                <w:sz w:val="18"/>
                <w:szCs w:val="18"/>
                <w:color w:val="auto"/>
                <w:w w:val="94"/>
              </w:rPr>
              <w:t>useful life or</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spacing w:after="0"/>
              <w:rPr>
                <w:sz w:val="19"/>
                <w:szCs w:val="19"/>
                <w:color w:val="auto"/>
              </w:rPr>
            </w:pPr>
          </w:p>
        </w:tc>
        <w:tc>
          <w:tcPr>
            <w:tcW w:w="1180" w:type="dxa"/>
            <w:vAlign w:val="bottom"/>
          </w:tcPr>
          <w:p>
            <w:pPr>
              <w:jc w:val="center"/>
              <w:ind w:left="113"/>
              <w:spacing w:after="0"/>
              <w:rPr>
                <w:sz w:val="20"/>
                <w:szCs w:val="20"/>
                <w:color w:val="auto"/>
              </w:rPr>
            </w:pPr>
            <w:r>
              <w:rPr>
                <w:rFonts w:ascii="Arial" w:cs="Arial" w:eastAsia="Arial" w:hAnsi="Arial"/>
                <w:sz w:val="18"/>
                <w:szCs w:val="18"/>
                <w:color w:val="auto"/>
                <w:w w:val="93"/>
              </w:rPr>
              <w:t>remaining</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667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p>
        </w:tc>
        <w:tc>
          <w:tcPr>
            <w:tcW w:w="1180" w:type="dxa"/>
            <w:vAlign w:val="bottom"/>
          </w:tcPr>
          <w:p>
            <w:pPr>
              <w:jc w:val="center"/>
              <w:ind w:left="113"/>
              <w:spacing w:after="0"/>
              <w:rPr>
                <w:sz w:val="20"/>
                <w:szCs w:val="20"/>
                <w:color w:val="auto"/>
              </w:rPr>
            </w:pPr>
            <w:r>
              <w:rPr>
                <w:rFonts w:ascii="Arial" w:cs="Arial" w:eastAsia="Arial" w:hAnsi="Arial"/>
                <w:sz w:val="18"/>
                <w:szCs w:val="18"/>
                <w:color w:val="auto"/>
                <w:w w:val="88"/>
              </w:rPr>
              <w:t>lease term</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(866 )</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(777 )</w:t>
            </w:r>
          </w:p>
        </w:tc>
        <w:tc>
          <w:tcPr>
            <w:tcW w:w="0" w:type="dxa"/>
            <w:vAlign w:val="bottom"/>
          </w:tcPr>
          <w:p>
            <w:pPr>
              <w:spacing w:after="0"/>
              <w:rPr>
                <w:sz w:val="1"/>
                <w:szCs w:val="1"/>
                <w:color w:val="auto"/>
              </w:rPr>
            </w:pPr>
          </w:p>
        </w:tc>
      </w:tr>
      <w:tr>
        <w:trPr>
          <w:trHeight w:val="290"/>
        </w:trPr>
        <w:tc>
          <w:tcPr>
            <w:tcW w:w="6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6340" w:type="dxa"/>
            <w:vAlign w:val="bottom"/>
          </w:tcPr>
          <w:p>
            <w:pPr>
              <w:spacing w:after="0"/>
              <w:rPr>
                <w:sz w:val="20"/>
                <w:szCs w:val="20"/>
                <w:color w:val="auto"/>
              </w:rPr>
            </w:pPr>
            <w:r>
              <w:rPr>
                <w:rFonts w:ascii="Arial" w:cs="Arial" w:eastAsia="Arial" w:hAnsi="Arial"/>
                <w:sz w:val="18"/>
                <w:szCs w:val="18"/>
                <w:b w:val="1"/>
                <w:bCs w:val="1"/>
                <w:color w:val="auto"/>
              </w:rPr>
              <w:t>4. Accrued Liabilities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340" w:type="dxa"/>
            <w:vAlign w:val="bottom"/>
          </w:tcPr>
          <w:p>
            <w:pPr>
              <w:ind w:left="440"/>
              <w:spacing w:after="0"/>
              <w:rPr>
                <w:sz w:val="20"/>
                <w:szCs w:val="20"/>
                <w:color w:val="auto"/>
              </w:rPr>
            </w:pPr>
            <w:r>
              <w:rPr>
                <w:rFonts w:ascii="Arial" w:cs="Arial" w:eastAsia="Arial" w:hAnsi="Arial"/>
                <w:sz w:val="18"/>
                <w:szCs w:val="18"/>
                <w:color w:val="auto"/>
              </w:rPr>
              <w:t>Accrued liabilities consisted of the following (in thousands):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jc w:val="right"/>
              <w:ind w:right="108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11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40" w:type="dxa"/>
            <w:vAlign w:val="bottom"/>
          </w:tcPr>
          <w:p>
            <w:pPr>
              <w:ind w:left="20"/>
              <w:spacing w:after="0"/>
              <w:rPr>
                <w:sz w:val="20"/>
                <w:szCs w:val="20"/>
                <w:color w:val="auto"/>
              </w:rPr>
            </w:pPr>
            <w:r>
              <w:rPr>
                <w:rFonts w:ascii="Arial" w:cs="Arial" w:eastAsia="Arial" w:hAnsi="Arial"/>
                <w:sz w:val="18"/>
                <w:szCs w:val="18"/>
                <w:color w:val="auto"/>
              </w:rPr>
              <w:t>Accrued employee costs</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1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40" w:type="dxa"/>
            <w:vAlign w:val="bottom"/>
          </w:tcPr>
          <w:p>
            <w:pPr>
              <w:ind w:left="20"/>
              <w:spacing w:after="0"/>
              <w:rPr>
                <w:sz w:val="20"/>
                <w:szCs w:val="20"/>
                <w:color w:val="auto"/>
              </w:rPr>
            </w:pPr>
            <w:r>
              <w:rPr>
                <w:rFonts w:ascii="Arial" w:cs="Arial" w:eastAsia="Arial" w:hAnsi="Arial"/>
                <w:sz w:val="18"/>
                <w:szCs w:val="18"/>
                <w:color w:val="auto"/>
              </w:rPr>
              <w:t>Accrued expense</w:t>
            </w:r>
          </w:p>
        </w:tc>
        <w:tc>
          <w:tcPr>
            <w:tcW w:w="1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3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-1885315</wp:posOffset>
            </wp:positionV>
            <wp:extent cx="3257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-1868170</wp:posOffset>
            </wp:positionV>
            <wp:extent cx="3257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3771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3771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w:t>
      </w:r>
      <w:r>
        <w:rPr>
          <w:rFonts w:ascii="Arial" w:cs="Arial" w:eastAsia="Arial" w:hAnsi="Arial"/>
          <w:sz w:val="18"/>
          <w:szCs w:val="18"/>
          <w:b w:val="1"/>
          <w:bCs w:val="1"/>
          <w:color w:val="auto"/>
        </w:rPr>
        <w:t xml:space="preserve"> CARES Act Paycheck Protection Program Loan</w:t>
      </w:r>
    </w:p>
    <w:p>
      <w:pPr>
        <w:spacing w:after="0" w:line="135" w:lineRule="exact"/>
        <w:rPr>
          <w:sz w:val="20"/>
          <w:szCs w:val="20"/>
          <w:color w:val="auto"/>
        </w:rPr>
      </w:pPr>
    </w:p>
    <w:p>
      <w:pPr>
        <w:ind w:right="100" w:firstLine="405"/>
        <w:spacing w:after="0" w:line="275" w:lineRule="auto"/>
        <w:rPr>
          <w:sz w:val="20"/>
          <w:szCs w:val="20"/>
          <w:color w:val="auto"/>
        </w:rPr>
      </w:pPr>
      <w:r>
        <w:rPr>
          <w:rFonts w:ascii="Arial" w:cs="Arial" w:eastAsia="Arial" w:hAnsi="Arial"/>
          <w:sz w:val="18"/>
          <w:szCs w:val="18"/>
          <w:color w:val="auto"/>
        </w:rPr>
        <w:t>On April 20, 2020, the Company entered into a loan agreement with Silicon Valley Bank (the “PPP Lender”) under the terms of which the PPP Lender made a loan to the Company in an aggregate principal amount of $1.0 million (the “PPP Loan”) pursuant to the Paycheck Protection Program (the “PPP”) under the Coronavirus Aid, Relief, and Economic Security Act (the “CARES Act”). The PPP Loan is evidenced by a promissory note (the “Note”) containing the terms and conditions for repayment of the PPP Loan.</w:t>
      </w:r>
    </w:p>
    <w:p>
      <w:pPr>
        <w:spacing w:after="0" w:line="77" w:lineRule="exact"/>
        <w:rPr>
          <w:sz w:val="20"/>
          <w:szCs w:val="20"/>
          <w:color w:val="auto"/>
        </w:rPr>
      </w:pPr>
    </w:p>
    <w:p>
      <w:pPr>
        <w:ind w:right="240" w:firstLine="405"/>
        <w:spacing w:after="0" w:line="279" w:lineRule="auto"/>
        <w:rPr>
          <w:sz w:val="20"/>
          <w:szCs w:val="20"/>
          <w:color w:val="auto"/>
        </w:rPr>
      </w:pPr>
      <w:r>
        <w:rPr>
          <w:rFonts w:ascii="Arial" w:cs="Arial" w:eastAsia="Arial" w:hAnsi="Arial"/>
          <w:sz w:val="18"/>
          <w:szCs w:val="18"/>
          <w:color w:val="auto"/>
        </w:rPr>
        <w:t>Under the terms of the Note and the PPP Loan, interest accrued on the outstanding principal amount at the rate of 1.0% per annum. The term of the Note was until April 2022, with the Company obligated to make equal monthly payments of principal and interest, beginning in November 2020 and continuing until the maturity date.</w:t>
      </w:r>
    </w:p>
    <w:p>
      <w:pPr>
        <w:spacing w:after="0" w:line="75" w:lineRule="exact"/>
        <w:rPr>
          <w:sz w:val="20"/>
          <w:szCs w:val="20"/>
          <w:color w:val="auto"/>
        </w:rPr>
      </w:pPr>
    </w:p>
    <w:p>
      <w:pPr>
        <w:ind w:right="120" w:firstLine="405"/>
        <w:spacing w:after="0" w:line="275" w:lineRule="auto"/>
        <w:rPr>
          <w:sz w:val="20"/>
          <w:szCs w:val="20"/>
          <w:color w:val="auto"/>
        </w:rPr>
      </w:pPr>
      <w:r>
        <w:rPr>
          <w:rFonts w:ascii="Arial" w:cs="Arial" w:eastAsia="Arial" w:hAnsi="Arial"/>
          <w:sz w:val="18"/>
          <w:szCs w:val="18"/>
          <w:color w:val="auto"/>
        </w:rPr>
        <w:t xml:space="preserve">The CARES Act and the PPP provide a mechanism for forgiveness of up to the full amount borrowed. On January 11, 2021, the Company was notified by the PPP Lender that the PPP Loan had been forgiven in full, including approximately $7,000 of accrued interest. In accordance with ASC 405-20, </w:t>
      </w:r>
      <w:r>
        <w:rPr>
          <w:rFonts w:ascii="Arial" w:cs="Arial" w:eastAsia="Arial" w:hAnsi="Arial"/>
          <w:sz w:val="18"/>
          <w:szCs w:val="18"/>
          <w:i w:val="1"/>
          <w:iCs w:val="1"/>
          <w:color w:val="auto"/>
        </w:rPr>
        <w:t>Extinguishment of Liabilities</w:t>
      </w:r>
      <w:r>
        <w:rPr>
          <w:rFonts w:ascii="Arial" w:cs="Arial" w:eastAsia="Arial" w:hAnsi="Arial"/>
          <w:sz w:val="18"/>
          <w:szCs w:val="18"/>
          <w:color w:val="auto"/>
        </w:rPr>
        <w:t>, the income from the forgiveness of the amount borrowed and the accrued interest was recognized in the statement of operations in other income as a gain on extinguishment of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35" w:lineRule="exact"/>
        <w:rPr>
          <w:sz w:val="20"/>
          <w:szCs w:val="20"/>
          <w:color w:val="auto"/>
        </w:rPr>
      </w:pPr>
    </w:p>
    <w:p>
      <w:pPr>
        <w:ind w:right="120" w:firstLine="441"/>
        <w:spacing w:after="0" w:line="359"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June 30, 2021 and December 31, 2020, there were 59,091,591 and 51,860,941 shares of common stock outstanding,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135" w:lineRule="exact"/>
        <w:rPr>
          <w:sz w:val="20"/>
          <w:szCs w:val="20"/>
          <w:color w:val="auto"/>
        </w:rPr>
      </w:pPr>
    </w:p>
    <w:p>
      <w:pPr>
        <w:jc w:val="both"/>
        <w:ind w:right="200" w:firstLine="441"/>
        <w:spacing w:after="0" w:line="299" w:lineRule="auto"/>
        <w:rPr>
          <w:sz w:val="20"/>
          <w:szCs w:val="20"/>
          <w:color w:val="auto"/>
        </w:rPr>
      </w:pPr>
      <w:r>
        <w:rPr>
          <w:rFonts w:ascii="Arial" w:cs="Arial" w:eastAsia="Arial" w:hAnsi="Arial"/>
          <w:sz w:val="16"/>
          <w:szCs w:val="16"/>
          <w:color w:val="auto"/>
        </w:rPr>
        <w:t>In September 2016, in connection with a loan agreement,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6"/>
          <w:szCs w:val="16"/>
          <w:color w:val="1F497D"/>
        </w:rPr>
        <w:t>.</w:t>
      </w:r>
      <w:r>
        <w:rPr>
          <w:rFonts w:ascii="Arial" w:cs="Arial" w:eastAsia="Arial" w:hAnsi="Arial"/>
          <w:sz w:val="16"/>
          <w:szCs w:val="16"/>
          <w:color w:val="auto"/>
        </w:rPr>
        <w:t xml:space="preserve"> The warrants were recorded in equity and had a weighted average remaining life of 5.50 years as of June 30,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8. Share-Based Compensation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31" w:lineRule="exact"/>
        <w:rPr>
          <w:sz w:val="20"/>
          <w:szCs w:val="20"/>
          <w:color w:val="auto"/>
        </w:rPr>
      </w:pPr>
    </w:p>
    <w:p>
      <w:pPr>
        <w:ind w:right="160" w:firstLine="441"/>
        <w:spacing w:after="0" w:line="329" w:lineRule="auto"/>
        <w:rPr>
          <w:sz w:val="20"/>
          <w:szCs w:val="20"/>
          <w:color w:val="auto"/>
        </w:rPr>
      </w:pPr>
      <w:r>
        <w:rPr>
          <w:rFonts w:ascii="Arial" w:cs="Arial" w:eastAsia="Arial" w:hAnsi="Arial"/>
          <w:sz w:val="16"/>
          <w:szCs w:val="16"/>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40" w:lineRule="exact"/>
        <w:rPr>
          <w:sz w:val="20"/>
          <w:szCs w:val="20"/>
          <w:color w:val="auto"/>
        </w:rPr>
      </w:pPr>
    </w:p>
    <w:p>
      <w:pPr>
        <w:ind w:right="140" w:firstLine="441"/>
        <w:spacing w:after="0" w:line="293"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180" w:type="dxa"/>
            <w:vAlign w:val="bottom"/>
            <w:gridSpan w:val="4"/>
          </w:tcPr>
          <w:p>
            <w:pPr>
              <w:jc w:val="right"/>
              <w:ind w:right="95"/>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7"/>
                <w:szCs w:val="17"/>
                <w:color w:val="auto"/>
              </w:rPr>
            </w:pPr>
          </w:p>
        </w:tc>
      </w:tr>
      <w:tr>
        <w:trPr>
          <w:trHeight w:val="223"/>
        </w:trPr>
        <w:tc>
          <w:tcPr>
            <w:tcW w:w="57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5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060" w:type="dxa"/>
            <w:vAlign w:val="bottom"/>
            <w:gridSpan w:val="2"/>
            <w:shd w:val="clear" w:color="auto" w:fill="CFF0FC"/>
          </w:tcPr>
          <w:p>
            <w:pPr>
              <w:jc w:val="right"/>
              <w:ind w:right="595"/>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6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r>
      <w:tr>
        <w:trPr>
          <w:trHeight w:val="290"/>
        </w:trPr>
        <w:tc>
          <w:tcPr>
            <w:tcW w:w="5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4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-25400</wp:posOffset>
            </wp:positionV>
            <wp:extent cx="1714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1714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2571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2571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154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1543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gridSpan w:val="3"/>
          </w:tcPr>
          <w:p>
            <w:pPr>
              <w:ind w:left="440"/>
              <w:spacing w:after="0"/>
              <w:rPr>
                <w:sz w:val="20"/>
                <w:szCs w:val="20"/>
                <w:color w:val="auto"/>
              </w:rPr>
            </w:pPr>
            <w:r>
              <w:rPr>
                <w:rFonts w:ascii="Arial" w:cs="Arial" w:eastAsia="Arial" w:hAnsi="Arial"/>
                <w:sz w:val="18"/>
                <w:szCs w:val="18"/>
                <w:color w:val="auto"/>
              </w:rPr>
              <w:t>The following table summarizes the activity related to stock options during the six months ended June 30, 2021:</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7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r>
      <w:tr>
        <w:trPr>
          <w:trHeight w:val="256"/>
        </w:trPr>
        <w:tc>
          <w:tcPr>
            <w:tcW w:w="7720" w:type="dxa"/>
            <w:vAlign w:val="bottom"/>
          </w:tcPr>
          <w:p>
            <w:pPr>
              <w:spacing w:after="0"/>
              <w:rPr>
                <w:sz w:val="22"/>
                <w:szCs w:val="22"/>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22"/>
                <w:szCs w:val="22"/>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22"/>
                <w:szCs w:val="22"/>
                <w:color w:val="auto"/>
              </w:rPr>
            </w:pPr>
          </w:p>
        </w:tc>
      </w:tr>
      <w:tr>
        <w:trPr>
          <w:trHeight w:val="263"/>
        </w:trPr>
        <w:tc>
          <w:tcPr>
            <w:tcW w:w="7720" w:type="dxa"/>
            <w:vAlign w:val="bottom"/>
          </w:tcPr>
          <w:p>
            <w:pPr>
              <w:spacing w:after="0"/>
              <w:rPr>
                <w:sz w:val="22"/>
                <w:szCs w:val="22"/>
                <w:color w:val="auto"/>
              </w:rPr>
            </w:pPr>
          </w:p>
        </w:tc>
        <w:tc>
          <w:tcPr>
            <w:tcW w:w="18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2"/>
                <w:szCs w:val="22"/>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2"/>
                <w:szCs w:val="22"/>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 at December 31, 2020</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4,248,193</w:t>
            </w:r>
          </w:p>
        </w:tc>
        <w:tc>
          <w:tcPr>
            <w:tcW w:w="30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1,794,906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(84,166 )</w:t>
            </w: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FF0FC"/>
          </w:tcPr>
          <w:p>
            <w:pPr>
              <w:spacing w:after="0"/>
              <w:rPr>
                <w:sz w:val="22"/>
                <w:szCs w:val="22"/>
                <w:color w:val="auto"/>
              </w:rPr>
            </w:pPr>
          </w:p>
        </w:tc>
      </w:tr>
      <w:tr>
        <w:trPr>
          <w:trHeight w:val="257"/>
        </w:trPr>
        <w:tc>
          <w:tcPr>
            <w:tcW w:w="77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9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outstanding at June 30, 2021</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5,958,933</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2,355,900</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at June 30, 2021</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3,015,204</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-728345</wp:posOffset>
            </wp:positionV>
            <wp:extent cx="1797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-710565</wp:posOffset>
            </wp:positionV>
            <wp:extent cx="1797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-376555</wp:posOffset>
            </wp:positionV>
            <wp:extent cx="1797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-359410</wp:posOffset>
            </wp:positionV>
            <wp:extent cx="1797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797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797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114"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8"/>
          <w:szCs w:val="18"/>
          <w:color w:val="auto"/>
        </w:rPr>
        <w:t>As of June 30, 2021, the Company had $7.4 million of unrecognized compensation expense related to unvested stock options, which is expected to be recognized over a weighted average period of 2.9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31" w:lineRule="exact"/>
        <w:rPr>
          <w:sz w:val="20"/>
          <w:szCs w:val="20"/>
          <w:color w:val="auto"/>
        </w:rPr>
      </w:pPr>
    </w:p>
    <w:p>
      <w:pPr>
        <w:ind w:right="40" w:firstLine="441"/>
        <w:spacing w:after="0" w:line="275" w:lineRule="auto"/>
        <w:rPr>
          <w:sz w:val="20"/>
          <w:szCs w:val="20"/>
          <w:color w:val="auto"/>
        </w:rPr>
      </w:pPr>
      <w:r>
        <w:rPr>
          <w:rFonts w:ascii="Arial" w:cs="Arial" w:eastAsia="Arial" w:hAnsi="Arial"/>
          <w:sz w:val="18"/>
          <w:szCs w:val="18"/>
          <w:color w:val="auto"/>
        </w:rPr>
        <w:t>The Company has granted restricted stock units (“RSUs”) to employees from the 2016 Plan. The shares underlying the RSU awards have vesting terms of two to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share-based compensation expense related to RSUs is reflected in the statements of operations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1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7"/>
                <w:szCs w:val="17"/>
                <w:color w:val="auto"/>
              </w:rPr>
            </w:pPr>
          </w:p>
        </w:tc>
      </w:tr>
      <w:tr>
        <w:trPr>
          <w:trHeight w:val="223"/>
        </w:trPr>
        <w:tc>
          <w:tcPr>
            <w:tcW w:w="37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56"/>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76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6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22"/>
                <w:szCs w:val="22"/>
                <w:color w:val="auto"/>
              </w:rPr>
            </w:pPr>
          </w:p>
        </w:tc>
      </w:tr>
      <w:tr>
        <w:trPr>
          <w:trHeight w:val="250"/>
        </w:trPr>
        <w:tc>
          <w:tcPr>
            <w:tcW w:w="3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9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r>
      <w:tr>
        <w:trPr>
          <w:trHeight w:val="290"/>
        </w:trPr>
        <w:tc>
          <w:tcPr>
            <w:tcW w:w="3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6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24"/>
                <w:szCs w:val="24"/>
                <w:color w:val="auto"/>
              </w:rPr>
            </w:pPr>
          </w:p>
        </w:tc>
      </w:tr>
      <w:tr>
        <w:trPr>
          <w:trHeight w:val="446"/>
        </w:trPr>
        <w:tc>
          <w:tcPr>
            <w:tcW w:w="376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11</w:t>
            </w:r>
          </w:p>
        </w:tc>
        <w:tc>
          <w:tcPr>
            <w:tcW w:w="7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1"/>
        </w:trPr>
        <w:tc>
          <w:tcPr>
            <w:tcW w:w="376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-393700</wp:posOffset>
            </wp:positionV>
            <wp:extent cx="1714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-376555</wp:posOffset>
            </wp:positionV>
            <wp:extent cx="1714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-393700</wp:posOffset>
            </wp:positionV>
            <wp:extent cx="2571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-376555</wp:posOffset>
            </wp:positionV>
            <wp:extent cx="2571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-393700</wp:posOffset>
            </wp:positionV>
            <wp:extent cx="1543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-376555</wp:posOffset>
            </wp:positionV>
            <wp:extent cx="1543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t>The following table summarizes the activity related to RSUs during the six months ended June 30,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20"/>
                <w:szCs w:val="20"/>
                <w:color w:val="auto"/>
              </w:rPr>
            </w:pPr>
          </w:p>
        </w:tc>
      </w:tr>
      <w:tr>
        <w:trPr>
          <w:trHeight w:val="257"/>
        </w:trPr>
        <w:tc>
          <w:tcPr>
            <w:tcW w:w="7720" w:type="dxa"/>
            <w:vAlign w:val="bottom"/>
          </w:tcPr>
          <w:p>
            <w:pPr>
              <w:spacing w:after="0"/>
              <w:rPr>
                <w:sz w:val="22"/>
                <w:szCs w:val="22"/>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22"/>
                <w:szCs w:val="22"/>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22"/>
                <w:szCs w:val="22"/>
                <w:color w:val="auto"/>
              </w:rPr>
            </w:pPr>
          </w:p>
        </w:tc>
      </w:tr>
      <w:tr>
        <w:trPr>
          <w:trHeight w:val="263"/>
        </w:trPr>
        <w:tc>
          <w:tcPr>
            <w:tcW w:w="7720" w:type="dxa"/>
            <w:vAlign w:val="bottom"/>
          </w:tcPr>
          <w:p>
            <w:pPr>
              <w:spacing w:after="0"/>
              <w:rPr>
                <w:sz w:val="22"/>
                <w:szCs w:val="22"/>
                <w:color w:val="auto"/>
              </w:rPr>
            </w:pPr>
          </w:p>
        </w:tc>
        <w:tc>
          <w:tcPr>
            <w:tcW w:w="18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2"/>
                <w:szCs w:val="22"/>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2"/>
                <w:szCs w:val="22"/>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RSUs outstanding at December 31, 2020</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767,271</w:t>
            </w:r>
          </w:p>
        </w:tc>
        <w:tc>
          <w:tcPr>
            <w:tcW w:w="30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965,344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(321,511 )</w:t>
            </w: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Non-vested RSUs outstanding at June 30, 2021</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1,411,104</w:t>
            </w:r>
          </w:p>
        </w:tc>
        <w:tc>
          <w:tcPr>
            <w:tcW w:w="30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3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top w:val="single" w:sz="8" w:color="CFF0FC"/>
            </w:tcBorders>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-193675</wp:posOffset>
            </wp:positionV>
            <wp:extent cx="17970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9705" cy="5715"/>
                    </a:xfrm>
                    <a:prstGeom prst="rect">
                      <a:avLst/>
                    </a:prstGeom>
                    <a:noFill/>
                  </pic:spPr>
                </pic:pic>
              </a:graphicData>
            </a:graphic>
          </wp:anchor>
        </w:drawing>
      </w:r>
    </w:p>
    <w:p>
      <w:pPr>
        <w:spacing w:after="0" w:line="114" w:lineRule="exact"/>
        <w:rPr>
          <w:sz w:val="20"/>
          <w:szCs w:val="20"/>
          <w:color w:val="auto"/>
        </w:rPr>
      </w:pPr>
    </w:p>
    <w:p>
      <w:pPr>
        <w:jc w:val="both"/>
        <w:ind w:right="120" w:firstLine="492"/>
        <w:spacing w:after="0" w:line="293" w:lineRule="auto"/>
        <w:rPr>
          <w:sz w:val="20"/>
          <w:szCs w:val="20"/>
          <w:color w:val="auto"/>
        </w:rPr>
      </w:pPr>
      <w:r>
        <w:rPr>
          <w:rFonts w:ascii="Arial" w:cs="Arial" w:eastAsia="Arial" w:hAnsi="Arial"/>
          <w:sz w:val="18"/>
          <w:szCs w:val="18"/>
          <w:color w:val="auto"/>
        </w:rPr>
        <w:t>As of June 30, 2021, the Company had $4.2 million of unrecognized compensation expense related to the RSUs which is expected to be recognized over a weighted average period of 3.3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31" w:lineRule="exact"/>
        <w:rPr>
          <w:sz w:val="20"/>
          <w:szCs w:val="20"/>
          <w:color w:val="auto"/>
        </w:rPr>
      </w:pPr>
    </w:p>
    <w:p>
      <w:pPr>
        <w:jc w:val="both"/>
        <w:ind w:right="120" w:firstLine="441"/>
        <w:spacing w:after="0" w:line="279" w:lineRule="auto"/>
        <w:rPr>
          <w:sz w:val="20"/>
          <w:szCs w:val="20"/>
          <w:color w:val="auto"/>
        </w:rPr>
      </w:pPr>
      <w:r>
        <w:rPr>
          <w:rFonts w:ascii="Arial" w:cs="Arial" w:eastAsia="Arial" w:hAnsi="Arial"/>
          <w:sz w:val="18"/>
          <w:szCs w:val="18"/>
          <w:color w:val="auto"/>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p>
    <w:p>
      <w:pPr>
        <w:spacing w:after="0" w:line="75" w:lineRule="exact"/>
        <w:rPr>
          <w:sz w:val="20"/>
          <w:szCs w:val="20"/>
          <w:color w:val="auto"/>
        </w:rPr>
      </w:pPr>
    </w:p>
    <w:p>
      <w:pPr>
        <w:ind w:right="100" w:firstLine="441"/>
        <w:spacing w:after="0" w:line="293" w:lineRule="auto"/>
        <w:rPr>
          <w:sz w:val="20"/>
          <w:szCs w:val="20"/>
          <w:color w:val="auto"/>
        </w:rPr>
      </w:pPr>
      <w:r>
        <w:rPr>
          <w:rFonts w:ascii="Arial" w:cs="Arial" w:eastAsia="Arial" w:hAnsi="Arial"/>
          <w:sz w:val="18"/>
          <w:szCs w:val="18"/>
          <w:color w:val="auto"/>
        </w:rPr>
        <w:t>The share-based compensation expense recognized for the 2016 ESPP is reflected in the statements of operations and comprehensive loss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280" w:type="dxa"/>
            <w:vAlign w:val="bottom"/>
            <w:gridSpan w:val="4"/>
          </w:tcPr>
          <w:p>
            <w:pPr>
              <w:jc w:val="right"/>
              <w:ind w:right="195"/>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7"/>
                <w:szCs w:val="17"/>
                <w:color w:val="auto"/>
              </w:rPr>
            </w:pPr>
          </w:p>
        </w:tc>
      </w:tr>
      <w:tr>
        <w:trPr>
          <w:trHeight w:val="223"/>
        </w:trPr>
        <w:tc>
          <w:tcPr>
            <w:tcW w:w="57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6"/>
                <w:szCs w:val="16"/>
                <w:b w:val="1"/>
                <w:bCs w:val="1"/>
                <w:color w:val="auto"/>
              </w:rPr>
              <w:t>June 30,</w:t>
            </w: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40" w:type="dxa"/>
            <w:vAlign w:val="bottom"/>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5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160" w:type="dxa"/>
            <w:vAlign w:val="bottom"/>
            <w:gridSpan w:val="2"/>
            <w:shd w:val="clear" w:color="auto" w:fill="CFF0FC"/>
          </w:tcPr>
          <w:p>
            <w:pPr>
              <w:jc w:val="right"/>
              <w:ind w:right="6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r>
      <w:tr>
        <w:trPr>
          <w:trHeight w:val="290"/>
        </w:trPr>
        <w:tc>
          <w:tcPr>
            <w:tcW w:w="5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95"/>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1714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1714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2571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2571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1543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154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2021, the Company issued 31,908 shares of common stock purchased under the 2016 ESPP.</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November 2016, the Company signed an office lease agreement to lease approximately 20,000 square feet of office space in Alpharetta, Georgia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its corporate headquarters. The lease agreement is for a 6.5 year term with a renewal option for one additional five-year term. Rental payments 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$35,145 per month subject to an increase of 3% per year. Rent expense under this lease is recognized on a straight-line basis over the term of the lease.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 the lease agreement requires payment of the pro-rata share of the annual operating expenses associated with the premises.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440"/>
              <w:spacing w:after="0"/>
              <w:rPr>
                <w:sz w:val="20"/>
                <w:szCs w:val="20"/>
                <w:color w:val="auto"/>
              </w:rPr>
            </w:pPr>
            <w:r>
              <w:rPr>
                <w:rFonts w:ascii="Arial" w:cs="Arial" w:eastAsia="Arial" w:hAnsi="Arial"/>
                <w:sz w:val="18"/>
                <w:szCs w:val="18"/>
                <w:color w:val="auto"/>
              </w:rPr>
              <w:t>The Company’s operating leases included on the balance sheet are as follows (in thousands):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6"/>
        </w:trPr>
        <w:tc>
          <w:tcPr>
            <w:tcW w:w="9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r>
      <w:tr>
        <w:trPr>
          <w:trHeight w:val="241"/>
        </w:trPr>
        <w:tc>
          <w:tcPr>
            <w:tcW w:w="9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90"/>
        </w:trPr>
        <w:tc>
          <w:tcPr>
            <w:tcW w:w="9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4"/>
        </w:trPr>
        <w:tc>
          <w:tcPr>
            <w:tcW w:w="9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9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440" w:type="dxa"/>
            <w:vAlign w:val="bottom"/>
          </w:tcPr>
          <w:p>
            <w:pPr>
              <w:ind w:left="28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r>
      <w:tr>
        <w:trPr>
          <w:trHeight w:val="257"/>
        </w:trPr>
        <w:tc>
          <w:tcPr>
            <w:tcW w:w="9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9440" w:type="dxa"/>
            <w:vAlign w:val="bottom"/>
          </w:tcPr>
          <w:p>
            <w:pPr>
              <w:ind w:left="520"/>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r>
      <w:tr>
        <w:trPr>
          <w:trHeight w:val="20"/>
        </w:trPr>
        <w:tc>
          <w:tcPr>
            <w:tcW w:w="9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87" w:lineRule="exact"/>
        <w:rPr>
          <w:sz w:val="20"/>
          <w:szCs w:val="20"/>
          <w:color w:val="auto"/>
        </w:rPr>
      </w:pPr>
    </w:p>
    <w:p>
      <w:pPr>
        <w:ind w:right="180" w:firstLine="486"/>
        <w:spacing w:after="0" w:line="299" w:lineRule="auto"/>
        <w:rPr>
          <w:sz w:val="20"/>
          <w:szCs w:val="20"/>
          <w:color w:val="auto"/>
        </w:rPr>
      </w:pPr>
      <w:r>
        <w:rPr>
          <w:rFonts w:ascii="Arial" w:cs="Arial" w:eastAsia="Arial" w:hAnsi="Arial"/>
          <w:sz w:val="16"/>
          <w:szCs w:val="16"/>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 The present value of the lease payments is calculated using an incremental borrowing rate as the Company’s leases do not provide an implicit interest rate. At June 30, 2021, the Company’s weighted average discount rate was 11.0% and the weighted average lease term was 2.25 years.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t>Minimum lease payments were as follows at June 30, 2021 (in thousands):</w:t>
      </w:r>
    </w:p>
    <w:p>
      <w:pPr>
        <w:spacing w:after="0" w:line="253" w:lineRule="exact"/>
        <w:rPr>
          <w:sz w:val="20"/>
          <w:szCs w:val="20"/>
          <w:color w:val="auto"/>
        </w:rPr>
      </w:pPr>
    </w:p>
    <w:tbl>
      <w:tblPr>
        <w:tblLayout w:type="fixed"/>
        <w:tblInd w:w="2260" w:type="dxa"/>
        <w:tblCellMar>
          <w:top w:w="0" w:type="dxa"/>
          <w:left w:w="0" w:type="dxa"/>
          <w:bottom w:w="0" w:type="dxa"/>
          <w:right w:w="0" w:type="dxa"/>
        </w:tblCellMar>
      </w:tblPr>
      <w:tr>
        <w:trPr>
          <w:trHeight w:val="237"/>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4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2021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21"/>
                <w:szCs w:val="21"/>
                <w:color w:val="auto"/>
              </w:rPr>
            </w:pPr>
          </w:p>
        </w:tc>
      </w:tr>
      <w:tr>
        <w:trPr>
          <w:trHeight w:val="26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FF0FC"/>
          </w:tcPr>
          <w:p>
            <w:pPr>
              <w:spacing w:after="0"/>
              <w:rPr>
                <w:sz w:val="22"/>
                <w:szCs w:val="22"/>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21"/>
                <w:szCs w:val="21"/>
                <w:color w:val="auto"/>
              </w:rPr>
            </w:pPr>
          </w:p>
        </w:tc>
      </w:tr>
      <w:tr>
        <w:trPr>
          <w:trHeight w:val="257"/>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minimum lease payments</w:t>
            </w:r>
          </w:p>
        </w:tc>
        <w:tc>
          <w:tcPr>
            <w:tcW w:w="4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60" w:type="dxa"/>
            <w:vAlign w:val="bottom"/>
            <w:shd w:val="clear" w:color="auto" w:fill="CFF0FC"/>
          </w:tcPr>
          <w:p>
            <w:pPr>
              <w:spacing w:after="0"/>
              <w:rPr>
                <w:sz w:val="22"/>
                <w:szCs w:val="22"/>
                <w:color w:val="auto"/>
              </w:rPr>
            </w:pPr>
          </w:p>
        </w:tc>
      </w:tr>
      <w:tr>
        <w:trPr>
          <w:trHeight w:val="250"/>
        </w:trPr>
        <w:tc>
          <w:tcPr>
            <w:tcW w:w="5540" w:type="dxa"/>
            <w:vAlign w:val="bottom"/>
          </w:tcPr>
          <w:p>
            <w:pPr>
              <w:ind w:left="260"/>
              <w:spacing w:after="0"/>
              <w:rPr>
                <w:sz w:val="20"/>
                <w:szCs w:val="20"/>
                <w:color w:val="auto"/>
              </w:rPr>
            </w:pPr>
            <w:r>
              <w:rPr>
                <w:rFonts w:ascii="Arial" w:cs="Arial" w:eastAsia="Arial" w:hAnsi="Arial"/>
                <w:sz w:val="18"/>
                <w:szCs w:val="18"/>
                <w:color w:val="auto"/>
              </w:rPr>
              <w:t>Less imputed interest</w:t>
            </w:r>
          </w:p>
        </w:tc>
        <w:tc>
          <w:tcPr>
            <w:tcW w:w="4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(83 )</w:t>
            </w:r>
          </w:p>
        </w:tc>
      </w:tr>
      <w:tr>
        <w:trPr>
          <w:trHeight w:val="290"/>
        </w:trPr>
        <w:tc>
          <w:tcPr>
            <w:tcW w:w="5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lease liabilities</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87" w:lineRule="exact"/>
        <w:rPr>
          <w:sz w:val="20"/>
          <w:szCs w:val="20"/>
          <w:color w:val="auto"/>
        </w:rPr>
      </w:pPr>
    </w:p>
    <w:p>
      <w:pPr>
        <w:ind w:right="340" w:firstLine="441"/>
        <w:spacing w:after="0" w:line="293" w:lineRule="auto"/>
        <w:rPr>
          <w:sz w:val="20"/>
          <w:szCs w:val="20"/>
          <w:color w:val="auto"/>
        </w:rPr>
      </w:pPr>
      <w:r>
        <w:rPr>
          <w:rFonts w:ascii="Arial" w:cs="Arial" w:eastAsia="Arial" w:hAnsi="Arial"/>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62" w:lineRule="exact"/>
        <w:rPr>
          <w:sz w:val="20"/>
          <w:szCs w:val="20"/>
          <w:color w:val="auto"/>
        </w:rPr>
      </w:pPr>
    </w:p>
    <w:p>
      <w:pPr>
        <w:ind w:right="120" w:firstLine="441"/>
        <w:spacing w:after="0" w:line="314" w:lineRule="auto"/>
        <w:rPr>
          <w:sz w:val="20"/>
          <w:szCs w:val="20"/>
          <w:color w:val="auto"/>
        </w:rPr>
      </w:pPr>
      <w:r>
        <w:rPr>
          <w:rFonts w:ascii="Arial" w:cs="Arial" w:eastAsia="Arial" w:hAnsi="Arial"/>
          <w:sz w:val="16"/>
          <w:szCs w:val="16"/>
          <w:color w:val="auto"/>
        </w:rPr>
        <w:t>Operating lease cost was $62,000 for each of the three months ended June 30, 2021 and 2020, and $123,000 for each of the six months ended June 30, 2021 and 2020. Variable lease cost was $24,000 for each of the three months ended June 30, 2021 and 2020, and $47,000 for each of the six months ended June 30, 2021 and 2020. Short-term lease cost was $2,000 and $4,000 for the three months ended June 30, 2021 and 2020, respectively, and $4,000 and $8,000 for the six months ended June 30, 2021 and 2020, respectively. Cash payments included in operating activities on the statement of cash flows for operating lease liabilities were $194,000 and $187,000 for the six months ended June 30, 2021 and 2020,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31" w:lineRule="exact"/>
        <w:rPr>
          <w:sz w:val="20"/>
          <w:szCs w:val="20"/>
          <w:color w:val="auto"/>
        </w:rPr>
      </w:pPr>
    </w:p>
    <w:p>
      <w:pPr>
        <w:ind w:right="460" w:firstLine="441"/>
        <w:spacing w:after="0" w:line="359"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and Other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Bausch + Lomb</w:t>
      </w:r>
    </w:p>
    <w:p>
      <w:pPr>
        <w:spacing w:after="0" w:line="131" w:lineRule="exact"/>
        <w:rPr>
          <w:sz w:val="20"/>
          <w:szCs w:val="20"/>
          <w:color w:val="auto"/>
        </w:rPr>
      </w:pPr>
    </w:p>
    <w:p>
      <w:pPr>
        <w:ind w:right="320" w:firstLine="441"/>
        <w:spacing w:after="0" w:line="314" w:lineRule="auto"/>
        <w:rPr>
          <w:sz w:val="20"/>
          <w:szCs w:val="20"/>
          <w:color w:val="auto"/>
        </w:rPr>
      </w:pPr>
      <w:r>
        <w:rPr>
          <w:rFonts w:ascii="Arial" w:cs="Arial" w:eastAsia="Arial" w:hAnsi="Arial"/>
          <w:sz w:val="16"/>
          <w:szCs w:val="16"/>
          <w:color w:val="auto"/>
        </w:rPr>
        <w:t>On October 22, 2019, the Company entered into a License Agreement with Bausch + Lomb, a division of Bausch Health Companies, Inc. (“Bausch”). Pursuant to the Bausch License Agreement, the Company has granted an exclusive license to Bausch to develop, manufacture, distribute, promote, market and commercialize XIPERE using the Company’s proprietary microinjector (the “Device”), as well as specified other steroids, corticosteroids and NSAIDs in combination with the Device (“Other Products,” and together with XIPERE, the “Products”), subject to specified exceptions, in the United States and Canada (the “Original Territory”) for the treatment of ophthalmology indications, including non-infectious uveitis.</w:t>
      </w:r>
    </w:p>
    <w:p>
      <w:pPr>
        <w:spacing w:after="0" w:line="52"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On April 27, 2020, the Company and Bausch entered into an amendment to the Company’s License Agreement with Bausch dated October 22, 2019 (as amended, the “Bausch License Agreement”). Pursuant to the Bausch License Agreement, the Company has granted Bausch an exclusive option (the “Option”) to develop, manufacture, distribute, promote, market and commercialize XIPERE in one or more of the following regions: (i) the European Union, including the United Kingdom, (ii) Australia and New Zealand and (iii) South America and Mexico (such regions, the “Additional Regions” and together with the Original Territory, the “Territory”). The Option may be exercised any time before the earlier of regulatory approval of XIPERE in the United States and August 31, 2021.</w:t>
      </w:r>
    </w:p>
    <w:p>
      <w:pPr>
        <w:spacing w:after="0" w:line="83" w:lineRule="exact"/>
        <w:rPr>
          <w:sz w:val="20"/>
          <w:szCs w:val="20"/>
          <w:color w:val="auto"/>
        </w:rPr>
      </w:pPr>
    </w:p>
    <w:p>
      <w:pPr>
        <w:ind w:right="60" w:firstLine="441"/>
        <w:spacing w:after="0" w:line="306" w:lineRule="auto"/>
        <w:rPr>
          <w:sz w:val="20"/>
          <w:szCs w:val="20"/>
          <w:color w:val="auto"/>
        </w:rPr>
      </w:pPr>
      <w:r>
        <w:rPr>
          <w:rFonts w:ascii="Arial" w:cs="Arial" w:eastAsia="Arial" w:hAnsi="Arial"/>
          <w:sz w:val="16"/>
          <w:szCs w:val="16"/>
          <w:color w:val="auto"/>
        </w:rPr>
        <w:t>Pursuant to the Bausch License Agreement, Bausch made an upfront payment of $5.0 million (the “Upfront Payment”) in October 2019, which is subject to a refund if the Bausch License Agreement is terminated in specified circumstances. In addition, Bausch has agreed to make additional payments of up to $15.0 million upon the achievement of specified pre-launch development and regulatory milestones (the “Pre-Launch Milestone Payments”) and up to an aggregate of $57.3 million in additional milestone payments upon the achievement of (i) specified regulatory approvals for specified additional indications of XIPERE (including certain regulatory and commercial milestones if Bausch exercises its Option in the European Union)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Original Territory, as well as a lower royalty on annual net sales of Other Products in the Original Territory and on annual net sales of XIPERE in the Additional Regions if Bausch exercises its Option, in each case subject to reductions in specified circumstances; provided that the Company will not receive any royalties on the first $45.0 million of cumulative net sales of all products in the Original Territory.</w:t>
      </w:r>
    </w:p>
    <w:p>
      <w:pPr>
        <w:spacing w:after="0" w:line="57"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The Bausch License Agreement will expire upon expiration of the royalty terms for all Products and countries in the Territory, with each royalty term for a given Product and country ending on the latest of (i) the date of expiration of the last-to-expire valid claim of any licensed patent rights covering such Product in such country in the Territory, (ii) the date of the loss of regulatory exclusivity for such Product in such country in the Territory, or (iii) ten years from the later of the first sale of such Product in such country in the Territory. For a specified period of time, Bausch may terminate the Bausch License Agreement immediately and have the Upfront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3" w:name="page14"/>
    <w:bookmarkEnd w:id="13"/>
    <w:p>
      <w:pPr>
        <w:ind w:right="160"/>
        <w:spacing w:after="0" w:line="287" w:lineRule="auto"/>
        <w:rPr>
          <w:sz w:val="20"/>
          <w:szCs w:val="20"/>
          <w:color w:val="auto"/>
        </w:rPr>
      </w:pPr>
      <w:r>
        <w:rPr>
          <w:rFonts w:ascii="Arial" w:cs="Arial" w:eastAsia="Arial" w:hAnsi="Arial"/>
          <w:sz w:val="17"/>
          <w:szCs w:val="17"/>
          <w:color w:val="auto"/>
        </w:rPr>
        <w:t>Payment refunded if the U.S. Food and Drug Administration (the “FDA”) has not approved the Company’s New Drug Application (“NDA”) for XIPERE by August 31, 2021. Following the payment of the Pre-Launch Milestone Payments, Bausch may also terminate the Bausch License Agreement for convenience upon 180 days’ written notice. In addition, the Company can terminate the Bausch License Agreement if Bausch commences a legal action challenging the validity, enforceability or scope of any of the licensed patents. If the FDA requires an additional clinical trial prior to approving the NDA for XIPERE and the Company notifies Bausch that the Company will not conduct the trial at the Company’s expense, then Bausch may terminate the Bausch License Agreement and have the Upfront Payment refunded within 60 days of the receipt of such notice from the Company. Both parties may terminate the Bausch License Agreement (i) upon a material breach of the Bausch License Agreement, subject to a specified cure period and specified exceptions, or (ii) if the other party encounters bankruptcy or insolvency.</w:t>
      </w:r>
    </w:p>
    <w:p>
      <w:pPr>
        <w:spacing w:after="0" w:line="74" w:lineRule="exact"/>
        <w:rPr>
          <w:sz w:val="20"/>
          <w:szCs w:val="20"/>
          <w:color w:val="auto"/>
        </w:rPr>
      </w:pPr>
    </w:p>
    <w:p>
      <w:pPr>
        <w:ind w:right="20" w:firstLine="483"/>
        <w:spacing w:after="0" w:line="271" w:lineRule="auto"/>
        <w:rPr>
          <w:sz w:val="20"/>
          <w:szCs w:val="20"/>
          <w:color w:val="auto"/>
        </w:rPr>
      </w:pPr>
      <w:r>
        <w:rPr>
          <w:rFonts w:ascii="Arial" w:cs="Arial" w:eastAsia="Arial" w:hAnsi="Arial"/>
          <w:sz w:val="18"/>
          <w:szCs w:val="18"/>
          <w:color w:val="auto"/>
        </w:rPr>
        <w:t>The Company is responsible for all development expenses for XIPERE in the Original Territory until the NDA is approved by the FDA, subject to specified exceptions, as well as manufacturing costs in connection with the NDA. The Company is also responsible for all clinical and development expenses conducted to satisfy the FDA’s requests in the complete response letter issued on October 18, 2019 related to the NDA and any subsequent complete response letter related to the NDA (the “CRL-related expenses”). If XIPERE is approved by the FDA, Bausch will be responsible for all expenses following such approval; provided that the Company will be responsible for the CRL-related expenses and for one-half of the costs of any post-approval clinical trials required by the FDA, up to a specified maximum amount.</w:t>
      </w:r>
    </w:p>
    <w:p>
      <w:pPr>
        <w:spacing w:after="0" w:line="83" w:lineRule="exact"/>
        <w:rPr>
          <w:sz w:val="20"/>
          <w:szCs w:val="20"/>
          <w:color w:val="auto"/>
        </w:rPr>
      </w:pPr>
    </w:p>
    <w:p>
      <w:pPr>
        <w:ind w:firstLine="486"/>
        <w:spacing w:after="0" w:line="324" w:lineRule="auto"/>
        <w:rPr>
          <w:sz w:val="20"/>
          <w:szCs w:val="20"/>
          <w:color w:val="auto"/>
        </w:rPr>
      </w:pPr>
      <w:r>
        <w:rPr>
          <w:rFonts w:ascii="Arial" w:cs="Arial" w:eastAsia="Arial" w:hAnsi="Arial"/>
          <w:sz w:val="17"/>
          <w:szCs w:val="17"/>
          <w:color w:val="auto"/>
        </w:rPr>
        <w:t>Due to the refund provisions in the License Agreement, the upfront payment of $5.0 million received from Bausch was included on the balance sheet as deferred revenue as of June 30, 2021 and December 31, 2020 and will remain in deferred revenue until the refund provisions lapse.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Arctic Vision (Hong Kong) Limited</w:t>
      </w:r>
    </w:p>
    <w:p>
      <w:pPr>
        <w:spacing w:after="0" w:line="131" w:lineRule="exact"/>
        <w:rPr>
          <w:sz w:val="20"/>
          <w:szCs w:val="20"/>
          <w:color w:val="auto"/>
        </w:rPr>
      </w:pPr>
    </w:p>
    <w:p>
      <w:pPr>
        <w:ind w:right="20" w:firstLine="486"/>
        <w:spacing w:after="0" w:line="270" w:lineRule="auto"/>
        <w:rPr>
          <w:sz w:val="20"/>
          <w:szCs w:val="20"/>
          <w:color w:val="auto"/>
        </w:rPr>
      </w:pPr>
      <w:r>
        <w:rPr>
          <w:rFonts w:ascii="Arial" w:cs="Arial" w:eastAsia="Arial" w:hAnsi="Arial"/>
          <w:sz w:val="18"/>
          <w:szCs w:val="18"/>
          <w:color w:val="auto"/>
        </w:rPr>
        <w:t>On March 10, 2020, the Company entered into a License Agreement (the “License Agreement”) with Arctic Vision (Hong Kong) Limited (“Arctic Vision”). Pursuant to the License Agreement, the Company has granted an exclusive license to Arctic Vision to develop, distribute, promote, market and commercialize XIPERE, subject to specified exceptions, in China, Hong Kong, Macau, Taiwan and South Korea (the “Arctic Territory”). Under the terms of the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85" w:lineRule="exact"/>
        <w:rPr>
          <w:sz w:val="20"/>
          <w:szCs w:val="20"/>
          <w:color w:val="auto"/>
        </w:rPr>
      </w:pPr>
    </w:p>
    <w:p>
      <w:pPr>
        <w:ind w:right="80" w:firstLine="486"/>
        <w:spacing w:after="0" w:line="309" w:lineRule="auto"/>
        <w:rPr>
          <w:sz w:val="20"/>
          <w:szCs w:val="20"/>
          <w:color w:val="auto"/>
        </w:rPr>
      </w:pPr>
      <w:r>
        <w:rPr>
          <w:rFonts w:ascii="Arial" w:cs="Arial" w:eastAsia="Arial" w:hAnsi="Arial"/>
          <w:sz w:val="16"/>
          <w:szCs w:val="16"/>
          <w:color w:val="auto"/>
        </w:rPr>
        <w:t>Pursuant to the License Agreement, Arctic Vision paid the Company an upfront payment of $4.0 million in March 2020. In addition, Arctic Vision has agreed to pay up to $31.5 million in development milestone payments for specified events, including $4.0 million upon receipt of FDA approval of XIPERE in the United States and sales milestone payments for achievement of specified levels of net sales. Further, during the applicable royalty term, the Company will also be entitled to receive tiered royalties of ten to twelve percent of net sales based on achieving certain annual net sales thresholds in the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31" w:lineRule="exact"/>
        <w:rPr>
          <w:sz w:val="20"/>
          <w:szCs w:val="20"/>
          <w:color w:val="auto"/>
        </w:rPr>
      </w:pPr>
    </w:p>
    <w:p>
      <w:pPr>
        <w:jc w:val="both"/>
        <w:ind w:right="80" w:firstLine="486"/>
        <w:spacing w:after="0" w:line="279" w:lineRule="auto"/>
        <w:rPr>
          <w:sz w:val="20"/>
          <w:szCs w:val="20"/>
          <w:color w:val="auto"/>
        </w:rPr>
      </w:pPr>
      <w:r>
        <w:rPr>
          <w:rFonts w:ascii="Arial" w:cs="Arial" w:eastAsia="Arial" w:hAnsi="Arial"/>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35" w:lineRule="exact"/>
        <w:rPr>
          <w:sz w:val="20"/>
          <w:szCs w:val="20"/>
          <w:color w:val="auto"/>
        </w:rPr>
      </w:pPr>
    </w:p>
    <w:p>
      <w:pPr>
        <w:ind w:firstLine="441"/>
        <w:spacing w:after="0" w:line="314"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1—Unadjusted quoted prices in active, accessible markets for identical assets or liabilities.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2—Other inputs that are directly or indirectly observable in the marketplace.</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3—Unobservable inputs that are supported by little or no market activity.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ind w:right="740" w:firstLine="441"/>
        <w:spacing w:after="0" w:line="293"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jc w:val="both"/>
        <w:ind w:right="220" w:firstLine="441"/>
        <w:spacing w:after="0" w:line="319" w:lineRule="auto"/>
        <w:rPr>
          <w:sz w:val="20"/>
          <w:szCs w:val="20"/>
          <w:color w:val="auto"/>
        </w:rPr>
      </w:pPr>
      <w:r>
        <w:rPr>
          <w:rFonts w:ascii="Arial" w:cs="Arial" w:eastAsia="Arial" w:hAnsi="Arial"/>
          <w:sz w:val="16"/>
          <w:szCs w:val="16"/>
          <w:color w:val="auto"/>
        </w:rPr>
        <w:t>The Company’s material financial instruments at June 30, 2021 and December 31, 2020 consisted primarily of cash and cash equivalents and long-term debt. The fair values of cash and cash equivalents, other current assets and accounts payable approximate their respective carrying values due to the short term nature of these instruments and are classified as Level 1 in the fair value hierarchy. The fair value of long-term debt approximates the carrying value due to variable interest rates that correspond to market rates and is classified as Level 1 in the fair value hierarchy.</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were no significant transfers between Levels 1, 2 and 3 during the six months ended June 30, 2021 and the year ended December 31, 2020.</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35" w:lineRule="exact"/>
        <w:rPr>
          <w:sz w:val="20"/>
          <w:szCs w:val="20"/>
          <w:color w:val="auto"/>
        </w:rPr>
      </w:pPr>
    </w:p>
    <w:p>
      <w:pPr>
        <w:ind w:right="40" w:firstLine="441"/>
        <w:spacing w:after="0" w:line="288" w:lineRule="auto"/>
        <w:rPr>
          <w:sz w:val="20"/>
          <w:szCs w:val="20"/>
          <w:color w:val="auto"/>
        </w:rPr>
      </w:pPr>
      <w:r>
        <w:rPr>
          <w:rFonts w:ascii="Arial" w:cs="Arial" w:eastAsia="Arial" w:hAnsi="Arial"/>
          <w:sz w:val="17"/>
          <w:szCs w:val="17"/>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380" w:type="dxa"/>
            <w:vAlign w:val="bottom"/>
          </w:tcPr>
          <w:p>
            <w:pPr>
              <w:spacing w:after="0"/>
              <w:rPr>
                <w:sz w:val="17"/>
                <w:szCs w:val="17"/>
                <w:color w:val="auto"/>
              </w:rPr>
            </w:pPr>
          </w:p>
        </w:tc>
        <w:tc>
          <w:tcPr>
            <w:tcW w:w="2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Six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6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5,958,933</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5,034,701</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5,958,933</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5,034,701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20"/>
              <w:spacing w:after="0"/>
              <w:rPr>
                <w:sz w:val="20"/>
                <w:szCs w:val="20"/>
                <w:color w:val="auto"/>
              </w:rPr>
            </w:pPr>
            <w:r>
              <w:rPr>
                <w:rFonts w:ascii="Arial" w:cs="Arial" w:eastAsia="Arial" w:hAnsi="Arial"/>
                <w:sz w:val="18"/>
                <w:szCs w:val="18"/>
                <w:color w:val="auto"/>
              </w:rPr>
              <w:t>Non-vested restricted stock units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1,411,104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1,236,050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1,411,104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1,236,050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 purchase warrants</w:t>
            </w:r>
          </w:p>
        </w:tc>
        <w:tc>
          <w:tcPr>
            <w:tcW w:w="17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38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6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7,399,833</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6,300,547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7,399,833</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6,300,547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39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-725170</wp:posOffset>
            </wp:positionV>
            <wp:extent cx="16319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-725170</wp:posOffset>
            </wp:positionV>
            <wp:extent cx="24892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-725170</wp:posOffset>
            </wp:positionV>
            <wp:extent cx="15430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-725170</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Such risks and uncertainties may be amplified by the COVID-19 pandemic and its potential impact on our business and the global economy.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8" w:lineRule="exact"/>
        <w:rPr>
          <w:sz w:val="20"/>
          <w:szCs w:val="20"/>
          <w:color w:val="auto"/>
        </w:rPr>
      </w:pPr>
    </w:p>
    <w:p>
      <w:pPr>
        <w:jc w:val="both"/>
        <w:ind w:right="40" w:firstLine="509"/>
        <w:spacing w:after="0" w:line="303"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2020 appearing in our Annual Report on Form 10-K filed with the SEC on March 15,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300" w:firstLine="549"/>
        <w:spacing w:after="0" w:line="311" w:lineRule="auto"/>
        <w:rPr>
          <w:sz w:val="20"/>
          <w:szCs w:val="20"/>
          <w:color w:val="auto"/>
        </w:rPr>
      </w:pPr>
      <w:r>
        <w:rPr>
          <w:rFonts w:ascii="Arial" w:cs="Arial" w:eastAsia="Arial" w:hAnsi="Arial"/>
          <w:sz w:val="16"/>
          <w:szCs w:val="16"/>
          <w:color w:val="auto"/>
        </w:rPr>
        <w:t>We are a biopharmaceutical company dedicated to developing and delivering treatments that restore and preserve vision for people with serious back of the eye diseases. Our proprietary SCS Microinjector targeting the suprachoroidal space, or SCS, offers unique access to the macula, retina and choroid where sight-threatening disease often occurs. When fluid is injected between the choroid and sclera, the elasticity of the SCS allows the fluid to migrate and spread spherically toward the posterior regions of the eye where it is absorbed into adjacent tissue. Our proprietary microinjector is able to precisely administer drugs into the SCS utilizing a needle that is approximately one millimeter in length. This non-surgical method of administration facilitates more targeted delivery of therapeutic agents to chorioretinal structures and can be accomplished in an in-office setting.</w:t>
      </w:r>
    </w:p>
    <w:p>
      <w:pPr>
        <w:spacing w:after="0" w:line="55" w:lineRule="exact"/>
        <w:rPr>
          <w:sz w:val="20"/>
          <w:szCs w:val="20"/>
          <w:color w:val="auto"/>
        </w:rPr>
      </w:pPr>
    </w:p>
    <w:p>
      <w:pPr>
        <w:ind w:right="40" w:firstLine="549"/>
        <w:spacing w:after="0" w:line="329" w:lineRule="auto"/>
        <w:rPr>
          <w:sz w:val="20"/>
          <w:szCs w:val="20"/>
          <w:color w:val="auto"/>
        </w:rPr>
      </w:pPr>
      <w:r>
        <w:rPr>
          <w:rFonts w:ascii="Arial" w:cs="Arial" w:eastAsia="Arial" w:hAnsi="Arial"/>
          <w:sz w:val="16"/>
          <w:szCs w:val="16"/>
          <w:color w:val="auto"/>
        </w:rPr>
        <w:t>We are leveraging our SCS injection platform by building an internal research and development pipeline targeting retinal diseases and by creating external collaborations with other companies. Using our suprachoroidal injection technology in conjunction with proprietary formulations of existing drugs as well as novel therapies, we believe we have created a broad therapeutic platform for developing product candidates to treat serious eye diseases.</w:t>
      </w:r>
    </w:p>
    <w:p>
      <w:pPr>
        <w:spacing w:after="0" w:line="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172200" cy="28975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722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i w:val="1"/>
          <w:iCs w:val="1"/>
          <w:color w:val="auto"/>
        </w:rPr>
        <w:t>Internal Pipeline</w:t>
      </w:r>
    </w:p>
    <w:p>
      <w:pPr>
        <w:spacing w:after="0" w:line="13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Our first candidate, XIPERE, formerly known as CLS-TA, is a proprietary, preservative-free suspension of the corticosteroid triamcinolone acetonide, or TA, formulated for administration via suprachoroidal injection.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w:t>
      </w:r>
    </w:p>
    <w:p>
      <w:pPr>
        <w:spacing w:after="0" w:line="83"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XIPERE is being developed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 The uveitis market is expected to grow to nearly $550 million by 2024 in the United States, and over $1 billion globally.</w:t>
      </w:r>
    </w:p>
    <w:p>
      <w:pPr>
        <w:spacing w:after="0" w:line="66"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In December 2018, we submitted a New Drug Application, or NDA, for XIPERE to the Food and Drug Administration, or FDA, for the treatment of macular edema associated with uveitis. In October 2019, we received a complete response letter, or CRL, from the FDA regarding our NDA for XIPERE. The FDA did not identify any efficacy issues, and there were no requests for further clinical efficacy studies. The CRL included the FDA’s request for additional stability data, additional clarifying information on components of the manufacturing process, and reinspection of the drug product manufacturer.</w:t>
      </w:r>
    </w:p>
    <w:p>
      <w:pPr>
        <w:spacing w:after="0" w:line="48" w:lineRule="exact"/>
        <w:rPr>
          <w:sz w:val="20"/>
          <w:szCs w:val="20"/>
          <w:color w:val="auto"/>
        </w:rPr>
      </w:pPr>
    </w:p>
    <w:p>
      <w:pPr>
        <w:ind w:right="80" w:firstLine="509"/>
        <w:spacing w:after="0" w:line="292" w:lineRule="auto"/>
        <w:rPr>
          <w:sz w:val="20"/>
          <w:szCs w:val="20"/>
          <w:color w:val="auto"/>
        </w:rPr>
      </w:pPr>
      <w:r>
        <w:rPr>
          <w:rFonts w:ascii="Arial" w:cs="Arial" w:eastAsia="Arial" w:hAnsi="Arial"/>
          <w:sz w:val="17"/>
          <w:szCs w:val="17"/>
          <w:color w:val="auto"/>
        </w:rPr>
        <w:t>In August 2020, we secured a new contract manufacturing organization, or CMO, to manufacture the registration batches of XIPERE for the resubmission of our NDA, as well as to manufacture batches of XIPERE for potential commercialization after our prior CMO notified us that they were no longer willing to serve as our commercial supplier for XIPERE and that they were uncertain about being prepared for an FDA pre-approval inspection on our timeline. The new CMO generated the data requested by the FDA, and we resubmitted the XIPERE NDA in April 2021. In May 2021, the FDA accepted the resubmitted NDA and assigned a Prescription Drug User Fee Act action date of October 30, 2021.</w:t>
      </w:r>
    </w:p>
    <w:p>
      <w:pPr>
        <w:spacing w:after="0" w:line="66"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We are developing a proprietary suspension of axitinib, a tyrosine kinase inhibitor, or TKI, for suprachoroidal injection, which we refer to as CLS-AX. In our preclinical studies, administration of CLS-AX through suprachoroidal injection was well tolerated and showed durability over several months, providing us with the opportunity to potentially reduce treatment burden and address a primary need for wet age-related macular degeneration, or AMD, patients.</w:t>
      </w:r>
    </w:p>
    <w:p>
      <w:pPr>
        <w:spacing w:after="0" w:line="77"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In August 2020, we announced that the FDA had accepted our Investigational New Drug application, or IND, for CLS-AX. In January 2021, we announced that the first patients had been enrolled in our Phase 1/2a clinical trial of CLS-AX, known as OASIS. In March 2021, we completed patient dosing in Cohort 1 of OASIS and in June 2021, reported that we achieved our safety and tolerability endpoints. We began enrolling patients in Cohort 2 and expect to report data by the end of 2021.</w:t>
      </w:r>
    </w:p>
    <w:p>
      <w:pPr>
        <w:spacing w:after="0" w:line="77" w:lineRule="exact"/>
        <w:rPr>
          <w:sz w:val="20"/>
          <w:szCs w:val="20"/>
          <w:color w:val="auto"/>
        </w:rPr>
      </w:pPr>
    </w:p>
    <w:p>
      <w:pPr>
        <w:jc w:val="both"/>
        <w:ind w:right="20" w:firstLine="509"/>
        <w:spacing w:after="0" w:line="299" w:lineRule="auto"/>
        <w:rPr>
          <w:sz w:val="20"/>
          <w:szCs w:val="20"/>
          <w:color w:val="auto"/>
        </w:rPr>
      </w:pPr>
      <w:r>
        <w:rPr>
          <w:rFonts w:ascii="Arial" w:cs="Arial" w:eastAsia="Arial" w:hAnsi="Arial"/>
          <w:sz w:val="16"/>
          <w:szCs w:val="16"/>
          <w:color w:val="auto"/>
        </w:rPr>
        <w:t>We have initiated another small molecule program utilizing suprachoroidal administration of an integrin inhibitor suspension. Integrins play a role in pathologic processes, such as inflammation, angiogenesis and fibrosis. Integrin inhibition has had some recent preliminary validation in preclinical models and clinical studies of diabetic macular edema and macular degeneration conducted by others. We believe that integrin inhibition could potentially serve as primary therapy, adjunctive therapy to anti-VEGF agents or secondary therapy in refractory cases of diabetic macular edema and macular degeneration.</w:t>
      </w:r>
    </w:p>
    <w:p>
      <w:pPr>
        <w:spacing w:after="0" w:line="2"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Suprachoroidal delivery of an integrin inhibitor suspension could provide targeting, compartmentalization and durability advantages over topical or intravitreal delivery, similar to what we have observed in other preclinical studies of small molecule suspensions, such as triamcinolone acetonide and axitinib. Therefore, we are assessing ocular tolerability, distribution and pharmacokinetics of our integrin inhibitor suprachoroidal suspension in a series of preclinical studies. We expect to conclude these studies this year.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External Collaborations Pipeline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to growing our internal pipeline, we are also focused on collaborating with other companies to provide access to the suprachoroidal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space.</w:t>
      </w:r>
    </w:p>
    <w:p>
      <w:pPr>
        <w:spacing w:after="0" w:line="130"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During the second half of 2019, we entered into three license and other agreements that we believe validate and expand the reach of our suprachoroidal injection platform. In October 2019, we announced that Bausch + Lomb, a division of Bausch Health Companies, Inc., or Bausch, acquired an exclusive license for the commercialization and development of XIPERE (triamcinolone acetonide suprachoroidal injectable suspension) in the United States and Canada. In April 2020, we granted Bausch an exclusive option to develop, manufacture, distribute, promote, market and commercialize XIPERE in one or more of the following regions: (i) the European Union, including the United Kingdom, (ii) Australia and New Zealand and (iii) South America and Mexico.</w:t>
      </w:r>
    </w:p>
    <w:p>
      <w:pPr>
        <w:spacing w:after="0" w:line="83"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In October 2019, REGENXBIO Inc., or REGENXBIO, exercised its option to license our SCS Microinjector technology for in-office delivery of adeno-associated virus, or AAV,-based therapeutics to the SCS to potentially treat AMD, diabetic retinopathy and certain other conditions for which chronic anti-VEGF treatment is currently the standard of care. REGENXBIO is currently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7" w:name="page18"/>
    <w:bookmarkEnd w:id="17"/>
    <w:p>
      <w:pPr>
        <w:ind w:right="140"/>
        <w:spacing w:after="0" w:line="279" w:lineRule="auto"/>
        <w:rPr>
          <w:sz w:val="20"/>
          <w:szCs w:val="20"/>
          <w:color w:val="auto"/>
        </w:rPr>
      </w:pPr>
      <w:r>
        <w:rPr>
          <w:rFonts w:ascii="Arial" w:cs="Arial" w:eastAsia="Arial" w:hAnsi="Arial"/>
          <w:sz w:val="18"/>
          <w:szCs w:val="18"/>
          <w:color w:val="auto"/>
        </w:rPr>
        <w:t>conducting two Phase 2 clinical trials using our SCS Microinjector technology: the Phase 2 trial entitled AAVIATE for the treatment of wet AMD and a second Phase 2 trial entitled ALTITUDE for the treatment of diabetic retinopathy. REGENXBIO expects to report interim data from both clinical trials in the second half of 2021.</w:t>
      </w:r>
    </w:p>
    <w:p>
      <w:pPr>
        <w:spacing w:after="0" w:line="75"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In July 2019, Aura Biosciences, or Aura, licensed our SCS Microinjector to deliver Aura’s proprietary drug candidates into the SCS for the potential treatment of certain ocular cancers, including choroidal melanoma. Aura is currently conducting a Phase 2 clinical trial for the treatment of choroidal melanoma.</w:t>
      </w:r>
    </w:p>
    <w:p>
      <w:pPr>
        <w:spacing w:after="0" w:line="75"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In March 2020, we entered into a license agreement, or the Arctic Vision License Agreement, with Arctic Vision (Hong Kong) Limited, or Arctic Vision. Pursuant to the Arctic Vision License Agreement, we granted an exclusive license to Arctic Vision to develop, distribute, promote, market and commercialize XIPERE, subject to specified exceptions, in China, Hong Kong, Macau, Taiwan and South Korea, or the Arctic Territory. In December 2020, Arctic Vision announced approval of its IND for a Phase 3 clinical trial of XIPERE in China and they expect to begin Phase 3 clinical trials later this year.</w:t>
      </w:r>
    </w:p>
    <w:p>
      <w:pPr>
        <w:spacing w:after="0" w:line="83"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These partnerships enable us to expand the use of our suprachoroidal injection platform to other indications and geographies globally. Under these license agreements, we are eligible to receive up to an aggregate of more than $200 million in potential future development and sales milestones, as well as and royalties from net sales of covered products.</w:t>
      </w:r>
    </w:p>
    <w:p>
      <w:pPr>
        <w:spacing w:after="0" w:line="75" w:lineRule="exact"/>
        <w:rPr>
          <w:sz w:val="20"/>
          <w:szCs w:val="20"/>
          <w:color w:val="auto"/>
        </w:rPr>
      </w:pPr>
    </w:p>
    <w:p>
      <w:pPr>
        <w:ind w:right="220" w:firstLine="549"/>
        <w:spacing w:after="0" w:line="287" w:lineRule="auto"/>
        <w:rPr>
          <w:sz w:val="20"/>
          <w:szCs w:val="20"/>
          <w:color w:val="auto"/>
        </w:rPr>
      </w:pPr>
      <w:r>
        <w:rPr>
          <w:rFonts w:ascii="Arial" w:cs="Arial" w:eastAsia="Arial" w:hAnsi="Arial"/>
          <w:sz w:val="17"/>
          <w:szCs w:val="17"/>
          <w:color w:val="auto"/>
        </w:rPr>
        <w:t>We have incurred net losses since our inception. In recent years, our operations have consisted primarily of conducting preclinical studies and clinical trials, raising capital and undertaking other research and development initiatives. To date, we have not generated any revenue, other than license and other revenue, and we have primarily financed our operations through public offerings and private placements of our equity securities, issuances of convertible promissory notes and loan agreements. As of June 30, 2021, we had an accumulated deficit of $269.3 million. We recorded net losses of $6.1 million and $5.8 million for the three months ended June 30, 2021 and 2020, respectively, and net losses of $13.4 million and $8.7 million for the six months ended June 30, 2021 and 2020,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spacing w:after="0" w:line="74"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We expect to continue to incur significant and increasing operating losses at least for the next several years. We do not expect to generate significant product or license and other revenue unless and until we successfully complete necessary development of, obtain regulatory approval for and successfully commercialize one or more of our product candidates, either on our own or together with a third party. Our net losses may fluctuate significantly from quarter to quarter and year to year, depending on the timing of our clinical trials and our expenditures on other research and development activities. Our clinical trial expenses have decreased significantly following our decision to discontinue late-stage clinical trials of XIPERE for indications other than uveitis. However, we expect clinical trial expenses to increase in 2021 as a result of our Phase 1/2a clinical trial of CLS-AX. We also will continue our efforts to seek to discover, research and develop additional product candidates and seek regulatory approvals in additional regions for XIPERE for the treatment of macular edema associated with uveitis. Based on our current research and development plans and expected near-term partnership milestone payments, we expect to have sufficient resources to fund our planned operations into the second quarter of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have been actively monitoring the novel coronavirus, or COVID-19, situation and its impact globally. Our financial results for the three and six months ended June 30, 2021 were not significantly impacted by COVID-19, and we currently do not expect any material impact on our financial results for the remainder of 2021. We continue to operate normally with the exception of enabling our employees to work from home and abiding by travel restrictions issued by federal and local governments.</w:t>
      </w:r>
    </w:p>
    <w:p>
      <w:pPr>
        <w:spacing w:after="0" w:line="79" w:lineRule="exact"/>
        <w:rPr>
          <w:sz w:val="20"/>
          <w:szCs w:val="20"/>
          <w:color w:val="auto"/>
        </w:rPr>
      </w:pPr>
    </w:p>
    <w:p>
      <w:pPr>
        <w:ind w:right="80" w:firstLine="562"/>
        <w:spacing w:after="0" w:line="268" w:lineRule="auto"/>
        <w:rPr>
          <w:sz w:val="20"/>
          <w:szCs w:val="20"/>
          <w:color w:val="auto"/>
        </w:rPr>
      </w:pPr>
      <w:r>
        <w:rPr>
          <w:rFonts w:ascii="Arial" w:cs="Arial" w:eastAsia="Arial" w:hAnsi="Arial"/>
          <w:sz w:val="17"/>
          <w:szCs w:val="17"/>
          <w:color w:val="auto"/>
        </w:rPr>
        <w:t>As the COVID-19 pandemic continues, we may experience other disruptions that could severely impact our business, results of operations and prospects. The extent to which COVID-19 may impact our business, preclinical development and clinical trials will depend on future developments, which are highly uncertain and cannot be predicted, such as the duration of the outbreak, travel restrictions and social distancing in the United States and other countries, business closures or business disruptions, the effectiveness of actions taken in the United States and other countries to contain and treat the disease and the impact of new variants or mutations of the coronavirus, such as the Delta variant.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We have not generated any revenue from the sale of any drugs, and we do not expect to generate any product revenue unless or until we obtain regulatory approval of and commercialize our product candidates, either on our own or with a third party. Our revenue in recent periods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960" w:right="780"/>
        <w:spacing w:after="0" w:line="293" w:lineRule="auto"/>
        <w:rPr>
          <w:sz w:val="20"/>
          <w:szCs w:val="20"/>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nonclinical activities and development activities;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submitting regulatory approval applications for our product candidates;</w:t>
      </w:r>
    </w:p>
    <w:p>
      <w:pPr>
        <w:spacing w:after="0" w:line="131" w:lineRule="exact"/>
        <w:rPr>
          <w:sz w:val="20"/>
          <w:szCs w:val="20"/>
          <w:color w:val="auto"/>
        </w:rPr>
      </w:pPr>
    </w:p>
    <w:p>
      <w:pPr>
        <w:ind w:left="960" w:right="580"/>
        <w:spacing w:after="0" w:line="293" w:lineRule="auto"/>
        <w:rPr>
          <w:sz w:val="20"/>
          <w:szCs w:val="20"/>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technology and intellectual property licenses;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for our research and development facility;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depreciation expense for assets used in research and development activities.</w:t>
      </w:r>
    </w:p>
    <w:p>
      <w:pPr>
        <w:spacing w:after="0" w:line="239"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55" w:lineRule="exact"/>
        <w:rPr>
          <w:sz w:val="20"/>
          <w:szCs w:val="20"/>
          <w:color w:val="auto"/>
        </w:rPr>
      </w:pPr>
    </w:p>
    <w:p>
      <w:pPr>
        <w:ind w:right="480" w:firstLine="509"/>
        <w:spacing w:after="0" w:line="293" w:lineRule="auto"/>
        <w:rPr>
          <w:sz w:val="20"/>
          <w:szCs w:val="20"/>
          <w:color w:val="auto"/>
        </w:rPr>
      </w:pPr>
      <w:r>
        <w:rPr>
          <w:rFonts w:ascii="Arial" w:cs="Arial" w:eastAsia="Arial" w:hAnsi="Arial"/>
          <w:sz w:val="18"/>
          <w:szCs w:val="18"/>
          <w:color w:val="auto"/>
        </w:rPr>
        <w:t>The following table shows our research and development expenses by program for the three and six months ended June 30, 2021 and 2020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jc w:val="right"/>
              <w:ind w:right="432"/>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7"/>
                <w:szCs w:val="17"/>
                <w:color w:val="auto"/>
              </w:rPr>
            </w:pPr>
          </w:p>
        </w:tc>
      </w:tr>
      <w:tr>
        <w:trPr>
          <w:trHeight w:val="223"/>
        </w:trPr>
        <w:tc>
          <w:tcPr>
            <w:tcW w:w="4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57"/>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XIPERE (uveitis program)</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FF0FC"/>
          </w:tcPr>
          <w:p>
            <w:pPr>
              <w:spacing w:after="0"/>
              <w:rPr>
                <w:sz w:val="22"/>
                <w:szCs w:val="22"/>
                <w:color w:val="auto"/>
              </w:rPr>
            </w:pPr>
          </w:p>
        </w:tc>
      </w:tr>
      <w:tr>
        <w:trPr>
          <w:trHeight w:val="250"/>
        </w:trPr>
        <w:tc>
          <w:tcPr>
            <w:tcW w:w="4240" w:type="dxa"/>
            <w:vAlign w:val="bottom"/>
          </w:tcPr>
          <w:p>
            <w:pPr>
              <w:ind w:left="20"/>
              <w:spacing w:after="0"/>
              <w:rPr>
                <w:sz w:val="20"/>
                <w:szCs w:val="20"/>
                <w:color w:val="auto"/>
              </w:rPr>
            </w:pPr>
            <w:r>
              <w:rPr>
                <w:rFonts w:ascii="Arial" w:cs="Arial" w:eastAsia="Arial" w:hAnsi="Arial"/>
                <w:sz w:val="18"/>
                <w:szCs w:val="18"/>
                <w:color w:val="auto"/>
              </w:rPr>
              <w:t>CLS-AX (wet AMD program)</w:t>
            </w:r>
          </w:p>
        </w:tc>
        <w:tc>
          <w:tcPr>
            <w:tcW w:w="1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r>
      <w:tr>
        <w:trPr>
          <w:trHeight w:val="256"/>
        </w:trPr>
        <w:tc>
          <w:tcPr>
            <w:tcW w:w="42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4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CFF0FC"/>
          </w:tcPr>
          <w:p>
            <w:pPr>
              <w:spacing w:after="0"/>
              <w:rPr>
                <w:sz w:val="22"/>
                <w:szCs w:val="22"/>
                <w:color w:val="auto"/>
              </w:rPr>
            </w:pPr>
          </w:p>
        </w:tc>
      </w:tr>
      <w:tr>
        <w:trPr>
          <w:trHeight w:val="250"/>
        </w:trPr>
        <w:tc>
          <w:tcPr>
            <w:tcW w:w="4240" w:type="dxa"/>
            <w:vAlign w:val="bottom"/>
          </w:tcPr>
          <w:p>
            <w:pPr>
              <w:ind w:left="20"/>
              <w:spacing w:after="0"/>
              <w:rPr>
                <w:sz w:val="20"/>
                <w:szCs w:val="20"/>
                <w:color w:val="auto"/>
              </w:rPr>
            </w:pPr>
            <w:r>
              <w:rPr>
                <w:rFonts w:ascii="Arial" w:cs="Arial" w:eastAsia="Arial" w:hAnsi="Arial"/>
                <w:sz w:val="18"/>
                <w:szCs w:val="18"/>
                <w:color w:val="auto"/>
              </w:rPr>
              <w:t>Unallocated</w:t>
            </w:r>
          </w:p>
        </w:tc>
        <w:tc>
          <w:tcPr>
            <w:tcW w:w="1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1"/>
                <w:szCs w:val="21"/>
                <w:color w:val="auto"/>
              </w:rPr>
            </w:pPr>
          </w:p>
        </w:tc>
      </w:tr>
      <w:tr>
        <w:trPr>
          <w:trHeight w:val="290"/>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7,111</w:t>
            </w:r>
          </w:p>
        </w:tc>
        <w:tc>
          <w:tcPr>
            <w:tcW w:w="100" w:type="dxa"/>
            <w:vAlign w:val="bottom"/>
            <w:shd w:val="clear" w:color="auto" w:fill="CFF0FC"/>
          </w:tcPr>
          <w:p>
            <w:pPr>
              <w:spacing w:after="0"/>
              <w:rPr>
                <w:sz w:val="24"/>
                <w:szCs w:val="24"/>
                <w:color w:val="auto"/>
              </w:rPr>
            </w:pPr>
          </w:p>
        </w:tc>
      </w:tr>
      <w:tr>
        <w:trPr>
          <w:trHeight w:val="446"/>
        </w:trPr>
        <w:tc>
          <w:tcPr>
            <w:tcW w:w="424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-402590</wp:posOffset>
            </wp:positionV>
            <wp:extent cx="1714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-385445</wp:posOffset>
            </wp:positionV>
            <wp:extent cx="1714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-402590</wp:posOffset>
            </wp:positionV>
            <wp:extent cx="2571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-385445</wp:posOffset>
            </wp:positionV>
            <wp:extent cx="2571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-402590</wp:posOffset>
            </wp:positionV>
            <wp:extent cx="154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-385445</wp:posOffset>
            </wp:positionV>
            <wp:extent cx="1543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ind w:right="80" w:firstLine="509"/>
        <w:spacing w:after="0" w:line="292" w:lineRule="auto"/>
        <w:rPr>
          <w:sz w:val="20"/>
          <w:szCs w:val="20"/>
          <w:color w:val="auto"/>
        </w:rPr>
      </w:pPr>
      <w:r>
        <w:rPr>
          <w:rFonts w:ascii="Arial" w:cs="Arial" w:eastAsia="Arial" w:hAnsi="Arial"/>
          <w:sz w:val="17"/>
          <w:szCs w:val="17"/>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66"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66"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may include, among others:</w:t>
      </w:r>
    </w:p>
    <w:p>
      <w:pPr>
        <w:spacing w:after="0" w:line="62" w:lineRule="exact"/>
        <w:rPr>
          <w:sz w:val="20"/>
          <w:szCs w:val="20"/>
          <w:color w:val="auto"/>
        </w:rPr>
      </w:pPr>
    </w:p>
    <w:p>
      <w:pPr>
        <w:ind w:left="960" w:right="280"/>
        <w:spacing w:after="0" w:line="293" w:lineRule="auto"/>
        <w:rPr>
          <w:sz w:val="20"/>
          <w:szCs w:val="20"/>
          <w:color w:val="auto"/>
        </w:rPr>
      </w:pPr>
      <w:r>
        <w:rPr>
          <w:rFonts w:ascii="Arial" w:cs="Arial" w:eastAsia="Arial" w:hAnsi="Arial"/>
          <w:sz w:val="18"/>
          <w:szCs w:val="18"/>
          <w:color w:val="auto"/>
        </w:rPr>
        <w:t>the costs associated with process development, scale-up and manufacturing of XIPERE and the SCS Microinjector in support of filings for regulatory approval;</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trials required for approval and any requirement for extension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 patient trial costs;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patients that participate in the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sites included in the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countries in which the trials are conducted;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length of time required to enroll eligible patients;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doses that patients receive;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potential impact of the COVID-19 pandemic on the enrollment in, and timing of, our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drop-out or discontinuation rates of patients;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potential additional safety monitoring or other studies requested by regulatory agencies;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duration of patient follow-up;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efficacy and safety profiles of the product candidates.</w:t>
      </w:r>
    </w:p>
    <w:p>
      <w:pPr>
        <w:spacing w:after="0" w:line="131" w:lineRule="exact"/>
        <w:rPr>
          <w:sz w:val="20"/>
          <w:szCs w:val="20"/>
          <w:color w:val="auto"/>
        </w:rPr>
      </w:pPr>
    </w:p>
    <w:p>
      <w:pPr>
        <w:ind w:right="60" w:firstLine="509"/>
        <w:spacing w:after="0" w:line="303"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right="220" w:firstLine="509"/>
        <w:spacing w:after="0" w:line="275"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31"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Other income consists of the gain on the extinguishment of the PPP Loan and accrued interest and interest income earned on our cash and cash equivalents and short-term investments. Interest income is not considered significant to our financial statements.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consists of interest expense incurred under our loan agreements.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5"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0" w:name="page21"/>
    <w:bookmarkEnd w:id="20"/>
    <w:p>
      <w:pPr>
        <w:ind w:right="60"/>
        <w:spacing w:after="0" w:line="272" w:lineRule="auto"/>
        <w:rPr>
          <w:sz w:val="20"/>
          <w:szCs w:val="20"/>
          <w:color w:val="auto"/>
        </w:rPr>
      </w:pPr>
      <w:r>
        <w:rPr>
          <w:rFonts w:ascii="Arial" w:cs="Arial" w:eastAsia="Arial" w:hAnsi="Arial"/>
          <w:sz w:val="18"/>
          <w:szCs w:val="18"/>
          <w:color w:val="auto"/>
        </w:rPr>
        <w:t>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3"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six months ended June 30, 2021, there were no significant changes to our critical accounting policies disclosed in our audited financial statements for the year ended December 31, 2020, which are included in our Annual Report on Form 10-K, as filed with the SEC on March 15,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2021 and 2020</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June 30, 2021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180" w:type="dxa"/>
            <w:vAlign w:val="bottom"/>
            <w:gridSpan w:val="6"/>
          </w:tcPr>
          <w:p>
            <w:pPr>
              <w:jc w:val="right"/>
              <w:ind w:right="9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66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7"/>
              </w:rPr>
              <w:t>Period-to-Period</w:t>
            </w:r>
          </w:p>
        </w:tc>
      </w:tr>
      <w:tr>
        <w:trPr>
          <w:trHeight w:val="223"/>
        </w:trPr>
        <w:tc>
          <w:tcPr>
            <w:tcW w:w="6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Change</w:t>
            </w:r>
          </w:p>
        </w:tc>
      </w:tr>
      <w:tr>
        <w:trPr>
          <w:trHeight w:val="220"/>
        </w:trPr>
        <w:tc>
          <w:tcPr>
            <w:tcW w:w="6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87"/>
              </w:rPr>
              <w:t>(in thousands)</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and other revenue</w:t>
            </w: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8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23"/>
                <w:szCs w:val="23"/>
                <w:color w:val="auto"/>
              </w:rPr>
            </w:pP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FF0FC"/>
          </w:tcPr>
          <w:p>
            <w:pPr>
              <w:spacing w:after="0"/>
              <w:rPr>
                <w:sz w:val="22"/>
                <w:szCs w:val="22"/>
                <w:color w:val="auto"/>
              </w:rPr>
            </w:pPr>
          </w:p>
        </w:tc>
      </w:tr>
      <w:tr>
        <w:trPr>
          <w:trHeight w:val="250"/>
        </w:trPr>
        <w:tc>
          <w:tcPr>
            <w:tcW w:w="66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r>
      <w:tr>
        <w:trPr>
          <w:trHeight w:val="250"/>
        </w:trPr>
        <w:tc>
          <w:tcPr>
            <w:tcW w:w="6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6,876</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(6,096 )</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(5,557 )</w:t>
            </w:r>
          </w:p>
        </w:tc>
        <w:tc>
          <w:tcPr>
            <w:tcW w:w="24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(539 )</w:t>
            </w:r>
          </w:p>
        </w:tc>
      </w:tr>
      <w:tr>
        <w:trPr>
          <w:trHeight w:val="26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2"/>
                <w:szCs w:val="22"/>
                <w:color w:val="auto"/>
              </w:rPr>
            </w:pP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(197 )</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86"/>
              </w:rPr>
              <w:t>(6,095 )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(5,754 )</w:t>
            </w: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-690880</wp:posOffset>
            </wp:positionV>
            <wp:extent cx="17970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-690880</wp:posOffset>
            </wp:positionV>
            <wp:extent cx="16256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1797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1797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1625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1625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In the three months ended June, 2021 and 2020, we recognized $0.8 million and $0.2 million, respectively, of revenue associated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agreements. License revenue for the three months ended June 30, 2021 was primarily a result of a milestone payment received from Arctic.</w:t>
      </w:r>
    </w:p>
    <w:p>
      <w:pPr>
        <w:spacing w:after="0" w:line="16"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by $0.8 million, from $3.3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to $4.1 million for the three months ended June 30, 2021. This increase was due to a $0.5 million increase in employee related costs and a $0.1 million increase in costs for the for CLS-AX program, including costs for OASIS, a Phase 1/2a clinical trial of CLS-AX. In addition, the prior year included a research and development tax credit of $0.5 million. These increases were partially offset by $0.3 million decrease in costs in our other programs.</w:t>
      </w:r>
    </w:p>
    <w:p>
      <w:pPr>
        <w:spacing w:after="0" w:line="93" w:lineRule="exact"/>
        <w:rPr>
          <w:sz w:val="20"/>
          <w:szCs w:val="20"/>
          <w:color w:val="auto"/>
        </w:rPr>
      </w:pPr>
    </w:p>
    <w:p>
      <w:pPr>
        <w:ind w:right="140" w:firstLine="509"/>
        <w:spacing w:after="0" w:line="324"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increased by $0.2 million, from $2.6 million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2020 to $2.8 million for the three months ended June 30, 2021. This was primarily attributable to an increase in employee related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2021 and 2020</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six months ended June 30, 2021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5"/>
          </w:tcPr>
          <w:p>
            <w:pPr>
              <w:jc w:val="right"/>
              <w:ind w:right="108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39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7"/>
              </w:rPr>
              <w:t>Period-to-Period</w:t>
            </w:r>
          </w:p>
        </w:tc>
      </w:tr>
      <w:tr>
        <w:trPr>
          <w:trHeight w:val="223"/>
        </w:trPr>
        <w:tc>
          <w:tcPr>
            <w:tcW w:w="39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Change</w:t>
            </w:r>
          </w:p>
        </w:tc>
      </w:tr>
      <w:tr>
        <w:trPr>
          <w:trHeight w:val="220"/>
        </w:trPr>
        <w:tc>
          <w:tcPr>
            <w:tcW w:w="39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87"/>
              </w:rPr>
              <w:t>(in thousands)</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and other revenue</w:t>
            </w:r>
          </w:p>
        </w:tc>
        <w:tc>
          <w:tcPr>
            <w:tcW w:w="30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w:t>
            </w:r>
          </w:p>
        </w:tc>
        <w:tc>
          <w:tcPr>
            <w:tcW w:w="26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(3,637 )</w:t>
            </w: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27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7,111</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FF0FC"/>
          </w:tcPr>
          <w:p>
            <w:pPr>
              <w:spacing w:after="0"/>
              <w:rPr>
                <w:sz w:val="22"/>
                <w:szCs w:val="22"/>
                <w:color w:val="auto"/>
              </w:rPr>
            </w:pPr>
          </w:p>
        </w:tc>
      </w:tr>
      <w:tr>
        <w:trPr>
          <w:trHeight w:val="250"/>
        </w:trPr>
        <w:tc>
          <w:tcPr>
            <w:tcW w:w="39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5,733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r>
      <w:tr>
        <w:trPr>
          <w:trHeight w:val="250"/>
        </w:trPr>
        <w:tc>
          <w:tcPr>
            <w:tcW w:w="39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7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12,844</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(14,445 )</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(8,393 )</w:t>
            </w:r>
          </w:p>
        </w:tc>
        <w:tc>
          <w:tcPr>
            <w:tcW w:w="24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(6,052 )</w:t>
            </w:r>
          </w:p>
        </w:tc>
      </w:tr>
      <w:tr>
        <w:trPr>
          <w:trHeight w:val="26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27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(272 )</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r>
      <w:tr>
        <w:trPr>
          <w:trHeight w:val="20"/>
        </w:trPr>
        <w:tc>
          <w:tcPr>
            <w:tcW w:w="3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72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(13,446 )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(8,665 )</w:t>
            </w: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(4,781 )</w:t>
            </w:r>
          </w:p>
        </w:tc>
      </w:tr>
      <w:tr>
        <w:trPr>
          <w:trHeight w:val="446"/>
        </w:trPr>
        <w:tc>
          <w:tcPr>
            <w:tcW w:w="3920" w:type="dxa"/>
            <w:vAlign w:val="bottom"/>
            <w:tcBorders>
              <w:top w:val="single" w:sz="8" w:color="CFF0FC"/>
            </w:tcBorders>
          </w:tcPr>
          <w:p>
            <w:pPr>
              <w:spacing w:after="0"/>
              <w:rPr>
                <w:sz w:val="24"/>
                <w:szCs w:val="24"/>
                <w:color w:val="auto"/>
              </w:rPr>
            </w:pPr>
          </w:p>
        </w:tc>
        <w:tc>
          <w:tcPr>
            <w:tcW w:w="2720" w:type="dxa"/>
            <w:vAlign w:val="bottom"/>
            <w:tcBorders>
              <w:top w:val="single" w:sz="8" w:color="CFF0FC"/>
            </w:tcBorders>
          </w:tcPr>
          <w:p>
            <w:pPr>
              <w:jc w:val="right"/>
              <w:ind w:right="830"/>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-1068070</wp:posOffset>
            </wp:positionV>
            <wp:extent cx="17970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-1068070</wp:posOffset>
            </wp:positionV>
            <wp:extent cx="16256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-1068070</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-402590</wp:posOffset>
            </wp:positionV>
            <wp:extent cx="1797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-385445</wp:posOffset>
            </wp:positionV>
            <wp:extent cx="1797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-402590</wp:posOffset>
            </wp:positionV>
            <wp:extent cx="1625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-385445</wp:posOffset>
            </wp:positionV>
            <wp:extent cx="1625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right="20" w:firstLine="509"/>
        <w:spacing w:after="0" w:line="26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six months ended June 30, 2021 and 2020, we recognized $0.8 million and $4.5 million, respectively, of revenue associated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agreements. License revenue for the six months ended June 30, 2021 and 2020 was primarily a result of milestone payments of $0.8 million and $4.0 million, respectively, received from Arctic.</w:t>
      </w:r>
    </w:p>
    <w:p>
      <w:pPr>
        <w:spacing w:after="0" w:line="7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by $2.4 million, from $7.1 million for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to $9.6 million for the six months ended June 30, 2021. This increase was primarily due to a $1.8 million increase in costs for the for CLS-AX program, including costs for OASIS, a Phase 1/2a clinical trial of CLS-AX, and costs related drug manufacturing for XIPERE. In addition, employee related costs increased $0.8 million during the same period.</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remained relatively the same for the six months ended June 30, 2021 and 2020 .</w:t>
      </w:r>
    </w:p>
    <w:p>
      <w:pPr>
        <w:spacing w:after="0" w:line="140"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for the six months ended June 30, 2021 was primarily comprised of the gain on the extinguishment of debt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forgiveness of the PPP Loan and accrued interest.</w:t>
      </w:r>
    </w:p>
    <w:p>
      <w:pPr>
        <w:spacing w:after="0" w:line="76" w:lineRule="exact"/>
        <w:rPr>
          <w:sz w:val="20"/>
          <w:szCs w:val="20"/>
          <w:color w:val="auto"/>
        </w:rPr>
      </w:pPr>
    </w:p>
    <w:p>
      <w:pPr>
        <w:ind w:right="700" w:firstLine="509"/>
        <w:spacing w:after="0" w:line="293"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Other expense for the six months ended June 30, 2020 primarily consisted of interest on long-term debt, the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costs, the accretion of warrants and the final payment related to our prior loan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right="60" w:firstLine="509"/>
        <w:spacing w:after="0" w:line="329" w:lineRule="auto"/>
        <w:rPr>
          <w:sz w:val="20"/>
          <w:szCs w:val="20"/>
          <w:color w:val="auto"/>
        </w:rPr>
      </w:pPr>
      <w:r>
        <w:rPr>
          <w:rFonts w:ascii="Arial" w:cs="Arial" w:eastAsia="Arial" w:hAnsi="Arial"/>
          <w:sz w:val="16"/>
          <w:szCs w:val="16"/>
          <w:color w:val="auto"/>
        </w:rPr>
        <w:t>We have funded our operations primarily through the proceeds of public offerings of our common stock, sales of convertible preferred stock and the issuance of long-term debt. As of June 30, 2021, we had cash and cash equivalents of $26.4 million. We invest any cash in excess of our immediate requirements primarily with a view to liquidity and capital preservation. As of June 30, 2021, our funds were held in cash and money market funds.</w:t>
      </w:r>
    </w:p>
    <w:p>
      <w:pPr>
        <w:spacing w:after="0" w:line="40"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In April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w:t>
      </w:r>
    </w:p>
    <w:p>
      <w:pPr>
        <w:spacing w:after="0" w:line="2" w:lineRule="exact"/>
        <w:rPr>
          <w:sz w:val="20"/>
          <w:szCs w:val="20"/>
          <w:color w:val="auto"/>
        </w:rPr>
      </w:pPr>
    </w:p>
    <w:p>
      <w:pPr>
        <w:ind w:right="140" w:firstLine="8"/>
        <w:spacing w:after="0" w:line="358" w:lineRule="auto"/>
        <w:tabs>
          <w:tab w:leader="none" w:pos="345"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a mechanism for forgiveness of up to the full amount borrowed. On January 11, 2021, we received notification from Silicon Valley Bank that the PPP loan was forgiven in full, including approximately $7,000 of accrued interest.</w:t>
      </w:r>
    </w:p>
    <w:p>
      <w:pPr>
        <w:spacing w:after="0" w:line="1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In March 2020, we entered into the Arctic License Agreement, pursuant to which Arctic Vision has agreed to pay us up to a total of $35.5 million. This amount includes an upfront payment of $4.0 million, which we received in March 2020, as well as an aggregate of up to $31.5 million in potential development milestone payments for specified events, including $4.0 million upon regulatory approval of XIPERE in the United States and potential sales milestone payments for achievement of specified levels of net sales. Further, during the applicable royalty term, we will also be entitled to receive tiered royalties of 10-12% of net sales in the Arctic Territory, subject to customary reductions.</w:t>
      </w:r>
    </w:p>
    <w:p>
      <w:pPr>
        <w:spacing w:after="0" w:line="83" w:lineRule="exact"/>
        <w:rPr>
          <w:sz w:val="20"/>
          <w:szCs w:val="20"/>
          <w:color w:val="auto"/>
        </w:rPr>
      </w:pPr>
    </w:p>
    <w:p>
      <w:pPr>
        <w:ind w:right="340" w:firstLine="509"/>
        <w:spacing w:after="0" w:line="279" w:lineRule="auto"/>
        <w:rPr>
          <w:sz w:val="20"/>
          <w:szCs w:val="20"/>
          <w:color w:val="auto"/>
        </w:rPr>
      </w:pPr>
      <w:r>
        <w:rPr>
          <w:rFonts w:ascii="Arial" w:cs="Arial" w:eastAsia="Arial" w:hAnsi="Arial"/>
          <w:sz w:val="18"/>
          <w:szCs w:val="18"/>
          <w:color w:val="auto"/>
        </w:rPr>
        <w:t>In October 2019, we announced that Bausch acquired an exclusive license for the commercialization and development of XIPERE in the United States and Canada. In connection with this license Bausch has agreed to make additional payments of up to $15.0 million upon the achievement of specified pre-launch development and regulatory milestones.</w:t>
      </w:r>
    </w:p>
    <w:p>
      <w:pPr>
        <w:spacing w:after="0" w:line="75" w:lineRule="exact"/>
        <w:rPr>
          <w:sz w:val="20"/>
          <w:szCs w:val="20"/>
          <w:color w:val="auto"/>
        </w:rPr>
      </w:pPr>
    </w:p>
    <w:p>
      <w:pPr>
        <w:ind w:right="280" w:firstLine="509"/>
        <w:spacing w:after="0" w:line="292" w:lineRule="auto"/>
        <w:rPr>
          <w:sz w:val="20"/>
          <w:szCs w:val="20"/>
          <w:color w:val="auto"/>
        </w:rPr>
      </w:pPr>
      <w:r>
        <w:rPr>
          <w:rFonts w:ascii="Arial" w:cs="Arial" w:eastAsia="Arial" w:hAnsi="Arial"/>
          <w:sz w:val="17"/>
          <w:szCs w:val="17"/>
          <w:color w:val="auto"/>
        </w:rPr>
        <w:t>We have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During the six months ended June 30, 2021, we sold 2.6 million shares of our common stock for net proceeds of $10.3 million under the ATM agreement. As of June 30, 2021, there was $16.4 million available for sales of our common stock under the ATM agreement. Subsequent to June 30, 2021, we sold 0.3 million shares of our common stock for net proceeds of $1.9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ongoing costs related to our NDA submission for XIPERE, research and development costs to build our product candidate pipeline, legal and other regulatory expenses and general overhead costs.</w:t>
      </w:r>
    </w:p>
    <w:p>
      <w:pPr>
        <w:spacing w:after="0" w:line="75"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successful enrollment in, and completion of,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receipt of marketing approvals from applicable regulatory authorities;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2" w:name="page23"/>
    <w:bookmarkEnd w:id="22"/>
    <w:p>
      <w:pPr>
        <w:ind w:left="960" w:right="1720"/>
        <w:spacing w:after="0" w:line="440" w:lineRule="auto"/>
        <w:rPr>
          <w:sz w:val="20"/>
          <w:szCs w:val="20"/>
          <w:color w:val="auto"/>
        </w:rPr>
      </w:pPr>
      <w:r>
        <w:rPr>
          <w:rFonts w:ascii="Arial" w:cs="Arial" w:eastAsia="Arial" w:hAnsi="Arial"/>
          <w:sz w:val="16"/>
          <w:szCs w:val="16"/>
          <w:color w:val="auto"/>
        </w:rPr>
        <w:t>establishing commercial manufacturing capabilities or making arrangements with third-party manufacturers; obtaining and maintaining patent and trade secret protection and regulatory exclusivity for our product candidates; and launching commercial sales of the products, if and when approved, whether alone or in collaboration with others.</w:t>
      </w:r>
    </w:p>
    <w:p>
      <w:pPr>
        <w:spacing w:after="0" w:line="1"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70"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68" w:lineRule="exact"/>
        <w:rPr>
          <w:sz w:val="20"/>
          <w:szCs w:val="20"/>
          <w:color w:val="auto"/>
        </w:rPr>
      </w:pPr>
    </w:p>
    <w:p>
      <w:pPr>
        <w:jc w:val="both"/>
        <w:ind w:right="600" w:firstLine="509"/>
        <w:spacing w:after="0" w:line="279" w:lineRule="auto"/>
        <w:rPr>
          <w:sz w:val="20"/>
          <w:szCs w:val="20"/>
          <w:color w:val="auto"/>
        </w:rPr>
      </w:pPr>
      <w:r>
        <w:rPr>
          <w:rFonts w:ascii="Arial" w:cs="Arial" w:eastAsia="Arial" w:hAnsi="Arial"/>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3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We have suffered recurring losses and negative cash flows from operations since inception and anticipate incurring additional losses until such time, if ever, that we can obtain FDA approval to market and then generate significant milestone payments and royalties from XIPERE and other licensing arrangements or revenues from other product candidates. We will need additional financing to fund our operations. These conditions raise substantial doubt about our ability to continue as a going concern within one year after the date of this report. Our plans primarily consist of raising additional capital, potentially in a combination of equity or debt financings or restructurings, or potentially entering into additional collaborations, partnerships and other strategic arrangements.</w:t>
      </w:r>
    </w:p>
    <w:p>
      <w:pPr>
        <w:spacing w:after="0" w:line="83" w:lineRule="exact"/>
        <w:rPr>
          <w:sz w:val="20"/>
          <w:szCs w:val="20"/>
          <w:color w:val="auto"/>
        </w:rPr>
      </w:pPr>
    </w:p>
    <w:p>
      <w:pPr>
        <w:ind w:right="80" w:firstLine="509"/>
        <w:spacing w:after="0" w:line="292" w:lineRule="auto"/>
        <w:rPr>
          <w:sz w:val="20"/>
          <w:szCs w:val="20"/>
          <w:color w:val="auto"/>
        </w:rPr>
      </w:pPr>
      <w:r>
        <w:rPr>
          <w:rFonts w:ascii="Arial" w:cs="Arial" w:eastAsia="Arial" w:hAnsi="Arial"/>
          <w:sz w:val="17"/>
          <w:szCs w:val="17"/>
          <w:color w:val="auto"/>
        </w:rPr>
        <w:t>Based on our current plans and forecasted expenses, we expect that our cash and cash equivalents as of the filing date, August 10, 2021, will enable us to fund our planned operating expenses and capital expenditure requirements into the second quarter of 2022. This estimate does not give effect to additional development milestone payments we might receive under the agreements with Bausch, REGENXBIO or Arctic Vision, or in connection with any other potential license or collaboration agreement for XIPERE or any future product candidates. We have based this estimate on assumptions that may prove to be wrong, and we could exhaust our capital resources sooner than we expect.</w:t>
      </w:r>
    </w:p>
    <w:p>
      <w:pPr>
        <w:spacing w:after="0" w:line="66"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 .</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131" w:lineRule="exact"/>
        <w:rPr>
          <w:sz w:val="20"/>
          <w:szCs w:val="20"/>
          <w:color w:val="auto"/>
        </w:rPr>
      </w:pPr>
    </w:p>
    <w:p>
      <w:pPr>
        <w:jc w:val="center"/>
        <w:ind w:left="76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7600"/>
        <w:spacing w:after="0"/>
        <w:rPr>
          <w:sz w:val="20"/>
          <w:szCs w:val="20"/>
          <w:color w:val="auto"/>
        </w:rPr>
      </w:pPr>
      <w:r>
        <w:rPr>
          <w:rFonts w:ascii="Arial" w:cs="Arial" w:eastAsia="Arial" w:hAnsi="Arial"/>
          <w:sz w:val="16"/>
          <w:szCs w:val="16"/>
          <w:b w:val="1"/>
          <w:bCs w:val="1"/>
          <w:color w:val="auto"/>
        </w:rPr>
        <w:t>June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(12,509 )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(6,023 )</w:t>
            </w: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(55 )</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21,536</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(1,446 )</w:t>
            </w: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98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9,027</w:t>
            </w:r>
          </w:p>
        </w:tc>
        <w:tc>
          <w:tcPr>
            <w:tcW w:w="30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(7,524 )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1885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885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During the six months ended June 30, 2021 and 2020, our operating activities used net cash of $12.5 million and $6.0 million, respectively. The use of cash in each period primarily resulted from our net losses. The increase in net loss to $13.4 million for the six months ended June 30, 2021 as compared to $8.7 million for the six months ended June 30, 2020 was primarily attributable to higher research and development expenses related to the preclinical and clinical CLS-AX program in the six months ended June 30, 2021 and the receipt of $4.0 million in license revenue in the six months ended June 30, 2020.</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2020, our net cash used in investing activities was $55,000, due to the purchase of equipment.</w:t>
      </w:r>
    </w:p>
    <w:p>
      <w:pPr>
        <w:spacing w:after="0" w:line="131"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During the six months ended June 30, 2021 our net cash provided by financing activities was $21.5 million. This primarily consisted of $11.1 million of net proceeds from the sale of shares of our common stock in a registered direct offering and $10.3 million of net proceeds from the sale of shares of our common stock under the ATM agreement. During the six months ended June 30, 2020, our net cash used in financing activities consisted of payment of $5.3 million under our credit facility, partially offset by $2.8 million of net proceeds from the sale of shares of our common stock under the ATM agreement and $1.0 million of proceeds from the PPP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83"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right="40"/>
        <w:spacing w:after="0" w:line="293" w:lineRule="auto"/>
        <w:rPr>
          <w:sz w:val="20"/>
          <w:szCs w:val="20"/>
          <w:color w:val="auto"/>
        </w:rPr>
      </w:pPr>
      <w:r>
        <w:rPr>
          <w:rFonts w:ascii="Arial" w:cs="Arial" w:eastAsia="Arial" w:hAnsi="Arial"/>
          <w:sz w:val="18"/>
          <w:szCs w:val="18"/>
          <w:color w:val="auto"/>
        </w:rPr>
        <w:t>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62"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There has been no change in our internal control over financial reporting during the quarter ended June 30, 2021 that has materially affected, or is reasonably likely to materially affect, our internal control over financial reporting. We have not experienced any material impact to our internal control over financial reporting. However, we continue to monitor and assess the potential impact of the COVID-19 pandemic on our control environment.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60" w:firstLine="509"/>
        <w:spacing w:after="0" w:line="314" w:lineRule="auto"/>
        <w:rPr>
          <w:sz w:val="20"/>
          <w:szCs w:val="20"/>
          <w:color w:val="auto"/>
        </w:rPr>
      </w:pPr>
      <w:r>
        <w:rPr>
          <w:rFonts w:ascii="Arial" w:cs="Arial" w:eastAsia="Arial" w:hAnsi="Arial"/>
          <w:sz w:val="16"/>
          <w:szCs w:val="16"/>
          <w:color w:val="auto"/>
        </w:rPr>
        <w:t>Our business is subject to risks and events that, if they occur, could adversely affect our financial condition and results of operations and the trading price of our securities. These risks could be amplified by the COVID-19 pandemic and its potential impact on the global economy generally and our business and industry in particular. In addition to the other information set forth in this quarterly report on Form 10-Q, you should carefully consider the factors described below and in “Part I, Item 1A. Risk Factors” of our Annual Report on Form 10-K for the fiscal year ended December 31, 2020, filed with the Securities and Exchange Commission on March 15, 2021. There have been no material changes to the risk factors described in that report.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ind w:left="52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5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3"/>
              </w:rPr>
              <w:t>Item 6. Exhibits</w:t>
            </w: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7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365"/>
        </w:trPr>
        <w:tc>
          <w:tcPr>
            <w:tcW w:w="1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80" w:type="dxa"/>
            <w:vAlign w:val="bottom"/>
            <w:tcBorders>
              <w:top w:val="single" w:sz="8" w:color="auto"/>
              <w:bottom w:val="single" w:sz="8" w:color="0000FF"/>
            </w:tcBorders>
            <w:gridSpan w:val="7"/>
          </w:tcPr>
          <w:p>
            <w:pPr>
              <w:spacing w:after="0"/>
              <w:rPr>
                <w:rFonts w:ascii="Arial" w:cs="Arial" w:eastAsia="Arial" w:hAnsi="Arial"/>
                <w:sz w:val="18"/>
                <w:szCs w:val="18"/>
                <w:color w:val="0000FF"/>
                <w:w w:val="90"/>
              </w:rPr>
            </w:pPr>
            <w:hyperlink r:id="rId192">
              <w:r>
                <w:rPr>
                  <w:rFonts w:ascii="Arial" w:cs="Arial" w:eastAsia="Arial" w:hAnsi="Arial"/>
                  <w:sz w:val="18"/>
                  <w:szCs w:val="18"/>
                  <w:color w:val="0000FF"/>
                  <w:w w:val="90"/>
                </w:rPr>
                <w:t>Amended and Restated Certificate of Incorporation (incorporated herein by reference to Exhibit 3.1 to the Registrant’s Current Report on</w:t>
              </w:r>
            </w:hyperlink>
          </w:p>
        </w:tc>
        <w:tc>
          <w:tcPr>
            <w:tcW w:w="80" w:type="dxa"/>
            <w:vAlign w:val="bottom"/>
            <w:tcBorders>
              <w:top w:val="single" w:sz="8" w:color="auto"/>
            </w:tcBorders>
            <w:gridSpan w:val="2"/>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tcBorders>
              <w:bottom w:val="single" w:sz="8" w:color="0000FF"/>
            </w:tcBorders>
            <w:gridSpan w:val="2"/>
          </w:tcPr>
          <w:p>
            <w:pPr>
              <w:spacing w:after="0"/>
              <w:rPr>
                <w:rFonts w:ascii="Arial" w:cs="Arial" w:eastAsia="Arial" w:hAnsi="Arial"/>
                <w:sz w:val="18"/>
                <w:szCs w:val="18"/>
                <w:color w:val="0000FF"/>
                <w:w w:val="91"/>
              </w:rPr>
            </w:pPr>
            <w:hyperlink r:id="rId192">
              <w:r>
                <w:rPr>
                  <w:rFonts w:ascii="Arial" w:cs="Arial" w:eastAsia="Arial" w:hAnsi="Arial"/>
                  <w:sz w:val="18"/>
                  <w:szCs w:val="18"/>
                  <w:color w:val="0000FF"/>
                  <w:w w:val="91"/>
                </w:rPr>
                <w:t>Form 8-K (File No. 001-37783) filed with the SEC on June 7, 2016).</w:t>
              </w:r>
            </w:hyperlink>
          </w:p>
        </w:tc>
        <w:tc>
          <w:tcPr>
            <w:tcW w:w="20" w:type="dxa"/>
            <w:vAlign w:val="bottom"/>
            <w:tcBorders>
              <w:bottom w:val="single" w:sz="8" w:color="0000EE"/>
            </w:tcBorders>
          </w:tcPr>
          <w:p>
            <w:pPr>
              <w:spacing w:after="0"/>
              <w:rPr>
                <w:sz w:val="18"/>
                <w:szCs w:val="18"/>
                <w:color w:val="auto"/>
              </w:rPr>
            </w:pPr>
          </w:p>
        </w:tc>
        <w:tc>
          <w:tcPr>
            <w:tcW w:w="4980" w:type="dxa"/>
            <w:vAlign w:val="bottom"/>
            <w:gridSpan w:val="6"/>
          </w:tcPr>
          <w:p>
            <w:pPr>
              <w:spacing w:after="0"/>
              <w:rPr>
                <w:sz w:val="18"/>
                <w:szCs w:val="18"/>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8"/>
          </w:tcPr>
          <w:p>
            <w:pPr>
              <w:spacing w:after="0"/>
              <w:rPr>
                <w:rFonts w:ascii="Arial" w:cs="Arial" w:eastAsia="Arial" w:hAnsi="Arial"/>
                <w:sz w:val="18"/>
                <w:szCs w:val="18"/>
                <w:color w:val="0000FF"/>
                <w:w w:val="91"/>
              </w:rPr>
            </w:pPr>
            <w:hyperlink r:id="rId193">
              <w:r>
                <w:rPr>
                  <w:rFonts w:ascii="Arial" w:cs="Arial" w:eastAsia="Arial" w:hAnsi="Arial"/>
                  <w:sz w:val="18"/>
                  <w:szCs w:val="18"/>
                  <w:color w:val="0000FF"/>
                  <w:w w:val="91"/>
                </w:rPr>
                <w:t>Amended and Restated Bylaws (incorporated herein by reference to Exhibit 3.2 to the Registrant’s Current Report on Form 8-K (File No.</w:t>
              </w:r>
            </w:hyperlink>
          </w:p>
        </w:tc>
        <w:tc>
          <w:tcPr>
            <w:tcW w:w="6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9"/>
          </w:tcPr>
          <w:p>
            <w:pPr>
              <w:spacing w:after="0"/>
              <w:rPr>
                <w:rFonts w:ascii="Arial" w:cs="Arial" w:eastAsia="Arial" w:hAnsi="Arial"/>
                <w:sz w:val="18"/>
                <w:szCs w:val="18"/>
                <w:color w:val="0000FF"/>
              </w:rPr>
            </w:pPr>
            <w:hyperlink r:id="rId193">
              <w:r>
                <w:rPr>
                  <w:rFonts w:ascii="Arial" w:cs="Arial" w:eastAsia="Arial" w:hAnsi="Arial"/>
                  <w:sz w:val="18"/>
                  <w:szCs w:val="18"/>
                  <w:color w:val="0000FF"/>
                </w:rPr>
                <w:t>001-37783) filed with the SEC on June 7, 2016).</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tcBorders>
              <w:right w:val="single" w:sz="8" w:color="0000EE"/>
            </w:tcBorders>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Certification of Principal Executive Officer under Section 302 of the Sarbanes-Oxley Act.</w:t>
              </w:r>
            </w:hyperlink>
          </w:p>
        </w:tc>
        <w:tc>
          <w:tcPr>
            <w:tcW w:w="3480" w:type="dxa"/>
            <w:vAlign w:val="bottom"/>
            <w:gridSpan w:val="4"/>
          </w:tcPr>
          <w:p>
            <w:pPr>
              <w:spacing w:after="0"/>
              <w:rPr>
                <w:sz w:val="24"/>
                <w:szCs w:val="24"/>
                <w:color w:val="auto"/>
              </w:rPr>
            </w:pPr>
          </w:p>
        </w:tc>
      </w:tr>
      <w:tr>
        <w:trPr>
          <w:trHeight w:val="399"/>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Certification of Principal Financial Officer under Section 302 of the Sarbanes-Oxley Act.</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40" w:type="dxa"/>
            <w:vAlign w:val="bottom"/>
            <w:tcBorders>
              <w:right w:val="single" w:sz="8" w:color="0000EE"/>
            </w:tcBorders>
            <w:gridSpan w:val="4"/>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98"/>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Certifications of Principal Executive Officer and Principal Financial Officer under Section 906 of the Sarbanes-Oxley Act.</w:t>
              </w:r>
            </w:hyperlink>
          </w:p>
        </w:tc>
      </w:tr>
      <w:tr>
        <w:trPr>
          <w:trHeight w:val="43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8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Inline XBRL Instance Document</w:t>
            </w:r>
          </w:p>
        </w:tc>
        <w:tc>
          <w:tcPr>
            <w:tcW w:w="1140" w:type="dxa"/>
            <w:vAlign w:val="bottom"/>
            <w:gridSpan w:val="3"/>
          </w:tcPr>
          <w:p>
            <w:pPr>
              <w:spacing w:after="0"/>
              <w:rPr>
                <w:sz w:val="24"/>
                <w:szCs w:val="24"/>
                <w:color w:val="auto"/>
              </w:rPr>
            </w:pPr>
          </w:p>
        </w:tc>
      </w:tr>
      <w:tr>
        <w:trPr>
          <w:trHeight w:val="418"/>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1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18"/>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18"/>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1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73" w:lineRule="exact"/>
        <w:rPr>
          <w:sz w:val="20"/>
          <w:szCs w:val="20"/>
          <w:color w:val="auto"/>
        </w:rPr>
      </w:pPr>
    </w:p>
    <w:p>
      <w:pPr>
        <w:ind w:left="1280" w:hanging="1259"/>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6"/>
          <w:szCs w:val="16"/>
          <w:color w:val="auto"/>
        </w:rPr>
        <w:t>Cover Page Interactive Data File (formatted as inline XBRL and contained in Exhibit 101)</w:t>
      </w:r>
    </w:p>
    <w:p>
      <w:pPr>
        <w:spacing w:after="0" w:line="2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520" w:right="560" w:hanging="512"/>
        <w:spacing w:after="0" w:line="329" w:lineRule="auto"/>
        <w:tabs>
          <w:tab w:leader="none" w:pos="23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9512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320" w:top="364" w:right="779" w:bottom="1440" w:gutter="0" w:footer="0" w:header="0"/>
        </w:sect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10, 2021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29210</wp:posOffset>
            </wp:positionV>
            <wp:extent cx="25717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6060" w:space="720"/>
            <w:col w:w="900" w:space="720"/>
            <w:col w:w="2400"/>
          </w:cols>
          <w:pgMar w:left="320" w:top="364" w:right="779" w:bottom="1440" w:gutter="0" w:footer="0" w:header="0"/>
          <w:type w:val="continuous"/>
        </w:sectPr>
      </w:pPr>
    </w:p>
    <w:p>
      <w:pPr>
        <w:jc w:val="center"/>
        <w:ind w:left="7180"/>
        <w:spacing w:after="0"/>
        <w:rPr>
          <w:sz w:val="20"/>
          <w:szCs w:val="20"/>
          <w:color w:val="auto"/>
        </w:rPr>
      </w:pPr>
      <w:r>
        <w:rPr>
          <w:rFonts w:ascii="Arial" w:cs="Arial" w:eastAsia="Arial" w:hAnsi="Arial"/>
          <w:sz w:val="18"/>
          <w:szCs w:val="18"/>
          <w:color w:val="auto"/>
        </w:rPr>
        <w:t>Charles A. Deignan</w:t>
      </w:r>
    </w:p>
    <w:p>
      <w:pPr>
        <w:spacing w:after="0" w:line="36"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94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George Lasezkay, certify that:</w:t>
      </w:r>
    </w:p>
    <w:p>
      <w:pPr>
        <w:spacing w:after="0" w:line="131"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Clearside Biomedical, Inc. (the “registrant”);</w:t>
      </w:r>
    </w:p>
    <w:p>
      <w:pPr>
        <w:spacing w:after="0" w:line="130"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1"/>
        <w:spacing w:after="0" w:line="279"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60" w:hanging="441"/>
        <w:spacing w:after="0" w:line="359" w:lineRule="auto"/>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60" w:hanging="441"/>
        <w:spacing w:after="0" w:line="279"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4" w:lineRule="exact"/>
        <w:rPr>
          <w:rFonts w:ascii="Arial" w:cs="Arial" w:eastAsia="Arial" w:hAnsi="Arial"/>
          <w:sz w:val="18"/>
          <w:szCs w:val="18"/>
          <w:color w:val="auto"/>
        </w:rPr>
      </w:pPr>
    </w:p>
    <w:p>
      <w:pPr>
        <w:ind w:left="420" w:right="60" w:hanging="411"/>
        <w:spacing w:after="0" w:line="324" w:lineRule="auto"/>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1"/>
        <w:spacing w:after="0" w:line="293"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pacing w:after="0" w:line="26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George Lasezkay, Pharm. D., J.D.</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31"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Clearside Biomedical, Inc. (the “registrant”);</w:t>
      </w:r>
    </w:p>
    <w:p>
      <w:pPr>
        <w:spacing w:after="0" w:line="130"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1"/>
        <w:spacing w:after="0" w:line="279"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60" w:hanging="441"/>
        <w:spacing w:after="0" w:line="359" w:lineRule="auto"/>
        <w:tabs>
          <w:tab w:leader="none" w:pos="9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60" w:hanging="441"/>
        <w:spacing w:after="0" w:line="279"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4"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1"/>
        <w:spacing w:after="0" w:line="293"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Charles A. Deignan</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77" w:lineRule="exact"/>
        <w:rPr>
          <w:sz w:val="20"/>
          <w:szCs w:val="20"/>
          <w:color w:val="auto"/>
        </w:rPr>
      </w:pPr>
    </w:p>
    <w:p>
      <w:pPr>
        <w:ind w:left="440" w:right="520" w:hanging="432"/>
        <w:spacing w:after="0" w:line="324"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2021, to which this Certification is attached as Exhibit 32.1 (the “Periodic Report”), fully complies with the requirements of Section 13(a) or Section 15(d) of the Exchange Act; and</w:t>
      </w:r>
    </w:p>
    <w:p>
      <w:pPr>
        <w:spacing w:after="0" w:line="39" w:lineRule="exact"/>
        <w:rPr>
          <w:rFonts w:ascii="Arial" w:cs="Arial" w:eastAsia="Arial" w:hAnsi="Arial"/>
          <w:sz w:val="17"/>
          <w:szCs w:val="17"/>
          <w:color w:val="auto"/>
        </w:rPr>
      </w:pPr>
    </w:p>
    <w:p>
      <w:pPr>
        <w:ind w:left="440" w:right="480" w:hanging="432"/>
        <w:spacing w:after="0" w:line="293"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10th day of August,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Lasezkay, Pharm. D., J.D.</w:t>
            </w:r>
          </w:p>
        </w:tc>
        <w:tc>
          <w:tcPr>
            <w:tcW w:w="2260" w:type="dxa"/>
            <w:vAlign w:val="bottom"/>
          </w:tcPr>
          <w:p>
            <w:pPr>
              <w:spacing w:after="0"/>
              <w:rPr>
                <w:sz w:val="20"/>
                <w:szCs w:val="20"/>
                <w:color w:val="auto"/>
              </w:rPr>
            </w:pP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A. Deignan</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George Lasezkay, Pharm. D., J.D.</w:t>
            </w:r>
          </w:p>
        </w:tc>
        <w:tc>
          <w:tcPr>
            <w:tcW w:w="226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Charles A. Deignan</w:t>
            </w:r>
          </w:p>
        </w:tc>
      </w:tr>
      <w:tr>
        <w:trPr>
          <w:trHeight w:val="256"/>
        </w:trPr>
        <w:tc>
          <w:tcPr>
            <w:tcW w:w="4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226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83" w:lineRule="exact"/>
        <w:rPr>
          <w:sz w:val="20"/>
          <w:szCs w:val="20"/>
          <w:color w:val="auto"/>
        </w:rPr>
      </w:pPr>
    </w:p>
    <w:p>
      <w:pPr>
        <w:ind w:left="520" w:right="100" w:hanging="512"/>
        <w:spacing w:after="0" w:line="303" w:lineRule="auto"/>
        <w:tabs>
          <w:tab w:leader="none" w:pos="14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68"/>
    </w:lvl>
  </w:abstractNum>
  <w:abstractNum w:abstractNumId="3">
    <w:nsid w:val="2EB141F2"/>
    <w:multiLevelType w:val="hybridMultilevel"/>
    <w:lvl w:ilvl="0">
      <w:lvlJc w:val="left"/>
      <w:lvlText w:val="*"/>
      <w:numFmt w:val="bullet"/>
      <w:start w:val="1"/>
    </w:lvl>
    <w:lvl w:ilvl="1">
      <w:lvlJc w:val="left"/>
      <w:lvlText w:val="%2"/>
      <w:numFmt w:val="decimal"/>
      <w:start w:val="104"/>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192" Type="http://schemas.openxmlformats.org/officeDocument/2006/relationships/hyperlink" Target="https://www.sec.gov/Archives/edgar/data/1539029/000119312516615374/d208521dex31.htm" TargetMode="External"/><Relationship Id="rId193" Type="http://schemas.openxmlformats.org/officeDocument/2006/relationships/hyperlink" Target="https://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2021-08-10T16:00:14Z</dcterms:created>
  <dcterms:modified xsi:type="dcterms:W3CDTF">2021-08-10T16:00:14Z</dcterms:modified>
</cp:coreProperties>
</file>