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89535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00" w:right="1720" w:hanging="3892"/>
        <w:spacing w:after="0" w:line="345"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256" w:lineRule="exact"/>
        <w:rPr>
          <w:sz w:val="24"/>
          <w:szCs w:val="24"/>
          <w:color w:val="auto"/>
        </w:rPr>
      </w:pPr>
    </w:p>
    <w:p>
      <w:pPr>
        <w:ind w:left="4280" w:right="1720" w:hanging="4272"/>
        <w:spacing w:after="0" w:line="360" w:lineRule="auto"/>
        <w:tabs>
          <w:tab w:leader="none" w:pos="51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-4445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Clearside Biomedical, Inc.</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2"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6360" w:type="dxa"/>
            <w:vAlign w:val="bottom"/>
          </w:tcPr>
          <w:p>
            <w:pPr>
              <w:jc w:val="center"/>
              <w:ind w:right="3516"/>
              <w:spacing w:after="0"/>
              <w:rPr>
                <w:sz w:val="20"/>
                <w:szCs w:val="20"/>
                <w:color w:val="auto"/>
              </w:rPr>
            </w:pPr>
            <w:r>
              <w:rPr>
                <w:rFonts w:ascii="Arial" w:cs="Arial" w:eastAsia="Arial" w:hAnsi="Arial"/>
                <w:sz w:val="18"/>
                <w:szCs w:val="18"/>
                <w:b w:val="1"/>
                <w:bCs w:val="1"/>
                <w:color w:val="auto"/>
                <w:w w:val="91"/>
              </w:rPr>
              <w:t>Delaware</w:t>
            </w:r>
          </w:p>
        </w:tc>
        <w:tc>
          <w:tcPr>
            <w:tcW w:w="1300" w:type="dxa"/>
            <w:vAlign w:val="bottom"/>
          </w:tcPr>
          <w:p>
            <w:pPr>
              <w:jc w:val="right"/>
              <w:ind w:right="61"/>
              <w:spacing w:after="0"/>
              <w:rPr>
                <w:sz w:val="20"/>
                <w:szCs w:val="20"/>
                <w:color w:val="auto"/>
              </w:rPr>
            </w:pPr>
            <w:r>
              <w:rPr>
                <w:rFonts w:ascii="Arial" w:cs="Arial" w:eastAsia="Arial" w:hAnsi="Arial"/>
                <w:sz w:val="18"/>
                <w:szCs w:val="18"/>
                <w:b w:val="1"/>
                <w:bCs w:val="1"/>
                <w:color w:val="auto"/>
              </w:rPr>
              <w:t>45-2437375</w:t>
            </w:r>
          </w:p>
        </w:tc>
      </w:tr>
      <w:tr>
        <w:trPr>
          <w:trHeight w:val="149"/>
        </w:trPr>
        <w:tc>
          <w:tcPr>
            <w:tcW w:w="6360" w:type="dxa"/>
            <w:vAlign w:val="bottom"/>
          </w:tcPr>
          <w:p>
            <w:pPr>
              <w:jc w:val="center"/>
              <w:ind w:right="351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0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60" w:type="dxa"/>
            <w:vAlign w:val="bottom"/>
          </w:tcPr>
          <w:p>
            <w:pPr>
              <w:jc w:val="center"/>
              <w:ind w:right="3516"/>
              <w:spacing w:after="0"/>
              <w:rPr>
                <w:sz w:val="20"/>
                <w:szCs w:val="20"/>
                <w:color w:val="auto"/>
              </w:rPr>
            </w:pPr>
            <w:r>
              <w:rPr>
                <w:rFonts w:ascii="Arial" w:cs="Arial" w:eastAsia="Arial" w:hAnsi="Arial"/>
                <w:sz w:val="14"/>
                <w:szCs w:val="14"/>
                <w:b w:val="1"/>
                <w:bCs w:val="1"/>
                <w:color w:val="auto"/>
                <w:w w:val="94"/>
              </w:rPr>
              <w:t>incorporation or organization)</w:t>
            </w:r>
          </w:p>
        </w:tc>
        <w:tc>
          <w:tcPr>
            <w:tcW w:w="130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6360" w:type="dxa"/>
            <w:vAlign w:val="bottom"/>
          </w:tcPr>
          <w:p>
            <w:pPr>
              <w:jc w:val="center"/>
              <w:ind w:right="3516"/>
              <w:spacing w:after="0"/>
              <w:rPr>
                <w:sz w:val="20"/>
                <w:szCs w:val="20"/>
                <w:color w:val="auto"/>
              </w:rPr>
            </w:pPr>
            <w:r>
              <w:rPr>
                <w:rFonts w:ascii="Arial" w:cs="Arial" w:eastAsia="Arial" w:hAnsi="Arial"/>
                <w:sz w:val="18"/>
                <w:szCs w:val="18"/>
                <w:b w:val="1"/>
                <w:bCs w:val="1"/>
                <w:color w:val="auto"/>
                <w:w w:val="91"/>
              </w:rPr>
              <w:t>900 North Point Parkway, Suite 200</w:t>
            </w:r>
          </w:p>
        </w:tc>
        <w:tc>
          <w:tcPr>
            <w:tcW w:w="1300" w:type="dxa"/>
            <w:vAlign w:val="bottom"/>
          </w:tcPr>
          <w:p>
            <w:pPr>
              <w:spacing w:after="0"/>
              <w:rPr>
                <w:sz w:val="24"/>
                <w:szCs w:val="24"/>
                <w:color w:val="auto"/>
              </w:rPr>
            </w:pPr>
          </w:p>
        </w:tc>
      </w:tr>
      <w:tr>
        <w:trPr>
          <w:trHeight w:val="212"/>
        </w:trPr>
        <w:tc>
          <w:tcPr>
            <w:tcW w:w="6360" w:type="dxa"/>
            <w:vAlign w:val="bottom"/>
          </w:tcPr>
          <w:p>
            <w:pPr>
              <w:jc w:val="center"/>
              <w:ind w:right="3516"/>
              <w:spacing w:after="0"/>
              <w:rPr>
                <w:sz w:val="20"/>
                <w:szCs w:val="20"/>
                <w:color w:val="auto"/>
              </w:rPr>
            </w:pPr>
            <w:r>
              <w:rPr>
                <w:rFonts w:ascii="Arial" w:cs="Arial" w:eastAsia="Arial" w:hAnsi="Arial"/>
                <w:sz w:val="18"/>
                <w:szCs w:val="18"/>
                <w:b w:val="1"/>
                <w:bCs w:val="1"/>
                <w:color w:val="auto"/>
                <w:w w:val="95"/>
              </w:rPr>
              <w:t>Alpharetta, GA</w:t>
            </w:r>
          </w:p>
        </w:tc>
        <w:tc>
          <w:tcPr>
            <w:tcW w:w="1300" w:type="dxa"/>
            <w:vAlign w:val="bottom"/>
          </w:tcPr>
          <w:p>
            <w:pPr>
              <w:jc w:val="right"/>
              <w:ind w:right="261"/>
              <w:spacing w:after="0"/>
              <w:rPr>
                <w:sz w:val="20"/>
                <w:szCs w:val="20"/>
                <w:color w:val="auto"/>
              </w:rPr>
            </w:pPr>
            <w:r>
              <w:rPr>
                <w:rFonts w:ascii="Arial" w:cs="Arial" w:eastAsia="Arial" w:hAnsi="Arial"/>
                <w:sz w:val="18"/>
                <w:szCs w:val="18"/>
                <w:b w:val="1"/>
                <w:bCs w:val="1"/>
                <w:color w:val="auto"/>
              </w:rPr>
              <w:t>30005</w:t>
            </w:r>
          </w:p>
        </w:tc>
      </w:tr>
      <w:tr>
        <w:trPr>
          <w:trHeight w:val="186"/>
        </w:trPr>
        <w:tc>
          <w:tcPr>
            <w:tcW w:w="6360" w:type="dxa"/>
            <w:vAlign w:val="bottom"/>
          </w:tcPr>
          <w:p>
            <w:pPr>
              <w:jc w:val="center"/>
              <w:ind w:right="349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81"/>
              <w:spacing w:after="0"/>
              <w:rPr>
                <w:sz w:val="20"/>
                <w:szCs w:val="20"/>
                <w:color w:val="auto"/>
              </w:rPr>
            </w:pPr>
            <w:r>
              <w:rPr>
                <w:rFonts w:ascii="Arial" w:cs="Arial" w:eastAsia="Arial" w:hAnsi="Arial"/>
                <w:sz w:val="14"/>
                <w:szCs w:val="14"/>
                <w:b w:val="1"/>
                <w:bCs w:val="1"/>
                <w:color w:val="auto"/>
                <w:w w:val="95"/>
              </w:rPr>
              <w:t>(Zip Code)</w:t>
            </w:r>
          </w:p>
        </w:tc>
      </w:tr>
      <w:tr>
        <w:trPr>
          <w:trHeight w:val="269"/>
        </w:trPr>
        <w:tc>
          <w:tcPr>
            <w:tcW w:w="6360" w:type="dxa"/>
            <w:vAlign w:val="bottom"/>
          </w:tcPr>
          <w:p>
            <w:pPr>
              <w:jc w:val="center"/>
              <w:ind w:left="2036"/>
              <w:spacing w:after="0"/>
              <w:rPr>
                <w:sz w:val="20"/>
                <w:szCs w:val="20"/>
                <w:color w:val="auto"/>
              </w:rPr>
            </w:pPr>
            <w:r>
              <w:rPr>
                <w:rFonts w:ascii="Arial" w:cs="Arial" w:eastAsia="Arial" w:hAnsi="Arial"/>
                <w:sz w:val="18"/>
                <w:szCs w:val="18"/>
                <w:b w:val="1"/>
                <w:bCs w:val="1"/>
                <w:color w:val="auto"/>
                <w:w w:val="90"/>
              </w:rPr>
              <w:t>(678) 270-3631</w:t>
            </w:r>
          </w:p>
        </w:tc>
        <w:tc>
          <w:tcPr>
            <w:tcW w:w="1300" w:type="dxa"/>
            <w:vAlign w:val="bottom"/>
          </w:tcPr>
          <w:p>
            <w:pPr>
              <w:spacing w:after="0"/>
              <w:rPr>
                <w:sz w:val="23"/>
                <w:szCs w:val="23"/>
                <w:color w:val="auto"/>
              </w:rPr>
            </w:pPr>
          </w:p>
        </w:tc>
      </w:tr>
      <w:tr>
        <w:trPr>
          <w:trHeight w:val="297"/>
        </w:trPr>
        <w:tc>
          <w:tcPr>
            <w:tcW w:w="6360" w:type="dxa"/>
            <w:vAlign w:val="bottom"/>
          </w:tcPr>
          <w:p>
            <w:pPr>
              <w:jc w:val="center"/>
              <w:ind w:left="2016"/>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300" w:type="dxa"/>
            <w:vAlign w:val="bottom"/>
          </w:tcPr>
          <w:p>
            <w:pPr>
              <w:spacing w:after="0"/>
              <w:rPr>
                <w:sz w:val="24"/>
                <w:szCs w:val="24"/>
                <w:color w:val="auto"/>
              </w:rPr>
            </w:pPr>
          </w:p>
        </w:tc>
      </w:tr>
      <w:tr>
        <w:trPr>
          <w:trHeight w:val="284"/>
        </w:trPr>
        <w:tc>
          <w:tcPr>
            <w:tcW w:w="6360" w:type="dxa"/>
            <w:vAlign w:val="bottom"/>
          </w:tcPr>
          <w:p>
            <w:pPr>
              <w:jc w:val="center"/>
              <w:ind w:left="2016"/>
              <w:spacing w:after="0"/>
              <w:rPr>
                <w:sz w:val="20"/>
                <w:szCs w:val="20"/>
                <w:color w:val="auto"/>
              </w:rPr>
            </w:pPr>
            <w:r>
              <w:rPr>
                <w:rFonts w:ascii="Arial" w:cs="Arial" w:eastAsia="Arial" w:hAnsi="Arial"/>
                <w:sz w:val="18"/>
                <w:szCs w:val="18"/>
                <w:b w:val="1"/>
                <w:bCs w:val="1"/>
                <w:color w:val="auto"/>
                <w:w w:val="96"/>
              </w:rPr>
              <w:t>N/A</w:t>
            </w:r>
          </w:p>
        </w:tc>
        <w:tc>
          <w:tcPr>
            <w:tcW w:w="1300" w:type="dxa"/>
            <w:vAlign w:val="bottom"/>
          </w:tcPr>
          <w:p>
            <w:pPr>
              <w:spacing w:after="0"/>
              <w:rPr>
                <w:sz w:val="24"/>
                <w:szCs w:val="24"/>
                <w:color w:val="auto"/>
              </w:rPr>
            </w:pPr>
          </w:p>
        </w:tc>
      </w:tr>
    </w:tbl>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1" w:lineRule="exact"/>
        <w:rPr>
          <w:sz w:val="24"/>
          <w:szCs w:val="24"/>
          <w:color w:val="auto"/>
        </w:rPr>
      </w:pPr>
    </w:p>
    <w:p>
      <w:pPr>
        <w:ind w:right="16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2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6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2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60" w:type="dxa"/>
            <w:vAlign w:val="bottom"/>
          </w:tcPr>
          <w:p>
            <w:pPr>
              <w:ind w:left="292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00"/>
          </w:cols>
          <w:pgMar w:left="240" w:top="233" w:right="259" w:bottom="1440" w:gutter="0" w:footer="0" w:header="0"/>
        </w:sectPr>
      </w:pPr>
    </w:p>
    <w:p>
      <w:pPr>
        <w:spacing w:after="0" w:line="90" w:lineRule="exact"/>
        <w:rPr>
          <w:sz w:val="24"/>
          <w:szCs w:val="24"/>
          <w:color w:val="auto"/>
        </w:rPr>
      </w:pPr>
    </w:p>
    <w:p>
      <w:pPr>
        <w:jc w:val="center"/>
        <w:ind w:left="22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CLSD</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The Nasdaq Stock Market LLC</w:t>
      </w:r>
    </w:p>
    <w:p>
      <w:pPr>
        <w:spacing w:after="0" w:line="143" w:lineRule="exact"/>
        <w:rPr>
          <w:sz w:val="24"/>
          <w:szCs w:val="24"/>
          <w:color w:val="auto"/>
        </w:rPr>
      </w:pPr>
    </w:p>
    <w:p>
      <w:pPr>
        <w:sectPr>
          <w:pgSz w:w="11900" w:h="16838" w:orient="portrait"/>
          <w:cols w:equalWidth="0" w:num="3">
            <w:col w:w="4100" w:space="720"/>
            <w:col w:w="2020" w:space="720"/>
            <w:col w:w="3840"/>
          </w:cols>
          <w:pgMar w:left="240" w:top="233" w:right="25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May 6, 2019, the registrant had 37,595,551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171450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40" w:type="dxa"/>
            <w:vAlign w:val="bottom"/>
            <w:gridSpan w:val="8"/>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460" w:type="dxa"/>
            <w:vAlign w:val="bottom"/>
            <w:gridSpan w:val="3"/>
            <w:vMerge w:val="restart"/>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40" w:type="dxa"/>
            <w:vAlign w:val="bottom"/>
            <w:tcBorders>
              <w:bottom w:val="single" w:sz="8" w:color="0000EE"/>
            </w:tcBorders>
            <w:gridSpan w:val="8"/>
            <w:vMerge w:val="continue"/>
          </w:tcPr>
          <w:p>
            <w:pPr>
              <w:spacing w:after="0"/>
              <w:rPr>
                <w:sz w:val="15"/>
                <w:szCs w:val="15"/>
                <w:color w:val="auto"/>
              </w:rPr>
            </w:pPr>
          </w:p>
        </w:tc>
        <w:tc>
          <w:tcPr>
            <w:tcW w:w="34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540" w:type="dxa"/>
            <w:vAlign w:val="bottom"/>
            <w:gridSpan w:val="14"/>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Balance Sheets as of March 31, 2019 (unaudited) and December 31, 2018</w:t>
              </w:r>
            </w:hyperlink>
          </w:p>
        </w:tc>
        <w:tc>
          <w:tcPr>
            <w:tcW w:w="474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5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Operations for the three months ended March 31, 2019 and 2018 (unaudited)</w:t>
              </w:r>
            </w:hyperlink>
          </w:p>
        </w:tc>
        <w:tc>
          <w:tcPr>
            <w:tcW w:w="348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Stockholders’ Equity for the three months ended March 31, 2019 and 2018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00" w:type="dxa"/>
            <w:vAlign w:val="bottom"/>
            <w:tcBorders>
              <w:top w:val="single" w:sz="8" w:color="0000EE"/>
            </w:tcBorders>
            <w:gridSpan w:val="17"/>
          </w:tcPr>
          <w:p>
            <w:pPr>
              <w:spacing w:after="0" w:line="19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Statements of Cash Flows for the three months ended March 31, 2019 and 2018 (unaudited)</w:t>
              </w:r>
            </w:hyperlink>
          </w:p>
        </w:tc>
        <w:tc>
          <w:tcPr>
            <w:tcW w:w="27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Financial Statements</w:t>
              </w:r>
            </w:hyperlink>
          </w:p>
        </w:tc>
        <w:tc>
          <w:tcPr>
            <w:tcW w:w="344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060" w:type="dxa"/>
            <w:vAlign w:val="bottom"/>
            <w:gridSpan w:val="1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60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10"/>
          </w:tcPr>
          <w:p>
            <w:pPr>
              <w:jc w:val="center"/>
              <w:ind w:right="3620"/>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 OTHER INFORMATION</w:t>
              </w:r>
            </w:hyperlink>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620" w:type="dxa"/>
            <w:vAlign w:val="bottom"/>
            <w:gridSpan w:val="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2820" w:type="dxa"/>
            <w:vAlign w:val="bottom"/>
            <w:tcBorders>
              <w:top w:val="single" w:sz="8" w:color="0000EE"/>
            </w:tcBorders>
            <w:gridSpan w:val="4"/>
          </w:tcPr>
          <w:p>
            <w:pPr>
              <w:spacing w:after="0"/>
              <w:rPr>
                <w:sz w:val="18"/>
                <w:szCs w:val="18"/>
                <w:color w:val="auto"/>
              </w:rPr>
            </w:pPr>
          </w:p>
        </w:tc>
        <w:tc>
          <w:tcPr>
            <w:tcW w:w="3620" w:type="dxa"/>
            <w:vAlign w:val="bottom"/>
            <w:gridSpan w:val="6"/>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17"/>
                <w:szCs w:val="17"/>
                <w:color w:val="auto"/>
              </w:rPr>
            </w:pPr>
          </w:p>
        </w:tc>
        <w:tc>
          <w:tcPr>
            <w:tcW w:w="872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Unregistered Sales of Equity Securities and Use of Proceeds</w:t>
              </w:r>
            </w:hyperlink>
          </w:p>
        </w:tc>
        <w:tc>
          <w:tcPr>
            <w:tcW w:w="570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06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8"/>
        </w:trPr>
        <w:tc>
          <w:tcPr>
            <w:tcW w:w="7640" w:type="dxa"/>
            <w:vAlign w:val="bottom"/>
          </w:tcPr>
          <w:p>
            <w:pPr>
              <w:jc w:val="center"/>
              <w:ind w:left="3710"/>
              <w:spacing w:after="0"/>
              <w:rPr>
                <w:sz w:val="20"/>
                <w:szCs w:val="20"/>
                <w:color w:val="auto"/>
              </w:rPr>
            </w:pPr>
            <w:r>
              <w:rPr>
                <w:rFonts w:ascii="Arial" w:cs="Arial" w:eastAsia="Arial" w:hAnsi="Arial"/>
                <w:sz w:val="18"/>
                <w:szCs w:val="18"/>
                <w:b w:val="1"/>
                <w:bCs w:val="1"/>
                <w:color w:val="auto"/>
              </w:rPr>
              <w:t>CLEARSIDE BIOMEDICAL, INC.</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7640" w:type="dxa"/>
            <w:vAlign w:val="bottom"/>
          </w:tcPr>
          <w:p>
            <w:pPr>
              <w:jc w:val="center"/>
              <w:ind w:left="3690"/>
              <w:spacing w:after="0"/>
              <w:rPr>
                <w:sz w:val="20"/>
                <w:szCs w:val="20"/>
                <w:color w:val="auto"/>
              </w:rPr>
            </w:pPr>
            <w:r>
              <w:rPr>
                <w:rFonts w:ascii="Arial" w:cs="Arial" w:eastAsia="Arial" w:hAnsi="Arial"/>
                <w:sz w:val="18"/>
                <w:szCs w:val="18"/>
                <w:b w:val="1"/>
                <w:bCs w:val="1"/>
                <w:color w:val="auto"/>
                <w:w w:val="85"/>
              </w:rPr>
              <w:t>Balance Sheets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640" w:type="dxa"/>
            <w:vAlign w:val="bottom"/>
          </w:tcPr>
          <w:p>
            <w:pPr>
              <w:jc w:val="center"/>
              <w:ind w:left="3710"/>
              <w:spacing w:after="0"/>
              <w:rPr>
                <w:sz w:val="20"/>
                <w:szCs w:val="20"/>
                <w:color w:val="auto"/>
              </w:rPr>
            </w:pPr>
            <w:r>
              <w:rPr>
                <w:rFonts w:ascii="Arial" w:cs="Arial" w:eastAsia="Arial" w:hAnsi="Arial"/>
                <w:sz w:val="18"/>
                <w:szCs w:val="18"/>
                <w:color w:val="auto"/>
                <w:w w:val="87"/>
              </w:rPr>
              <w:t>(in thousands, except share and per share data)</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jc w:val="center"/>
              <w:ind w:left="369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7"/>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64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32,950</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8,043</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32,835</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42,944</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r>
      <w:tr>
        <w:trPr>
          <w:trHeight w:val="263"/>
        </w:trPr>
        <w:tc>
          <w:tcPr>
            <w:tcW w:w="76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37,534</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44,120</w:t>
            </w:r>
          </w:p>
        </w:tc>
        <w:tc>
          <w:tcPr>
            <w:tcW w:w="120" w:type="dxa"/>
            <w:vAlign w:val="bottom"/>
            <w:tcBorders>
              <w:bottom w:val="single" w:sz="8" w:color="CFF0FC"/>
            </w:tcBorders>
          </w:tcPr>
          <w:p>
            <w:pPr>
              <w:spacing w:after="0"/>
              <w:rPr>
                <w:sz w:val="22"/>
                <w:szCs w:val="22"/>
                <w:color w:val="auto"/>
              </w:rPr>
            </w:pPr>
          </w:p>
        </w:tc>
      </w:tr>
      <w:tr>
        <w:trPr>
          <w:trHeight w:val="210"/>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5,258</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6,869</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rent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r>
      <w:tr>
        <w:trPr>
          <w:trHeight w:val="223"/>
        </w:trPr>
        <w:tc>
          <w:tcPr>
            <w:tcW w:w="76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10,476</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9,419</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FF0FC"/>
          </w:tcPr>
          <w:p>
            <w:pPr>
              <w:spacing w:after="0"/>
              <w:rPr>
                <w:sz w:val="19"/>
                <w:szCs w:val="19"/>
                <w:color w:val="auto"/>
              </w:rPr>
            </w:pPr>
          </w:p>
        </w:tc>
      </w:tr>
      <w:tr>
        <w:trPr>
          <w:trHeight w:val="223"/>
        </w:trPr>
        <w:tc>
          <w:tcPr>
            <w:tcW w:w="7640" w:type="dxa"/>
            <w:vAlign w:val="bottom"/>
          </w:tcPr>
          <w:p>
            <w:pPr>
              <w:ind w:left="8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20,500</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 and no shares issued</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 March 31, 2019 and December 31, 2018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40" w:type="dxa"/>
            <w:vAlign w:val="bottom"/>
          </w:tcPr>
          <w:p>
            <w:pPr>
              <w:ind w:left="260"/>
              <w:spacing w:after="0"/>
              <w:rPr>
                <w:sz w:val="20"/>
                <w:szCs w:val="20"/>
                <w:color w:val="auto"/>
              </w:rPr>
            </w:pPr>
            <w:r>
              <w:rPr>
                <w:rFonts w:ascii="Arial" w:cs="Arial" w:eastAsia="Arial" w:hAnsi="Arial"/>
                <w:sz w:val="18"/>
                <w:szCs w:val="18"/>
                <w:color w:val="auto"/>
              </w:rPr>
              <w:t>Common stock, $0.001 par value; 100,000,000 shares authorized at March 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tcPr>
          <w:p>
            <w:pPr>
              <w:ind w:left="380"/>
              <w:spacing w:after="0"/>
              <w:rPr>
                <w:sz w:val="20"/>
                <w:szCs w:val="20"/>
                <w:color w:val="auto"/>
              </w:rPr>
            </w:pPr>
            <w:r>
              <w:rPr>
                <w:rFonts w:ascii="Arial" w:cs="Arial" w:eastAsia="Arial" w:hAnsi="Arial"/>
                <w:sz w:val="18"/>
                <w:szCs w:val="18"/>
                <w:color w:val="auto"/>
              </w:rPr>
              <w:t>2019 and December 31, 2018; 36,782,920 and 32,119,227 shares issued and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380"/>
              <w:spacing w:after="0"/>
              <w:rPr>
                <w:sz w:val="20"/>
                <w:szCs w:val="20"/>
                <w:color w:val="auto"/>
              </w:rPr>
            </w:pPr>
            <w:r>
              <w:rPr>
                <w:rFonts w:ascii="Arial" w:cs="Arial" w:eastAsia="Arial" w:hAnsi="Arial"/>
                <w:sz w:val="18"/>
                <w:szCs w:val="18"/>
                <w:color w:val="auto"/>
              </w:rPr>
              <w:t>outstanding at March 31, 2019 and December 31, 2018, respectively</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230,475</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(222,291)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(206,887)</w:t>
            </w:r>
          </w:p>
        </w:tc>
      </w:tr>
      <w:tr>
        <w:trPr>
          <w:trHeight w:val="223"/>
        </w:trPr>
        <w:tc>
          <w:tcPr>
            <w:tcW w:w="764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64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44,120</w:t>
            </w:r>
          </w:p>
        </w:tc>
        <w:tc>
          <w:tcPr>
            <w:tcW w:w="12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2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8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8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8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Loss from operations</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63"/>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8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18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34,144,209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26,818,137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March 31, 2019</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4200" w:type="dxa"/>
            <w:vAlign w:val="bottom"/>
            <w:vMerge w:val="restart"/>
          </w:tcPr>
          <w:p>
            <w:pPr>
              <w:spacing w:after="0"/>
              <w:rPr>
                <w:sz w:val="20"/>
                <w:szCs w:val="20"/>
                <w:color w:val="auto"/>
              </w:rPr>
            </w:pPr>
            <w:r>
              <w:rPr>
                <w:rFonts w:ascii="Arial" w:cs="Arial" w:eastAsia="Arial" w:hAnsi="Arial"/>
                <w:sz w:val="17"/>
                <w:szCs w:val="17"/>
                <w:color w:val="auto"/>
              </w:rPr>
              <w:t>Balance at December 31, 2018</w:t>
            </w:r>
          </w:p>
        </w:tc>
        <w:tc>
          <w:tcPr>
            <w:tcW w:w="112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760" w:type="dxa"/>
            <w:vAlign w:val="bottom"/>
          </w:tcPr>
          <w:p>
            <w:pPr>
              <w:jc w:val="right"/>
              <w:ind w:right="116"/>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1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9"/>
              </w:rPr>
              <w:t>Paid-In-Capital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3"/>
                <w:szCs w:val="13"/>
                <w:color w:val="auto"/>
              </w:rPr>
            </w:pPr>
          </w:p>
        </w:tc>
        <w:tc>
          <w:tcPr>
            <w:tcW w:w="10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32,119,227</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230,475</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(206,887)</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23,620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shares from at-the-market sales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agreement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4,660,966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6,622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7"/>
                <w:szCs w:val="17"/>
                <w:color w:val="auto"/>
              </w:rPr>
              <w:t>2,727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Share-based compensation expense</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Net loss</w:t>
            </w: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(15,404)</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(15,404)</w:t>
            </w:r>
          </w:p>
        </w:tc>
        <w:tc>
          <w:tcPr>
            <w:tcW w:w="0" w:type="dxa"/>
            <w:vAlign w:val="bottom"/>
          </w:tcPr>
          <w:p>
            <w:pPr>
              <w:spacing w:after="0"/>
              <w:rPr>
                <w:sz w:val="1"/>
                <w:szCs w:val="1"/>
                <w:color w:val="auto"/>
              </w:rPr>
            </w:pPr>
          </w:p>
        </w:tc>
      </w:tr>
      <w:tr>
        <w:trPr>
          <w:trHeight w:val="210"/>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March 31, 2019</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36,782,920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238,345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(222,291</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16,091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March 31, 2018</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4200" w:type="dxa"/>
            <w:vAlign w:val="bottom"/>
            <w:vMerge w:val="restart"/>
          </w:tcPr>
          <w:p>
            <w:pPr>
              <w:spacing w:after="0"/>
              <w:rPr>
                <w:sz w:val="20"/>
                <w:szCs w:val="20"/>
                <w:color w:val="auto"/>
              </w:rPr>
            </w:pPr>
            <w:r>
              <w:rPr>
                <w:rFonts w:ascii="Arial" w:cs="Arial" w:eastAsia="Arial" w:hAnsi="Arial"/>
                <w:sz w:val="17"/>
                <w:szCs w:val="17"/>
                <w:color w:val="auto"/>
              </w:rPr>
              <w:t>Balance at December 31, 2017</w:t>
            </w:r>
          </w:p>
        </w:tc>
        <w:tc>
          <w:tcPr>
            <w:tcW w:w="90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1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9"/>
              </w:rPr>
              <w:t>Paid-In-Capital</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96"/>
              <w:spacing w:after="0" w:line="155" w:lineRule="exact"/>
              <w:rPr>
                <w:sz w:val="20"/>
                <w:szCs w:val="20"/>
                <w:color w:val="auto"/>
              </w:rPr>
            </w:pPr>
            <w:r>
              <w:rPr>
                <w:rFonts w:ascii="Arial" w:cs="Arial" w:eastAsia="Arial" w:hAnsi="Arial"/>
                <w:sz w:val="14"/>
                <w:szCs w:val="14"/>
                <w:b w:val="1"/>
                <w:bCs w:val="1"/>
                <w:color w:val="auto"/>
                <w:w w:val="98"/>
              </w:rPr>
              <w:t>Deficit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98"/>
              <w:spacing w:after="0" w:line="155"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59"/>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25,354,651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145,618</w:t>
            </w:r>
          </w:p>
        </w:tc>
        <w:tc>
          <w:tcPr>
            <w:tcW w:w="24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6"/>
              </w:rPr>
              <w:t>(124,220)</w:t>
            </w:r>
          </w:p>
        </w:tc>
        <w:tc>
          <w:tcPr>
            <w:tcW w:w="2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21,415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Cumulative effect of accounting change</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w w:val="96"/>
              </w:rPr>
              <w:t>Issuance of common shares from follow-on public offering</w:t>
            </w:r>
          </w:p>
        </w:tc>
        <w:tc>
          <w:tcPr>
            <w:tcW w:w="900" w:type="dxa"/>
            <w:vAlign w:val="bottom"/>
          </w:tcPr>
          <w:p>
            <w:pPr>
              <w:jc w:val="right"/>
              <w:spacing w:after="0"/>
              <w:rPr>
                <w:sz w:val="20"/>
                <w:szCs w:val="20"/>
                <w:color w:val="auto"/>
              </w:rPr>
            </w:pPr>
            <w:r>
              <w:rPr>
                <w:rFonts w:ascii="Arial" w:cs="Arial" w:eastAsia="Arial" w:hAnsi="Arial"/>
                <w:sz w:val="17"/>
                <w:szCs w:val="17"/>
                <w:color w:val="auto"/>
              </w:rPr>
              <w:t>6,538,462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79,574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79,581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53,920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(16,607)</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(16,607)</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Balance at March 31, 2018</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31,947,033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226,567</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(140,676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6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Net loss</w:t>
            </w:r>
          </w:p>
        </w:tc>
        <w:tc>
          <w:tcPr>
            <w:tcW w:w="226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(15,404)</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(16,607)</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debt discount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Amortization and accretion on available-for-sale investments, net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(613)</w:t>
            </w: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 and liabilities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(12,653)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(15,653)</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Maturities of available-for-sale investments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20,970</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Purchase of available-for-sale investments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(8,725)</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investing activities</w:t>
            </w:r>
          </w:p>
        </w:tc>
        <w:tc>
          <w:tcPr>
            <w:tcW w:w="1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30,932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at-the-market sales agreement, net of issuance costs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Proceeds from follow-on public offering, net of issuance costs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79,581</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Payments made on long-term debt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75,610</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3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120" w:type="dxa"/>
            <w:vAlign w:val="bottom"/>
            <w:shd w:val="clear" w:color="auto" w:fill="CFF0FC"/>
          </w:tcPr>
          <w:p>
            <w:pPr>
              <w:spacing w:after="0"/>
              <w:rPr>
                <w:sz w:val="19"/>
                <w:szCs w:val="19"/>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30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85,194</w:t>
            </w:r>
          </w:p>
        </w:tc>
        <w:tc>
          <w:tcPr>
            <w:tcW w:w="1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p>
      <w:pPr>
        <w:spacing w:after="0" w:line="27" w:lineRule="exact"/>
        <w:rPr>
          <w:sz w:val="20"/>
          <w:szCs w:val="20"/>
          <w:color w:val="auto"/>
        </w:rPr>
      </w:pPr>
    </w:p>
    <w:p>
      <w:pPr>
        <w:ind w:left="9220"/>
        <w:spacing w:after="0"/>
        <w:rPr>
          <w:sz w:val="20"/>
          <w:szCs w:val="20"/>
          <w:color w:val="auto"/>
        </w:rPr>
      </w:pPr>
      <w:r>
        <w:rPr>
          <w:rFonts w:ascii="Arial" w:cs="Arial" w:eastAsia="Arial" w:hAnsi="Arial"/>
          <w:sz w:val="16"/>
          <w:szCs w:val="16"/>
          <w:b w:val="1"/>
          <w:bCs w:val="1"/>
          <w:color w:val="auto"/>
        </w:rPr>
        <w:t>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32,950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84,834</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shown on the statements of cash flows</w:t>
            </w:r>
          </w:p>
        </w:tc>
        <w:tc>
          <w:tcPr>
            <w:tcW w:w="10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33,310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85,194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CLEARSIDE BIOMEDICAL,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Clearside Biomedical, Inc. (the “Company”) is a late-stage clinical biopharmaceutical company developing first-in-class pharmacological therapies to restore and preserve vision for people with serious eye diseases. The Company’s current product candidates focus on treatments for diseases affecting the retina and choroid and are injected into the suprachoroidal space (“SCS”) using its proprietary SCS Microinjector™. Incorporated in the State of Delaware on May 26, 2011, the Company has its corporate headquarters in Alpharetta, Georgia.</w:t>
      </w:r>
    </w:p>
    <w:p>
      <w:pPr>
        <w:spacing w:after="0" w:line="18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The Company is subject to a number of risks and uncertainties similar to those of other life science companies at a similar stage of development, including, among others, the need to obtain adequate additional financing, successful development efforts, regulatory approval of products, compliance with government regulations, successful commercialization of potential products, protection of proprietary technology and dependence on key individuals.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Company has funded its operations primarily through the sale of convertible preferred stock and common stock and the issuance of long-term debt. On June 30, 2017, the Company entered into an at-the-market sales agreement (“the ATM agreement”) with Cowen and Company LLC (“Cowen”) under which the Company may offer and sell, from time to time at its sole discretion, shares of its common stock having an aggregate offering price of up to $50.0 million through Cowen acting as sales agent. As of March 31, 2019, the Company had sold 4.7 million shares of its common stock for net proceeds of $6.6 million under the ATM agreement. The Company’s registration statement on Form S-3 contemplated under the ATM agreement was declared effective by the SEC on July 13, 2017. The registration statement on Form S-3 includes a prospectus supplement covering the offering up to $18.5 million of shares of common stock over the 12 months ending March 15, 2020 in accordance with the ATM agreement.</w:t>
      </w:r>
    </w:p>
    <w:p>
      <w:pPr>
        <w:spacing w:after="0" w:line="167"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The Company will need to obtain additional financing to fund future operations, including completing the development and commercialization of its primary product candidates. The Company will need to obtain additional financing to conduct additional trials for the regulatory approval of its product candidates if requested by regulatory bodies, and to complete the development of any additional product candidates. If such products were to receive regulatory approval, the Company may need to prepare for the potential commercialization of its product candidates and fund the commercial launch of the products, if the Company decides to commercialize the products on its own. Moreover, the Company’s fixed expenses such as rent and other contractual commitments are substantial and are expected to increase in the future.</w:t>
      </w:r>
    </w:p>
    <w:p>
      <w:pPr>
        <w:spacing w:after="0" w:line="17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had cash, cash equivalents and short-term investments of $34.9 million as of March 31, 2019. The Company has suffered recurring losses and negative cash flows from operations since inception and anticipates incurring additional losses until such time, if ever, that it can obtain approval from the U.S. Food and Drug Administration (the “FDA”) to market, and then generate significant sales of its lead product candidate, XIPERE™. In the absence of product or other revenues, the amount, timing, nature or source of which cannot be predicted, the Company’s losses will continue as it conducts its research and development activities and prepares for the anticipated commercial launch of XIPERE. The Company will need additional financing to fund its operations and to commercialize XIPERE and may finance future cash needs through public or private equity offerings, license agreements, debt financings, collaborations, strategic alliances and marketing or distribution arrangements.</w:t>
      </w:r>
    </w:p>
    <w:p>
      <w:pPr>
        <w:spacing w:after="0" w:line="178"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Based on its current research and development plans, including the discontinuation of clinical development of XIPERE together with an anti-vascular endothelial growth factor agent for the treatment of retinal vein occlusion, its plans to reduce certain administrative expenses and its timing expectations related to the approval of its New Drug Application (“NDA”) submission, the Company expects that its existing cash, cash equivalents and short-term investments will enable it to fund its operating expenses and capital expenditure requirements into the first quarter of 2020. Accordingly, the Company has plans to mitigate its going concern risk by raising additional capital, potentially in a combination of equity or debt financings, or by entering into potential collaborations, partnering and other strategic arrangements. The Company has based this estimate on assumptions that may prove to be wrong, and the Company could exhaust its capital resources sooner than it expects. These conditions raise substantial doubt about the Company’s ability to continue as a going concern within one year after the date these financial statements are being issued.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ind w:right="120" w:firstLine="518"/>
        <w:spacing w:after="0" w:line="259" w:lineRule="auto"/>
        <w:rPr>
          <w:sz w:val="20"/>
          <w:szCs w:val="20"/>
          <w:color w:val="auto"/>
        </w:rPr>
      </w:pPr>
      <w:r>
        <w:rPr>
          <w:rFonts w:ascii="Arial" w:cs="Arial" w:eastAsia="Arial" w:hAnsi="Arial"/>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accompanying balance sheet as of March 31, 2019, statements of operations for the three months ended March 31, 2019 and 2018, statements of stockholders’ equity for the three months ended March 31, 2019 and 2018 and statements of cash flows for the three months ended March 31, 2019 and 2018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March 31, 2019, its results of its operations for the three months ended March 31, 2019 and 2018, its changes in stockholders’ equity for the three months ended March 31, 2019 and 2018 and its cash flows for the three months ended March 31, 2019 and 2018. The financial data and other information disclosed in these notes related to the three months ended March 31, 2019 and 2018 are unaudited. The results for the three months ended March 31, 2019 are not indicative of results to be expected for the year ending December 31, 2019, any other interim periods or any future year or period. These unaudited financial statements should be read in conjunction with the audited financial statements and related footnotes, which are included in the Company’s Annual Report on Form 10-K for the year ended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380" w:firstLine="51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the accounting for useful lives to calculate depreciation and amortization, clinical expense accruals, share-based compensation expense and income tax valuation allowance.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2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nonclinical and clinical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the Company’s product candidates;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Costs for certain development activities, such as clinical trials,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 No material adjustments to these estimates have been recorded in these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40" w:firstLine="518"/>
        <w:spacing w:after="0" w:line="276"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awards granted to non-employees is re-measured each period until the related service is complete. Share-based compensation costs are expensed on a straight-line basis over the relevant vesting period.</w:t>
      </w:r>
    </w:p>
    <w:p>
      <w:pPr>
        <w:spacing w:after="0" w:line="6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7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based upon the underlying employees’ roles within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Short-term investments are investments with original maturities of between 90 and 365 days when purchased and are comprised of commercial paper and treasury bills. The Company classifies its short-term investments as available-for-sale securities. Short-term investments are recorded at fair value and unrealized gains and losses are recorded within interest income. In addition, the Company evaluates the short-investments with unrealized losses to determine whether such losses are other-than-temporary.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2016-02, </w:t>
      </w:r>
      <w:r>
        <w:rPr>
          <w:rFonts w:ascii="Arial" w:cs="Arial" w:eastAsia="Arial" w:hAnsi="Arial"/>
          <w:sz w:val="17"/>
          <w:szCs w:val="17"/>
          <w:i w:val="1"/>
          <w:iCs w:val="1"/>
          <w:color w:val="auto"/>
        </w:rPr>
        <w:t>Leases (ASC 842),</w:t>
      </w:r>
      <w:r>
        <w:rPr>
          <w:rFonts w:ascii="Arial" w:cs="Arial" w:eastAsia="Arial" w:hAnsi="Arial"/>
          <w:sz w:val="17"/>
          <w:szCs w:val="17"/>
          <w:color w:val="auto"/>
        </w:rPr>
        <w:t xml:space="preserve"> and subsequently issued updates as part of ASU 2018-11, </w:t>
      </w:r>
      <w:r>
        <w:rPr>
          <w:rFonts w:ascii="Arial" w:cs="Arial" w:eastAsia="Arial" w:hAnsi="Arial"/>
          <w:sz w:val="17"/>
          <w:szCs w:val="17"/>
          <w:i w:val="1"/>
          <w:iCs w:val="1"/>
          <w:color w:val="auto"/>
        </w:rPr>
        <w:t>Leases, Targeted Improvements</w:t>
      </w:r>
      <w:r>
        <w:rPr>
          <w:rFonts w:ascii="Arial" w:cs="Arial" w:eastAsia="Arial" w:hAnsi="Arial"/>
          <w:sz w:val="17"/>
          <w:szCs w:val="17"/>
          <w:color w:val="auto"/>
        </w:rPr>
        <w:t>. The new guidance requires organizations that lease assets with lease terms of more than 12 months to recognize assets and liabilities for the rights and obligations created by those leases on their balance sheets. The Company adopted the ASC 842 effective January 1, 2019 using the optional transition method, did not restate any prior periods and adopted the package of practical expedients. Under the package of practical expedients permitted by the new standard, the Company does not have to reassess whether contracts are or contain leases, the classification of leases or whether initial direct costs should be capitalized. The adoption of the new standard resulted in the recognition of a right-of use asset of $1.0 million and lease obligations of $1.7 million on the Company’s balance sheet as of January 1, 2019. The adoption did not have a material impact on the Company’s statements of operations or cash flows.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 w:name="page10"/>
    <w:bookmarkEnd w:id="9"/>
    <w:p>
      <w:pPr>
        <w:ind w:firstLine="518"/>
        <w:spacing w:after="0" w:line="312"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 Improvements to Nonemployee Shared-Based Payment Accounting</w:t>
      </w:r>
      <w:r>
        <w:rPr>
          <w:rFonts w:ascii="Arial" w:cs="Arial" w:eastAsia="Arial" w:hAnsi="Arial"/>
          <w:sz w:val="16"/>
          <w:szCs w:val="16"/>
          <w:color w:val="auto"/>
        </w:rPr>
        <w:t>. The ASU update expands the scope of Topic 718 to include share-based payment transactions for acquiring goods and services from nonemployees. The Company adopted ASU 2018-07 effective January 1, 2019, and the adoption did not have a material impact on its financial statements and related disclosures.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Useful Lives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7"/>
                <w:szCs w:val="17"/>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46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(Years)</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323"/>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720" w:type="dxa"/>
            <w:vAlign w:val="bottom"/>
            <w:shd w:val="clear" w:color="auto" w:fill="CFF0FC"/>
          </w:tcPr>
          <w:p>
            <w:pPr>
              <w:jc w:val="center"/>
              <w:ind w:left="333"/>
              <w:spacing w:after="0"/>
              <w:rPr>
                <w:sz w:val="20"/>
                <w:szCs w:val="20"/>
                <w:color w:val="auto"/>
              </w:rPr>
            </w:pPr>
            <w:r>
              <w:rPr>
                <w:rFonts w:ascii="Arial" w:cs="Arial" w:eastAsia="Arial" w:hAnsi="Arial"/>
                <w:sz w:val="18"/>
                <w:szCs w:val="18"/>
                <w:color w:val="auto"/>
                <w:w w:val="99"/>
              </w:rPr>
              <w:t>5</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720" w:type="dxa"/>
            <w:vAlign w:val="bottom"/>
          </w:tcPr>
          <w:p>
            <w:pPr>
              <w:jc w:val="center"/>
              <w:ind w:left="333"/>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720" w:type="dxa"/>
            <w:vAlign w:val="bottom"/>
            <w:shd w:val="clear" w:color="auto" w:fill="CFF0FC"/>
          </w:tcPr>
          <w:p>
            <w:pPr>
              <w:jc w:val="center"/>
              <w:ind w:left="333"/>
              <w:spacing w:after="0"/>
              <w:rPr>
                <w:sz w:val="20"/>
                <w:szCs w:val="20"/>
                <w:color w:val="auto"/>
              </w:rPr>
            </w:pPr>
            <w:r>
              <w:rPr>
                <w:rFonts w:ascii="Arial" w:cs="Arial" w:eastAsia="Arial" w:hAnsi="Arial"/>
                <w:sz w:val="18"/>
                <w:szCs w:val="18"/>
                <w:color w:val="auto"/>
                <w:w w:val="99"/>
              </w:rPr>
              <w:t>3</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9"/>
              </w:rPr>
              <w:t>Lesser of</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4"/>
              </w:rPr>
              <w:t>useful life or</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3"/>
              </w:rPr>
              <w:t>remaining</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460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gridSpan w:val="2"/>
          </w:tcPr>
          <w:p>
            <w:pPr>
              <w:jc w:val="center"/>
              <w:spacing w:after="0"/>
              <w:rPr>
                <w:sz w:val="20"/>
                <w:szCs w:val="20"/>
                <w:color w:val="auto"/>
              </w:rPr>
            </w:pPr>
            <w:r>
              <w:rPr>
                <w:rFonts w:ascii="Arial" w:cs="Arial" w:eastAsia="Arial" w:hAnsi="Arial"/>
                <w:sz w:val="18"/>
                <w:szCs w:val="18"/>
                <w:color w:val="auto"/>
                <w:w w:val="88"/>
              </w:rPr>
              <w:t>lease term</w:t>
            </w:r>
          </w:p>
        </w:tc>
        <w:tc>
          <w:tcPr>
            <w:tcW w:w="1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(462)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Accrued Liabilities</w:t>
            </w: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32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3"/>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5"/>
              </w:rPr>
              <w:t>2019</w:t>
            </w:r>
          </w:p>
        </w:tc>
        <w:tc>
          <w:tcPr>
            <w:tcW w:w="280" w:type="dxa"/>
            <w:vAlign w:val="bottom"/>
          </w:tcPr>
          <w:p>
            <w:pPr>
              <w:spacing w:after="0"/>
              <w:rPr>
                <w:sz w:val="19"/>
                <w:szCs w:val="19"/>
                <w:color w:val="auto"/>
              </w:rPr>
            </w:pPr>
          </w:p>
        </w:tc>
        <w:tc>
          <w:tcPr>
            <w:tcW w:w="1260" w:type="dxa"/>
            <w:vAlign w:val="bottom"/>
            <w:gridSpan w:val="5"/>
          </w:tcPr>
          <w:p>
            <w:pPr>
              <w:jc w:val="right"/>
              <w:ind w:right="50"/>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7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3,268</w:t>
            </w:r>
          </w:p>
        </w:tc>
        <w:tc>
          <w:tcPr>
            <w:tcW w:w="420" w:type="dxa"/>
            <w:vAlign w:val="bottom"/>
            <w:tcBorders>
              <w:top w:val="single" w:sz="8" w:color="CFF0FC"/>
            </w:tcBorders>
            <w:gridSpan w:val="2"/>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3"/>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Accrued marketing</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366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Accrued bonuses</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Accrued vacation</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w:t>
            </w:r>
          </w:p>
        </w:tc>
        <w:tc>
          <w:tcPr>
            <w:tcW w:w="7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4,520</w:t>
            </w:r>
          </w:p>
        </w:tc>
        <w:tc>
          <w:tcPr>
            <w:tcW w:w="420" w:type="dxa"/>
            <w:vAlign w:val="bottom"/>
            <w:gridSpan w:val="2"/>
          </w:tcPr>
          <w:p>
            <w:pPr>
              <w:spacing w:after="0"/>
              <w:rPr>
                <w:sz w:val="19"/>
                <w:szCs w:val="19"/>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2,923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Agreements</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In September 2016, the Company entered into an amended and restated loan and security agreement, which was subsequently amended on October 31, 2017 (as amended,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with Silicon Valley Bank (“SVB”), MidCap Funding XII Trust and MidCap Financial Trust, which amended and restated in its entirety the Company’s prior loan and security agreement.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provided for new term loans of up to $15.0 million, with a floating interest rate equal to 7% plus the greater of (i) the 30-day U.S. LIBOR, as reported in the Wall Street Journal on the last business day of the month that immediately precedes the month in which the interest will accrue, or (ii) 0.50%.</w:t>
      </w:r>
    </w:p>
    <w:p>
      <w:pPr>
        <w:spacing w:after="0" w:line="173"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Under the terms of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 an initial tranche of $8.0 million was advanced on September 28, 2016. The draw period for the remaining $7.0 million available under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 expired on March 31, 2018. The Company was required to pay accrued interest only on the outstanding $8.0 million balance through December 31, 2017, followed by 30 equal payments of principal and accrued interest. The Company had the option to prepay the outstanding balance of the term loans in full, subject to a prepayment fee of 2% of the original principal amount of the aggregate term loans for any prepayments through May 31, 2020. A final payment of $0.5 million was due at maturity of the loan on June 1, 2020, or upon the prepayment of the facility or the acceleration of amounts due under the facility as a result of an event of default, and was being accreted in long-term debt over the life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t>of the loan. Of the $8.0 million borrowed, $5.3 million was used to repay all amounts outstanding under the original loan agreement. Closing costs incurred in the refinancing portion of the loan were recorded as expense while the financing costs for the new portion of the loan are recorded in long-term debt and being accreted over the life of the loan. Upon repayment of the original loan agreement, all remaining closing costs associated with the original loan agreement were being accreted to long-term debt over the life of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On May 14, 2018, the Company entered into a second amended and restated loan and security agreement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with SVB, MidCap Funding III Trust and MidCap Financial Trust (together, “MidCap” and collectively with SVB, the “Lenders”), which amended and restated in its entirety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provides for new term loans of up to $20.0 million, with a floating interest rate equal to 6.50% plus the greater of (i) the 30-day U.S. LIBOR, as reported in the Wall Street Journal on the last business day of the month that immediately precedes the month in which the interest will accrue, or (ii) 1.89%.</w:t>
      </w:r>
    </w:p>
    <w:p>
      <w:pPr>
        <w:spacing w:after="0" w:line="188"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The Company borrowed an initial tranche of $10.0 million on May 14, 2018, of which $7.0 million was used to repay all amounts outstanding under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 including fees associated with the final payment. The prepayment fees were waived. Of the remaining $10.0 million under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$5.0 million became available for draw but was not drawn by the Company, and the other $5.0 million is not available for draw.</w:t>
      </w:r>
    </w:p>
    <w:p>
      <w:pPr>
        <w:spacing w:after="0" w:line="14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is required to pay accrued interest only on the $10 million borrowed under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through October 31, 2019, followed by consecutive equal monthly payments of principal and interest in arrears continuing through the maturity date of October 1, 2022. The Company has the option to prepay the outstanding balance in full, subject to a prepayment fee of 3% of the original principal amount for any prepayment prior to May 14, 2019 or 2% of the original principal amount for any prepayment on or after May 14, 2019 but prior to October 1, 2022. A final payment of 5.50% of the aggregate borrowed amount is due at maturity of the loan on October 1, 2022, or upon the prepayment of the facility or the acceleration of amounts due under the facility as a result of an event of default.</w:t>
      </w:r>
    </w:p>
    <w:p>
      <w:pPr>
        <w:spacing w:after="0" w:line="193"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The borrowings under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are secured by substantially all of the Company’s assets, except that the collateral does not include any of the Company’s intellectual property. However, pursuant to the terms of a negative pledge arrangement, the Company has agreed not to encumber any of its intellectual property.</w:t>
      </w:r>
    </w:p>
    <w:p>
      <w:pPr>
        <w:spacing w:after="0" w:line="181" w:lineRule="exact"/>
        <w:rPr>
          <w:sz w:val="20"/>
          <w:szCs w:val="20"/>
          <w:color w:val="auto"/>
        </w:rPr>
      </w:pPr>
    </w:p>
    <w:p>
      <w:pPr>
        <w:ind w:right="380" w:firstLine="518"/>
        <w:spacing w:after="0" w:line="312" w:lineRule="auto"/>
        <w:rPr>
          <w:sz w:val="20"/>
          <w:szCs w:val="20"/>
          <w:color w:val="auto"/>
        </w:rPr>
      </w:pPr>
      <w:r>
        <w:rPr>
          <w:rFonts w:ascii="Arial" w:cs="Arial" w:eastAsia="Arial" w:hAnsi="Arial"/>
          <w:sz w:val="16"/>
          <w:szCs w:val="16"/>
          <w:color w:val="auto"/>
        </w:rPr>
        <w:t>Interest expense on the borrowings under the loan agreements described above was $225,000 and $161,000 for the three months ended March 31, 2019 and 2018, respectively. Accretion of the scheduled final payment was $46,000 and $49,000 for the three months ended March 31, 2019 and 2018, respectively. Accretion of the deferred debt issuance costs was $15,000 and $49,000 for the three months ended March 31, 2019 and 2018, respectively.</w:t>
      </w:r>
    </w:p>
    <w:p>
      <w:pPr>
        <w:spacing w:after="0" w:line="14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As of March 31, 2019, the scheduled payments for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including the scheduled final payment in 2022, were as follows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1"/>
              <w:spacing w:after="0"/>
              <w:rPr>
                <w:sz w:val="20"/>
                <w:szCs w:val="20"/>
                <w:color w:val="auto"/>
              </w:rPr>
            </w:pPr>
            <w:r>
              <w:rPr>
                <w:rFonts w:ascii="Arial" w:cs="Arial" w:eastAsia="Arial" w:hAnsi="Arial"/>
                <w:sz w:val="16"/>
                <w:szCs w:val="16"/>
                <w:b w:val="1"/>
                <w:bCs w:val="1"/>
                <w:color w:val="auto"/>
                <w:w w:val="92"/>
              </w:rPr>
              <w:t>Interest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1"/>
              <w:spacing w:after="0"/>
              <w:rPr>
                <w:sz w:val="20"/>
                <w:szCs w:val="20"/>
                <w:color w:val="auto"/>
              </w:rPr>
            </w:pPr>
            <w:r>
              <w:rPr>
                <w:rFonts w:ascii="Arial" w:cs="Arial" w:eastAsia="Arial" w:hAnsi="Arial"/>
                <w:sz w:val="16"/>
                <w:szCs w:val="16"/>
                <w:b w:val="1"/>
                <w:bCs w:val="1"/>
                <w:color w:val="auto"/>
              </w:rPr>
              <w:t>Principal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Final Payment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26"/>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w:t>
            </w:r>
          </w:p>
        </w:tc>
        <w:tc>
          <w:tcPr>
            <w:tcW w:w="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12,290</w:t>
            </w:r>
          </w:p>
        </w:tc>
        <w:tc>
          <w:tcPr>
            <w:tcW w:w="8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21"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The Company’s amended and restated certificate of incorporation authorizes the Company to issue 100,000,000 shares of $0.001 par value common stock. As of March 31, 2019 and December 31, 2018, there were 36,782,920 and 32,119,227 shares of common stock outstanding,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Purchase Warrants</w:t>
      </w:r>
    </w:p>
    <w:p>
      <w:pPr>
        <w:spacing w:after="0" w:line="22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September 2016, in connection with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 (see Note 5), the Company issued warrants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8"/>
          <w:szCs w:val="18"/>
          <w:color w:val="1F497D"/>
        </w:rPr>
        <w:t>.</w:t>
      </w:r>
      <w:r>
        <w:rPr>
          <w:rFonts w:ascii="Arial" w:cs="Arial" w:eastAsia="Arial" w:hAnsi="Arial"/>
          <w:sz w:val="18"/>
          <w:szCs w:val="18"/>
          <w:color w:val="auto"/>
        </w:rPr>
        <w:t xml:space="preserve"> The warrants were recorded in equity and had a weighted average remaining life of 7.5 years as of March 31,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14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Share-based compensation expense for options granted under the 2011 Plan and the 2016 Plan is reflected in the statements of operations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20" w:type="dxa"/>
            <w:vAlign w:val="bottom"/>
            <w:gridSpan w:val="6"/>
          </w:tcPr>
          <w:p>
            <w:pPr>
              <w:ind w:left="74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March 31,</w:t>
            </w: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FF0FC"/>
            </w:tcBorders>
          </w:tcPr>
          <w:p>
            <w:pPr>
              <w:spacing w:after="0"/>
              <w:rPr>
                <w:sz w:val="18"/>
                <w:szCs w:val="18"/>
                <w:color w:val="auto"/>
              </w:rPr>
            </w:pPr>
          </w:p>
        </w:tc>
        <w:tc>
          <w:tcPr>
            <w:tcW w:w="24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580" w:type="dxa"/>
            <w:vAlign w:val="bottom"/>
            <w:gridSpan w:val="5"/>
          </w:tcPr>
          <w:p>
            <w:pPr>
              <w:ind w:left="500"/>
              <w:spacing w:after="0"/>
              <w:rPr>
                <w:sz w:val="20"/>
                <w:szCs w:val="20"/>
                <w:color w:val="auto"/>
              </w:rPr>
            </w:pPr>
            <w:r>
              <w:rPr>
                <w:rFonts w:ascii="Arial" w:cs="Arial" w:eastAsia="Arial" w:hAnsi="Arial"/>
                <w:sz w:val="18"/>
                <w:szCs w:val="18"/>
                <w:color w:val="auto"/>
                <w:w w:val="98"/>
              </w:rPr>
              <w:t>The following table summarizes the activity related to stock options during the three months ended March 31, 2019: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January 1, 2019</w:t>
            </w:r>
          </w:p>
        </w:tc>
        <w:tc>
          <w:tcPr>
            <w:tcW w:w="2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3,463,096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auto"/>
              </w:rPr>
              <w:t>Granted</w:t>
            </w: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1,532,600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2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(2,727)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(160,080)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March 31, 2019</w:t>
            </w:r>
          </w:p>
        </w:tc>
        <w:tc>
          <w:tcPr>
            <w:tcW w:w="24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4,832,889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December 31, 2018</w:t>
            </w:r>
          </w:p>
        </w:tc>
        <w:tc>
          <w:tcPr>
            <w:tcW w:w="2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1,583,749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March 31, 2019</w:t>
            </w:r>
          </w:p>
        </w:tc>
        <w:tc>
          <w:tcPr>
            <w:tcW w:w="2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1,593,506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As of March 31, 2019, the Company had $10.3 million of unrecognized compensation expense related to unvested stock options, which is expected to be recognized over a weighted average period of 2.7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3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In January 2016, the Company’s board of directors adopted and approved, and in January 2016 the Company’s stockholders approved, the Clearside Biomedical, Inc. 2016 Employee Stock Purchase Plan (the “2016 ESPP”) which became effective on June 1, 2016. The first offering period for the 2016 ESPP commenced January 1, 2017. The 2016 ESPP is considered a compensatory plan and the fair value of the discount and the look-back period are estimated using the Black-Scholes option pricing model and expense is recognized over the six month withholding period prior to the purchase date. The Company has issued a total of 22,287 shares of common stock purchased under the 2016 ESPP. The Company has recorded $9,800 and $5,000 of share-based compensation expense for the three months ended March 31, 2019 and 2018, respectively, in the statements of operations for the estimated number of shares to be purchased on the next purchase date following the conclusion of the applicable reporting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23"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In November 2016, the Company signed an office lease agreement to lease approximately 20,000 square feet of office space in Alpharetta, Georgia for its corporate headquarters. The lease agreement is for a 6.5 year term with a renewal option for one additional five-year term. Rental payments are $35,145 per month subject to an increase of 3% per year. Rent expense under this lease is recognized on a straight-line basis over the term of the lease. In addition, the lease agreement requires payment of the pro-rata share of the annual operating expenses associated with the premises. The Company relocated to this space in March 2017.</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 w:name="page13"/>
    <w:bookmarkEnd w:id="12"/>
    <w:p>
      <w:pPr>
        <w:ind w:right="40" w:firstLine="518"/>
        <w:spacing w:after="0" w:line="259" w:lineRule="auto"/>
        <w:rPr>
          <w:sz w:val="20"/>
          <w:szCs w:val="20"/>
          <w:color w:val="auto"/>
        </w:rPr>
      </w:pPr>
      <w:r>
        <w:rPr>
          <w:rFonts w:ascii="Arial" w:cs="Arial" w:eastAsia="Arial" w:hAnsi="Arial"/>
          <w:sz w:val="18"/>
          <w:szCs w:val="18"/>
          <w:color w:val="auto"/>
        </w:rPr>
        <w:t>In August 2018, the Company signed an office lease agreement to lease approximately 3,500 square feet of office space in Berkeley, California for its commercial operations. The lease agreement is for a two-year term with a renewal option for an additional one-year term. Rental payments are $12,775 per month subject to a 3% increase per year. Rent expense under this lease is recognized on a straight-line basis over the term of the lease. The Company will pay a pro-rata share of the annual operating expenses associated with the premises.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operating leases included on the balance sheet are as follows (in thousands):</w:t>
      </w:r>
    </w:p>
    <w:p>
      <w:pPr>
        <w:spacing w:after="0" w:line="235" w:lineRule="exact"/>
        <w:rPr>
          <w:sz w:val="20"/>
          <w:szCs w:val="20"/>
          <w:color w:val="auto"/>
        </w:rPr>
      </w:pPr>
    </w:p>
    <w:tbl>
      <w:tblPr>
        <w:tblLayout w:type="fixed"/>
        <w:tblInd w:w="210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494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0"/>
                <w:szCs w:val="20"/>
                <w:color w:val="auto"/>
              </w:rPr>
            </w:pPr>
          </w:p>
        </w:tc>
        <w:tc>
          <w:tcPr>
            <w:tcW w:w="500" w:type="dxa"/>
            <w:vAlign w:val="bottom"/>
            <w:tcBorders>
              <w:bottom w:val="single" w:sz="8" w:color="CFF0FC"/>
            </w:tcBorders>
          </w:tcPr>
          <w:p>
            <w:pPr>
              <w:spacing w:after="0"/>
              <w:rPr>
                <w:sz w:val="20"/>
                <w:szCs w:val="20"/>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132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5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132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499</w:t>
            </w:r>
          </w:p>
        </w:tc>
        <w:tc>
          <w:tcPr>
            <w:tcW w:w="500" w:type="dxa"/>
            <w:vAlign w:val="bottom"/>
          </w:tcPr>
          <w:p>
            <w:pPr>
              <w:spacing w:after="0"/>
              <w:rPr>
                <w:sz w:val="19"/>
                <w:szCs w:val="19"/>
                <w:color w:val="auto"/>
              </w:rPr>
            </w:pPr>
          </w:p>
        </w:tc>
      </w:tr>
      <w:tr>
        <w:trPr>
          <w:trHeight w:val="230"/>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w:t>
            </w:r>
          </w:p>
        </w:tc>
        <w:tc>
          <w:tcPr>
            <w:tcW w:w="13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1,130</w:t>
            </w:r>
          </w:p>
        </w:tc>
        <w:tc>
          <w:tcPr>
            <w:tcW w:w="500" w:type="dxa"/>
            <w:vAlign w:val="bottom"/>
            <w:shd w:val="clear" w:color="auto" w:fill="CFF0FC"/>
          </w:tcPr>
          <w:p>
            <w:pPr>
              <w:spacing w:after="0"/>
              <w:rPr>
                <w:sz w:val="19"/>
                <w:szCs w:val="19"/>
                <w:color w:val="auto"/>
              </w:rPr>
            </w:pPr>
          </w:p>
        </w:tc>
      </w:tr>
      <w:tr>
        <w:trPr>
          <w:trHeight w:val="223"/>
        </w:trPr>
        <w:tc>
          <w:tcPr>
            <w:tcW w:w="4940" w:type="dxa"/>
            <w:vAlign w:val="bottom"/>
          </w:tcPr>
          <w:p>
            <w:pPr>
              <w:ind w:left="260"/>
              <w:spacing w:after="0"/>
              <w:rPr>
                <w:sz w:val="20"/>
                <w:szCs w:val="20"/>
                <w:color w:val="auto"/>
              </w:rPr>
            </w:pPr>
            <w:r>
              <w:rPr>
                <w:rFonts w:ascii="Arial" w:cs="Arial" w:eastAsia="Arial" w:hAnsi="Arial"/>
                <w:sz w:val="18"/>
                <w:szCs w:val="18"/>
                <w:color w:val="auto"/>
              </w:rPr>
              <w:t>Total operating lease liabilities</w:t>
            </w:r>
          </w:p>
        </w:tc>
        <w:tc>
          <w:tcPr>
            <w:tcW w:w="13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1,629</w:t>
            </w:r>
          </w:p>
        </w:tc>
        <w:tc>
          <w:tcPr>
            <w:tcW w:w="50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571"/>
        <w:spacing w:after="0" w:line="257" w:lineRule="auto"/>
        <w:rPr>
          <w:sz w:val="20"/>
          <w:szCs w:val="20"/>
          <w:color w:val="auto"/>
        </w:rPr>
      </w:pPr>
      <w:r>
        <w:rPr>
          <w:rFonts w:ascii="Arial" w:cs="Arial" w:eastAsia="Arial" w:hAnsi="Arial"/>
          <w:sz w:val="18"/>
          <w:szCs w:val="18"/>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leases will be renewed. The present value of the lease payments is calculated using an incremental borrowing rate as the Company’s leases do not provide an implicit interest rate. At March 31, 2019, the Company’s weighted average discount rate was 5.3% and the weighted average lease term was 2.9 years.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future undiscounted minimum lease payments were as follows at March 31, 2019 (in thousands):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minimum lease payments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571"/>
        <w:spacing w:after="0" w:line="277" w:lineRule="auto"/>
        <w:rPr>
          <w:sz w:val="20"/>
          <w:szCs w:val="20"/>
          <w:color w:val="auto"/>
        </w:rPr>
      </w:pPr>
      <w:r>
        <w:rPr>
          <w:rFonts w:ascii="Arial" w:cs="Arial" w:eastAsia="Arial" w:hAnsi="Arial"/>
          <w:sz w:val="18"/>
          <w:szCs w:val="18"/>
          <w:color w:val="auto"/>
        </w:rPr>
        <w:t>Equipment leases with an initial term of 12 months or less are not recorded with operating lease liabilities. The Company recognizes expense for these on a straight-line basis over the lease term. The equipment leases were deemed to be immaterial.</w:t>
      </w:r>
    </w:p>
    <w:p>
      <w:pPr>
        <w:spacing w:after="0" w:line="170" w:lineRule="exact"/>
        <w:rPr>
          <w:sz w:val="20"/>
          <w:szCs w:val="20"/>
          <w:color w:val="auto"/>
        </w:rPr>
      </w:pPr>
    </w:p>
    <w:p>
      <w:pPr>
        <w:ind w:right="360" w:firstLine="518"/>
        <w:spacing w:after="0" w:line="308" w:lineRule="auto"/>
        <w:rPr>
          <w:sz w:val="20"/>
          <w:szCs w:val="20"/>
          <w:color w:val="auto"/>
        </w:rPr>
      </w:pPr>
      <w:r>
        <w:rPr>
          <w:rFonts w:ascii="Arial" w:cs="Arial" w:eastAsia="Arial" w:hAnsi="Arial"/>
          <w:sz w:val="17"/>
          <w:szCs w:val="17"/>
          <w:color w:val="auto"/>
        </w:rPr>
        <w:t>Rent expense was $100,000 and $58,000 for the three months ended March 31, 2019 and 2018, respectively. Cash payments included in operating activities on the statement of cash flows for operating lease liabilities was $129,000 for the three months ended March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17" w:lineRule="exact"/>
        <w:rPr>
          <w:sz w:val="20"/>
          <w:szCs w:val="20"/>
          <w:color w:val="auto"/>
        </w:rPr>
      </w:pPr>
    </w:p>
    <w:p>
      <w:pPr>
        <w:ind w:right="600" w:firstLine="518"/>
        <w:spacing w:after="0" w:line="342"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 Agreements</w:t>
      </w:r>
    </w:p>
    <w:p>
      <w:pPr>
        <w:spacing w:after="0" w:line="283" w:lineRule="exact"/>
        <w:rPr>
          <w:sz w:val="20"/>
          <w:szCs w:val="20"/>
          <w:color w:val="auto"/>
        </w:rPr>
      </w:pPr>
    </w:p>
    <w:p>
      <w:pPr>
        <w:ind w:right="20" w:firstLine="476"/>
        <w:spacing w:after="0" w:line="259" w:lineRule="auto"/>
        <w:rPr>
          <w:sz w:val="20"/>
          <w:szCs w:val="20"/>
          <w:color w:val="auto"/>
        </w:rPr>
      </w:pPr>
      <w:r>
        <w:rPr>
          <w:rFonts w:ascii="Arial" w:cs="Arial" w:eastAsia="Arial" w:hAnsi="Arial"/>
          <w:sz w:val="18"/>
          <w:szCs w:val="18"/>
          <w:color w:val="auto"/>
        </w:rPr>
        <w:t>The Company has periodically entered into other short-term collaboration agreements, generally with performance obligations of one to two months, to evaluate the potential use of its proprietary SCS Microinjector with third-party product candidates for the treatment of various diseases. Funds received from these collaboration agreements are recognized as revenue over the term of the agreement. The Company recorded $45,000 of revenue from these collaboration agreements during the three months ended March 31, 2019.</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11. Available-for-Sale Investments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available-for-sale investments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 2019</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14"/>
              <w:spacing w:after="0"/>
              <w:rPr>
                <w:sz w:val="20"/>
                <w:szCs w:val="20"/>
                <w:color w:val="auto"/>
              </w:rPr>
            </w:pPr>
            <w:r>
              <w:rPr>
                <w:rFonts w:ascii="Arial" w:cs="Arial" w:eastAsia="Arial" w:hAnsi="Arial"/>
                <w:sz w:val="16"/>
                <w:szCs w:val="16"/>
                <w:b w:val="1"/>
                <w:bCs w:val="1"/>
                <w:color w:val="auto"/>
              </w:rPr>
              <w:t>Amortized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Unrealized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r>
      <w:tr>
        <w:trPr>
          <w:trHeight w:val="233"/>
        </w:trPr>
        <w:tc>
          <w:tcPr>
            <w:tcW w:w="6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34"/>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79"/>
              </w:rPr>
              <w:t>Losses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 xml:space="preserve">The Company records certain financial assets and liabilities at fair value in accordance with the provisions of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on fair value measurements. As defined in the guidance, fair value, defined as an exit price, represents the amount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0"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The Company’s material financial instruments at March 31, 2019 and December 31, 2018 consisted primarily of cash and cash equivalents, short-term investments and long-term debt. The fair value of cash and cash equivalents, government bonds, other current assets and accounts payable approximate their respective carrying values due to the short term nature of these instruments and are classified as Level 1 in the fair value hierarchy. The fair value of long-term debt approximates the carrying value due to variable interest rates that correspond to market rates is classified as Level 1 in the fair value hierarchy. The Company has determined its short-term investments, comprised of treasury bills and commercial paper, to be Level 2 in the fair value hierarchy. The fair value was determined using a market approach, based on prices and other relevant information generated by market transactions involving similar assets. The short-term investments consist of investments with original maturity dates from date of acquisition of 90 to 365 days and are classified as available-for-sale.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significant transfers between Levels 1, 2 and 3 during the three months ended March 31, 2019 and the year ended December 31, 2018.</w:t>
      </w:r>
    </w:p>
    <w:p>
      <w:pPr>
        <w:spacing w:after="0" w:line="24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tables summarize the fair value of financial assets that are measured at fair value and the classification by level of input within the fair value hierarchy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9"/>
        </w:trPr>
        <w:tc>
          <w:tcPr>
            <w:tcW w:w="5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c>
          <w:tcPr>
            <w:tcW w:w="58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60" w:type="dxa"/>
            <w:vAlign w:val="bottom"/>
            <w:gridSpan w:val="2"/>
          </w:tcPr>
          <w:p>
            <w:pPr>
              <w:jc w:val="center"/>
              <w:ind w:lef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32,950</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32,950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Commercial paper</w:t>
            </w:r>
          </w:p>
        </w:tc>
        <w:tc>
          <w:tcPr>
            <w:tcW w:w="14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3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financial assets</w:t>
            </w:r>
          </w:p>
        </w:tc>
        <w:tc>
          <w:tcPr>
            <w:tcW w:w="1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33,310</w:t>
            </w:r>
          </w:p>
        </w:tc>
        <w:tc>
          <w:tcPr>
            <w:tcW w:w="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3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35,298</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60" w:type="dxa"/>
            <w:vAlign w:val="bottom"/>
            <w:gridSpan w:val="2"/>
          </w:tcPr>
          <w:p>
            <w:pPr>
              <w:jc w:val="center"/>
              <w:ind w:left="1270"/>
              <w:spacing w:after="0"/>
              <w:rPr>
                <w:sz w:val="20"/>
                <w:szCs w:val="20"/>
                <w:color w:val="auto"/>
              </w:rPr>
            </w:pPr>
            <w:r>
              <w:rPr>
                <w:rFonts w:ascii="Arial" w:cs="Arial" w:eastAsia="Arial" w:hAnsi="Arial"/>
                <w:sz w:val="18"/>
                <w:szCs w:val="18"/>
                <w:color w:val="auto"/>
                <w:w w:val="89"/>
              </w:rPr>
              <w:t>13</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8" w:right="219" w:bottom="1440" w:gutter="0" w:footer="0" w:header="0"/>
        </w:sectPr>
      </w:pPr>
    </w:p>
    <w:bookmarkStart w:id="14" w:name="page15"/>
    <w:bookmarkEnd w:id="14"/>
    <w:tbl>
      <w:tblPr>
        <w:tblLayout w:type="fixed"/>
        <w:tblInd w:w="58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r>
      <w:tr>
        <w:trPr>
          <w:trHeight w:val="213"/>
        </w:trPr>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8,042</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8,042</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Treasury bills</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7,490</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25,346</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25,346</w:t>
            </w:r>
          </w:p>
        </w:tc>
        <w:tc>
          <w:tcPr>
            <w:tcW w:w="120" w:type="dxa"/>
            <w:vAlign w:val="bottom"/>
            <w:shd w:val="clear" w:color="auto" w:fill="CFF0FC"/>
          </w:tcPr>
          <w:p>
            <w:pPr>
              <w:spacing w:after="0"/>
              <w:rPr>
                <w:sz w:val="19"/>
                <w:szCs w:val="19"/>
                <w:color w:val="auto"/>
              </w:rPr>
            </w:pPr>
          </w:p>
        </w:tc>
      </w:tr>
      <w:tr>
        <w:trPr>
          <w:trHeight w:val="223"/>
        </w:trPr>
        <w:tc>
          <w:tcPr>
            <w:tcW w:w="362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15,892</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25,346</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41,238</w:t>
            </w:r>
          </w:p>
        </w:tc>
        <w:tc>
          <w:tcPr>
            <w:tcW w:w="12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230"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Borders>
              <w:bottom w:val="single" w:sz="8" w:color="CFF0FC"/>
            </w:tcBorders>
          </w:tcPr>
          <w:p>
            <w:pPr>
              <w:spacing w:after="0"/>
              <w:rPr>
                <w:sz w:val="14"/>
                <w:szCs w:val="14"/>
                <w:color w:val="auto"/>
              </w:rPr>
            </w:pPr>
          </w:p>
        </w:tc>
        <w:tc>
          <w:tcPr>
            <w:tcW w:w="4100" w:type="dxa"/>
            <w:vAlign w:val="bottom"/>
            <w:tcBorders>
              <w:bottom w:val="single" w:sz="8" w:color="CFF0FC"/>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4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4,832,889</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3,135,929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Stock purchase warrants</w:t>
            </w:r>
          </w:p>
        </w:tc>
        <w:tc>
          <w:tcPr>
            <w:tcW w:w="5680" w:type="dxa"/>
            <w:vAlign w:val="bottom"/>
            <w:gridSpan w:val="2"/>
          </w:tcPr>
          <w:p>
            <w:pPr>
              <w:jc w:val="right"/>
              <w:spacing w:after="0"/>
              <w:rPr>
                <w:sz w:val="20"/>
                <w:szCs w:val="20"/>
                <w:color w:val="auto"/>
              </w:rPr>
            </w:pPr>
            <w:r>
              <w:rPr>
                <w:rFonts w:ascii="Arial" w:cs="Arial" w:eastAsia="Arial" w:hAnsi="Arial"/>
                <w:sz w:val="18"/>
                <w:szCs w:val="18"/>
                <w:color w:val="auto"/>
              </w:rPr>
              <w:t>29,796</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29,796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19"/>
                <w:szCs w:val="19"/>
                <w:color w:val="auto"/>
              </w:rPr>
            </w:pPr>
          </w:p>
        </w:tc>
        <w:tc>
          <w:tcPr>
            <w:tcW w:w="410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4,862,685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3,165,725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100" w:type="dxa"/>
            <w:vAlign w:val="bottom"/>
            <w:vMerge w:val="restart"/>
          </w:tcPr>
          <w:p>
            <w:pPr>
              <w:jc w:val="right"/>
              <w:ind w:right="1970"/>
              <w:spacing w:after="0"/>
              <w:rPr>
                <w:sz w:val="20"/>
                <w:szCs w:val="20"/>
                <w:color w:val="auto"/>
              </w:rPr>
            </w:pPr>
            <w:r>
              <w:rPr>
                <w:rFonts w:ascii="Arial" w:cs="Arial" w:eastAsia="Arial" w:hAnsi="Arial"/>
                <w:sz w:val="18"/>
                <w:szCs w:val="18"/>
                <w:color w:val="auto"/>
              </w:rPr>
              <w:t>14</w:t>
            </w: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76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5"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particularly in Part II – Item 1A, “Risk Factors”.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78"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2018 appearing in our Annual Report on Form 10-K filed with the SEC on March 15,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are a late-stage clinical biopharmaceutical company developing first-in-class pharmacological therapies to restore and preserve vision for people with serious eye diseases. Our current product candidates focus on diseases affecting two major components of the eye: the retina, which is the tissue that lines the inside of the eye and is primarily responsible for vision; and the choroid, which is the layer adjacent to the retina that supplies the retina with blood, oxygen and nourishment.</w:t>
      </w:r>
    </w:p>
    <w:p>
      <w:pPr>
        <w:spacing w:after="0" w:line="18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Our suprachoroidal injection platform is a novel, patented non-surgical approach for delivering pharmacotherapy to the back of the eye in the anatomic structure known as the suprachoroidal space, or SCS. The elasticity of the SCS allows for migration when fluid is injected between the choroid and sclera and allows the fluid to spread spherically toward the posterior regions of the eye where it is absorbed into adjacent tissue. We are able to precisely administer drugs into the SCS with our proprietary microinjector that utilizes a needle that is approximately 1 millimeter in length.</w:t>
      </w:r>
    </w:p>
    <w:p>
      <w:pPr>
        <w:spacing w:after="0" w:line="171"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Our suprachoroidal injection technology is used in conjunction with our proprietary formulations of existing drugs and novel therapies to create a therapeutic platform of product candidates to treat several serious eye diseases. Our lead product candidate, XIPERE, formerly known as CLS-TA, is a proprietary, preservative-free suspension of the corticosteroid triamcinolone acetonide formulated for administration via suprachoroidal injection. Based in part on the positive results from our Phase 3 PEACHTREE clinical trial, in December 2018, we submitted a New Drug Application, or NDA, to the U.S. Food and Drug Administration, or FDA, for XIPERE for the treatment of macular edema associated with uveitis. On February 19, 2019 we received notification from the FDA that it had accepted the XIPERE NDA for review and had determined that the application was sufficiently complete to permit a substantive review. The Prescription Drug User Fee Act, or PDUFA, goal date has been assigned for October 19, 2019. If approved, we anticipate launching XIPERE in the first quarter of 2020.</w:t>
      </w:r>
    </w:p>
    <w:p>
      <w:pPr>
        <w:spacing w:after="0" w:line="84"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In May 2018, we completed a Phase 2 clinical trial, which we refer to as TYBEE, evaluating the safety and efficacy of administering XIPERE in combination with intravitreal EYLEA</w:t>
      </w:r>
      <w:r>
        <w:rPr>
          <w:rFonts w:ascii="Arial" w:cs="Arial" w:eastAsia="Arial" w:hAnsi="Arial"/>
          <w:sz w:val="13"/>
          <w:szCs w:val="13"/>
          <w:color w:val="auto"/>
        </w:rPr>
        <w:t>®</w:t>
      </w:r>
      <w:r>
        <w:rPr>
          <w:rFonts w:ascii="Arial" w:cs="Arial" w:eastAsia="Arial" w:hAnsi="Arial"/>
          <w:sz w:val="16"/>
          <w:szCs w:val="16"/>
          <w:color w:val="auto"/>
        </w:rPr>
        <w:t xml:space="preserve"> (aflibercept), an anti-VEGF agent, in patients with diabetic macular edema, or DME. Based upon a review of our Phase 2 TYBEE clinical trial data, we have decided to cease clinical development of XIPERE in combination with an anti-VEGF therapy for the treatment of DME. We believe there is a path forward with XIPERE in DME and are evaluating options for clinical trials that can demonstrate the potential benefit from XIPERE as a monotherapy. We intend to discuss this strategy with appropriate regulatory authorities and, subject to the availability of additional funding, to pursue the development of XIPERE as monotherapy in DME and other potential indications outside of uveitis. We are also evaluating the potential to develop therapeutic candidates based on the administration of gene therapy and novel small molecules through the SCS using our SCS Microinjector.</w:t>
      </w:r>
    </w:p>
    <w:p>
      <w:pPr>
        <w:spacing w:after="0" w:line="59"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If XIPERE or any of our other product candidates are approved, we currently plan to commercialize them with a specialty team of approximately 20 sales and medical marketing professionals to target the approximately 1,900 uveitis and retina specialists in the United States. If we commercialize any of our product candidates ourselves, we will require significant additional funding. We may pursue collaborations with third parties to commercialize any of our drugs approved for marketing, including XIPERE, in the United States. We do not expect to commercialize any products approved outside the United States ourselves, but instead would likely seek third-party collaborations for commercialization internationally.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6" w:name="page17"/>
    <w:bookmarkEnd w:id="16"/>
    <w:p>
      <w:pPr>
        <w:ind w:firstLine="518"/>
        <w:spacing w:after="0" w:line="283" w:lineRule="auto"/>
        <w:rPr>
          <w:sz w:val="20"/>
          <w:szCs w:val="20"/>
          <w:color w:val="auto"/>
        </w:rPr>
      </w:pPr>
      <w:r>
        <w:rPr>
          <w:rFonts w:ascii="Arial" w:cs="Arial" w:eastAsia="Arial" w:hAnsi="Arial"/>
          <w:sz w:val="16"/>
          <w:szCs w:val="16"/>
          <w:color w:val="auto"/>
        </w:rPr>
        <w:t>We have incurred net losses since our inception in May 2011. Our operations to date have been limited to organizing and staffing our company, raising capital, undertaking preclinical studies and other research and development initiatives, conducting clinical trials of our most advanced product candidates and preparing to commercialize XIPERE for the treatment of macular edema associated with uveitis if approved by the FDA. To date, we have not generated any revenue, other than license and collaboration revenue, and we have primarily financed our operations through public offerings and private placements of our equity securities, issuances of convertible promissory notes and loan agreements. As of March 31, 2019, we had an accumulated deficit of $222.3 million. We recorded net losses of $15.4 million and $16.6 million for the three months ended March 31, 2019 and 2018, respectively. We anticipate that a substantial portion of our capital resources and efforts in the foreseeable future will be focused on completing the necessary clinical development of, and obtaining regulatory approval and preparing for potential commercialization of, our product candidates, including commercializing XIPERE for the treatment of macular edema associated with uveitis, if approved, either on our own or in collaboration with third parties.</w:t>
      </w:r>
    </w:p>
    <w:p>
      <w:pPr>
        <w:spacing w:after="0" w:line="7"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We expect to continue to incur significant operating losses at least for the next several years. We do not expect to generate product revenue unless and until we successfully complete necessary development of, and obtain regulatory approval for, one or more of our product candidates. Our net losses may fluctuate significantly from quarter to quarter and year to year, depending on the timing of our clinical trials and our expenditures on other research and development activities. We anticipate that our clinical trial expenses will decrease over the near term as we have discontinued late-stage clinical trials of XIPERE for indications other than uveitis. However, we will continue our efforts to seek to discover, research and develop additional product candidates and seek regulatory approvals for XIPERE for the treatment of macular edema associated with uveitis and other developmental efforts necessary to seek such approvals. We anticipate that our general and administrative expenses will increase substantially as we:</w:t>
      </w:r>
    </w:p>
    <w:p>
      <w:pPr>
        <w:spacing w:after="0" w:line="73" w:lineRule="exact"/>
        <w:rPr>
          <w:sz w:val="20"/>
          <w:szCs w:val="20"/>
          <w:color w:val="auto"/>
        </w:rPr>
      </w:pPr>
    </w:p>
    <w:p>
      <w:pPr>
        <w:ind w:left="1040" w:right="20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sales and distribution infrastructure and scale up external manufacturing capabilities to commercialize XIPERE for the treatment of macular edema associated with uveitis, if approved;</w:t>
      </w:r>
    </w:p>
    <w:p>
      <w:pPr>
        <w:spacing w:after="0" w:line="170"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25"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development and potential future commercialization efforts.</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Based on our current plans and forecasted expenses we expect that our existing cash, cash equivalents and short-term investments will enable us to fund our operating expenses and capital expenditure requirements into the first quarter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have not generated any revenue from the sale of any drugs, and we do not expect to generate any revenue unless or until we obtain regulatory approval of and commercialize our product candidates.</w:t>
      </w:r>
    </w:p>
    <w:p>
      <w:pPr>
        <w:spacing w:after="0" w:line="6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have periodically entered into short-term collaboration agreements, generally with performance obligations of one to two months, to evaluate the potential use of our proprietary SCS Microinjector with third-party product candidates for the treatment of various diseases. Funds received from these collaboration agreements are recognized as revenue over the term of the agreement.</w:t>
      </w:r>
    </w:p>
    <w:p>
      <w:pPr>
        <w:spacing w:after="0" w:line="73"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We may enter into additional collaboration agreements to evaluate the potential use of our proprietary SCS Microinjector with third-party product candidates for the treatment of various eye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Since our inception, we have focused on our development programs. 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5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nonclinical activities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our product candidates;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7" w:name="page18"/>
    <w:bookmarkEnd w:id="17"/>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jc w:val="both"/>
        <w:ind w:right="300" w:firstLine="518"/>
        <w:spacing w:after="0" w:line="286" w:lineRule="auto"/>
        <w:rPr>
          <w:sz w:val="20"/>
          <w:szCs w:val="20"/>
          <w:color w:val="auto"/>
        </w:rPr>
      </w:pPr>
      <w:r>
        <w:rPr>
          <w:rFonts w:ascii="Arial" w:cs="Arial" w:eastAsia="Arial" w:hAnsi="Arial"/>
          <w:sz w:val="17"/>
          <w:szCs w:val="17"/>
          <w:color w:val="auto"/>
        </w:rPr>
        <w:t>We expense research and development costs to operations as incurred. The costs for some of our development activities, such as clinical trials,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w:t>
      </w:r>
    </w:p>
    <w:p>
      <w:pPr>
        <w:spacing w:after="0" w:line="166" w:lineRule="exact"/>
        <w:rPr>
          <w:sz w:val="20"/>
          <w:szCs w:val="20"/>
          <w:color w:val="auto"/>
        </w:rPr>
      </w:pPr>
    </w:p>
    <w:p>
      <w:pPr>
        <w:ind w:right="360" w:firstLine="518"/>
        <w:spacing w:after="0" w:line="302" w:lineRule="auto"/>
        <w:rPr>
          <w:sz w:val="20"/>
          <w:szCs w:val="20"/>
          <w:color w:val="auto"/>
        </w:rPr>
      </w:pPr>
      <w:r>
        <w:rPr>
          <w:rFonts w:ascii="Arial" w:cs="Arial" w:eastAsia="Arial" w:hAnsi="Arial"/>
          <w:sz w:val="16"/>
          <w:szCs w:val="16"/>
          <w:color w:val="auto"/>
        </w:rPr>
        <w:t>Expenses related to activities, such as manufacturing and stability and toxicology studies, that are supportive of a product candidate itself, are classified as direct preclinical costs. Expenses related to clinical trials and similar activities, including costs associated with CROs, are classified as direct clinical costs. Expenses related to activities that support more than one development program or activity, such as salaries, share-based compensation and depreciation, are not classified as direct clinical costs or preclinical costs and are separately classified as unallocated.</w:t>
      </w:r>
    </w:p>
    <w:p>
      <w:pPr>
        <w:spacing w:after="0" w:line="154"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For the three months ended March 31, 2019 and 2018, substantially all of our research and development expenses were related to the clinical development of our product candidates.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shows our research and development expenses by program, including those that have been discontinued, for the three months ended March 31, 2019 and 2018 (in thousands).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5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4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CFF0FC"/>
            </w:tcBorders>
          </w:tcPr>
          <w:p>
            <w:pPr>
              <w:spacing w:after="0"/>
              <w:rPr>
                <w:sz w:val="18"/>
                <w:szCs w:val="18"/>
                <w:color w:val="auto"/>
              </w:rPr>
            </w:pPr>
          </w:p>
        </w:tc>
      </w:tr>
      <w:tr>
        <w:trPr>
          <w:trHeight w:val="226"/>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XIPERE (uveitis program)</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XIPERE (RVO program)</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7,376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XIPERE (DME program)</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11,126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13,379</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 Historically, any such modifications have not been material.</w:t>
      </w:r>
    </w:p>
    <w:p>
      <w:pPr>
        <w:spacing w:after="0" w:line="15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73"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the following:</w:t>
      </w:r>
    </w:p>
    <w:p>
      <w:pPr>
        <w:spacing w:after="0" w:line="62" w:lineRule="exact"/>
        <w:rPr>
          <w:sz w:val="20"/>
          <w:szCs w:val="20"/>
          <w:color w:val="auto"/>
        </w:rPr>
      </w:pPr>
    </w:p>
    <w:p>
      <w:pPr>
        <w:ind w:left="1040" w:right="32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XIPERE and the SCS Microinjector for clinical trials and for requirements associated with regulatory filings associated with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trials required for approval and any requirement for extension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225"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580" w:firstLine="518"/>
        <w:spacing w:after="0" w:line="286"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share-based compensation, for personnel in executive, finance and administrative functions. General and administrative costs include facility related costs not otherwise included in research and development expenses, professional fees for legal, patent, consulting, and accounting and audit services.</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the potential commercialization of our product candidates. Additionally, we anticipate increased costs related to services associated with maintaining compliance with Nasdaq listing rules and SEC requirements, including compliance with the Sarbanes-Oxley Act, director and officer insurance, and investor and public relations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Other income consists of interest income earned on our cash and cash equivalents and short-term investments. Interest income is not considered significant to our financial statements.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primarily consists of interest expense under our loan agreements for the three months ended March 31,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 xml:space="preserve">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three months ended March 31, 2019, there were no significant changes to our critical accounting policies disclosed in our audited financial statements for the year ended December 31, 2018, which are included in our Annual Report on Form 10-K, as filed with the SEC on March 15, 2019, other than our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as described in Note 2 to our financial statements included in this report.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 for the Three Months Ended March 31, 2019 and 2018</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three months ended March 31,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6"/>
          </w:tcPr>
          <w:p>
            <w:pPr>
              <w:jc w:val="right"/>
              <w:ind w:right="128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7"/>
              </w:rPr>
              <w:t>Period-to-Period</w:t>
            </w:r>
          </w:p>
        </w:tc>
      </w:tr>
      <w:tr>
        <w:trPr>
          <w:trHeight w:val="213"/>
        </w:trPr>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07"/>
        </w:trPr>
        <w:tc>
          <w:tcPr>
            <w:tcW w:w="4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w w:val="90"/>
              </w:rPr>
              <w:t>(in thousands)</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Collaboration revenue</w:t>
            </w:r>
          </w:p>
        </w:tc>
        <w:tc>
          <w:tcPr>
            <w:tcW w:w="2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(2,412)</w:t>
            </w: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FF0FC"/>
          </w:tcPr>
          <w:p>
            <w:pPr>
              <w:spacing w:after="0"/>
              <w:rPr>
                <w:sz w:val="19"/>
                <w:szCs w:val="19"/>
                <w:color w:val="auto"/>
              </w:rPr>
            </w:pPr>
          </w:p>
        </w:tc>
      </w:tr>
      <w:tr>
        <w:trPr>
          <w:trHeight w:val="223"/>
        </w:trPr>
        <w:tc>
          <w:tcPr>
            <w:tcW w:w="4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Other expense, net</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r>
        <w:trPr>
          <w:trHeight w:val="223"/>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In the three months ended March 31, 2019, we recognized $45,000 of revenue associated with collaboration agreements to evaluate the</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use of our proprietary SCS Microinjector with third-party product candidates for the treatment of various diseases.</w:t>
      </w:r>
    </w:p>
    <w:p>
      <w:pPr>
        <w:spacing w:after="0" w:line="14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 decreased by $2.4 million, from $13.4 million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2018 to $11.0 million for the three months ended March 31, 2019. This was primarily attributable to a $1.4 million decrease due the completion of the PEACHTREE trial during the first quarter of 2018, a $1.2 million decrease in costs related to our DME program, as the TYBEE trial was completed in the second quarter of 2018, and a $0.6 million decrease due to closing down two late-stage clinical trials, SAPPHIRE and TOPAZ. These decreases were partially offset by a $0.8 million increase in employee-related costs and a $0.5 million increase in manufacturing costs for XIPERE.</w:t>
      </w:r>
    </w:p>
    <w:p>
      <w:pPr>
        <w:spacing w:after="0" w:line="158"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increased by $1.3 million, from $3.1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2018 to $4.4 million for the three months ended March 31, 2019. The increase was primarily attributable to a $0.6 million increase in employee-related costs and an increase of $0.6 million in marketing-related expenses as we prepare for potential commercialization of XIPERE.</w:t>
      </w:r>
    </w:p>
    <w:p>
      <w:pPr>
        <w:spacing w:after="0" w:line="166"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for each of the three months ended March 31, 2019 and 2018 primarily consisted of interest on long-term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financing costs, the accretion of warrants and the final payment related to our loan agreements, offset in part by interest income from our short-term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We have funded our operations primarily through the proceeds of public offerings of our common stock, sales of convertible preferred stock and the issuance of long-term debt. As of March 31, 2019, we had cash, cash equivalents and short-term investments of $34.9 million. We invest any cash in excess of our immediate requirements primarily with a view to liquidity and capital preservation. As of March 31, 2019, our funds were held in cash, money market funds and commercial paper.</w:t>
      </w:r>
    </w:p>
    <w:p>
      <w:pPr>
        <w:spacing w:after="0" w:line="79"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On June 30, 2017, we entered into an at-the-market sales agreement, or the ATM agreement, with Cowen and Company LLC, or Cowen, under which we may offer and sell, from time to time at our sole discretion, shares of our common stock having an aggregate offering price of up to $50.0 million through Cowen acting as our sales agent. As of March 31, 2019, we have sold 4.7 million shares of our common stock for net proceeds of $6.6 million under the ATM agreement. Our registration statement on Form S-3 contemplated under the ATM agreement was declared effective by the SEC on July 13, 2017. The registration statement on Form S-3 includes a prospectus supplement covering the offering up to $18.5 million of shares of common stock over the 12 months ending March 15, 2020 in accordance with the ATM agreement.</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September 28, 2016, we entered into an amended and restated loan and security agreement with Silicon Valley Bank, or SVB, and entities affiliated with MidCap Financial Services, which we refer to collectively with SVB as the Lenders. The amended and restated loan and security agreement provided for new term loans of up to $15.0 million, with a floating interest rate equal to 7% plus the greater of (i) the 30-day U.S. LIBOR, as reported in the Wall Street Journal on the last business day of the month that immediately preceded the month in which the interest was to accrue, or (ii) 0.50%. We borrowed an initial tranche of $8.0 million on September 28, 2016, of which $5.3 million was used to repay all amounts outstanding under our prior loan agreement with SVB.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0" w:name="page21"/>
    <w:bookmarkEnd w:id="20"/>
    <w:p>
      <w:pPr>
        <w:ind w:right="40"/>
        <w:spacing w:after="0" w:line="259" w:lineRule="auto"/>
        <w:rPr>
          <w:sz w:val="20"/>
          <w:szCs w:val="20"/>
          <w:color w:val="auto"/>
        </w:rPr>
      </w:pPr>
      <w:r>
        <w:rPr>
          <w:rFonts w:ascii="Arial" w:cs="Arial" w:eastAsia="Arial" w:hAnsi="Arial"/>
          <w:sz w:val="18"/>
          <w:szCs w:val="18"/>
          <w:color w:val="auto"/>
        </w:rPr>
        <w:t>draw period for the remaining $7.0 million available under the amended and restated loan and security agreement expired on March 31, 2018. In connection with the amended and restated loan and security agreement, we issued warrants to the Lenders to purchase up to 29,796 shares of common stock at a price per share of $10.74. The warrants expire in September 2026, or earlier upon the occurrence of specified mergers or acquisitions of our company, and are immediately exercisable.</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On May 14, 2018, we entered into a second amended and restated loan and security agreement with the Lenders, or the Loan Agreement, which amended and restated in its entirety the prior amended and restated loan and security agreement with the Lenders. The Loan Agreement provides for new term loans of up to $20.0 million, with a floating interest rate equal to 6.5% plus the greater of (i) the 30-day U.S. LIBOR, as reported in the Wall Street Journal on the last business day of the month that immediately precedes the month in which the interest will accrue or (ii) 1.89%.</w:t>
      </w:r>
    </w:p>
    <w:p>
      <w:pPr>
        <w:spacing w:after="0" w:line="17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We borrowed an initial tranche of $10.0 million on May 14, 2018, of which $7.0 million was used to repay all amounts outstanding under the amended and restated loan and security agreement, including the fees payable in connection with the final payment. The prepayment fees were waived. Of the remaining $10.0 million, $5.0 million became available but we elected not to draw it, and the other $5.0 million did not become available for draw.</w:t>
      </w:r>
    </w:p>
    <w:p>
      <w:pPr>
        <w:spacing w:after="0" w:line="14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are required to pay accrued interest only on the $10.0 million outstanding balance through October 31, 2019, followed by consecutive equal monthly payments of principal and interest in arrears continuing through the maturity date of October 1, 2022. We have the option to prepay the outstanding balance in full, subject to a prepayment fee of 3% of the original principal amount for any prepayment prior to May 14, 2019 or 2% of the original principal amount for any prepayment on or after May 14, 2019 but prior to October 1, 2022. A final payment of 5.50% of the aggregate borrowed amount is due at maturity of the loan on October 1, 2022, or upon the prepayment of the facility or the acceleration of amounts due under the facility as a result of an event of default.</w:t>
      </w:r>
    </w:p>
    <w:p>
      <w:pPr>
        <w:spacing w:after="0" w:line="19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amounts due under the Loan Agreement are secured by substantially all of our assets, except that the collateral does not include any of our intellectual property. However, pursuant to the terms of a negative pledge arrangement, we have agreed not to encumber any of our intellectual property.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right="680" w:firstLine="518"/>
        <w:spacing w:after="0" w:line="342" w:lineRule="auto"/>
        <w:rPr>
          <w:sz w:val="20"/>
          <w:szCs w:val="20"/>
          <w:color w:val="auto"/>
        </w:rPr>
      </w:pPr>
      <w:r>
        <w:rPr>
          <w:rFonts w:ascii="Arial" w:cs="Arial" w:eastAsia="Arial" w:hAnsi="Arial"/>
          <w:sz w:val="16"/>
          <w:szCs w:val="16"/>
          <w:color w:val="auto"/>
        </w:rPr>
        <w:t>Our primary uses of capital are, and we expect will continue to be, compensation and related expenses, costs related to our NDA submission, preparation for XIPERE’s anticipated commercial launch in the first quarter of 2020, legal and other regulatory expenses and general overhead costs.</w:t>
      </w:r>
    </w:p>
    <w:p>
      <w:pPr>
        <w:spacing w:after="0" w:line="124"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XIPERE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9"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225"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170"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and potential collaboration, license and development agreements. We do not currently have any committed external source of funds, and, as described above, we may also be able to sell our common stock under the ATM agreement with Cowen subject to the terms of that agreement and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right="100" w:firstLine="518"/>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We also incur costs as a public company, including increased costs and expenses for fees to members of our board of directors, increased personnel costs, increased directors and officers insurance premiums, audit and legal fees, investor relations fees and expenses for compliance with reporting requirements under the Exchange Act and rules implemented by the SEC and Nasdaq.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have suffered recurring losses and negative cash flows from operations since inception and anticipate incurring additional losses until such time, if ever, that we can obtain FDA approval to market, and then generate significant sales of XIPERE. We will need additional financing to fund our operations and commercialize XIPERE.</w:t>
      </w:r>
    </w:p>
    <w:p>
      <w:pPr>
        <w:spacing w:after="0" w:line="7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Based on our current research and development plans, including the discontinuation of clinical development of XIPERE together with an anti-VEGF agent for the treatment of retinal vein occlusion, or RVO, our plans to reduce certain administrative expenses and our timing expectations related to the approval of our NDA submission, we expect that our existing cash, cash equivalents and short-term investments will enable us to fund our operating expenses and capital expenditure requirements into the first quarter of 2020. Accordingly, we have plans to mitigate this going concern risk, which primarily consist of raising additional capital, potentially in a combination of equity or debt financings, or entering into potential collaborations, partnerships and other strategic arrangements. We have based this estimate on assumptions that may prove to be wrong, and we could exhaust our capital resources sooner than we expect. These conditions raise substantial doubt about our ability to continue as a going concern within one year after the date of this report.</w:t>
      </w:r>
    </w:p>
    <w:p>
      <w:pPr>
        <w:spacing w:after="0" w:line="59"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Our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 (in thousands):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4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300" w:type="dxa"/>
            <w:vAlign w:val="bottom"/>
            <w:tcBorders>
              <w:bottom w:val="single" w:sz="8" w:color="CFF0FC"/>
            </w:tcBorders>
          </w:tcPr>
          <w:p>
            <w:pPr>
              <w:spacing w:after="0"/>
              <w:rPr>
                <w:sz w:val="18"/>
                <w:szCs w:val="18"/>
                <w:color w:val="auto"/>
              </w:rPr>
            </w:pPr>
          </w:p>
        </w:tc>
        <w:tc>
          <w:tcPr>
            <w:tcW w:w="1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FF0FC"/>
            </w:tcBorders>
          </w:tcPr>
          <w:p>
            <w:pPr>
              <w:spacing w:after="0"/>
              <w:rPr>
                <w:sz w:val="18"/>
                <w:szCs w:val="18"/>
                <w:color w:val="auto"/>
              </w:rPr>
            </w:pPr>
          </w:p>
        </w:tc>
      </w:tr>
      <w:tr>
        <w:trPr>
          <w:trHeight w:val="22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6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(12,653)</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(15,653)</w:t>
            </w: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12,245</w:t>
            </w:r>
          </w:p>
        </w:tc>
        <w:tc>
          <w:tcPr>
            <w:tcW w:w="80" w:type="dxa"/>
            <w:vAlign w:val="bottom"/>
            <w:shd w:val="clear" w:color="auto" w:fill="CFF0FC"/>
          </w:tcPr>
          <w:p>
            <w:pPr>
              <w:spacing w:after="0"/>
              <w:rPr>
                <w:sz w:val="19"/>
                <w:szCs w:val="19"/>
                <w:color w:val="auto"/>
              </w:rPr>
            </w:pPr>
          </w:p>
        </w:tc>
      </w:tr>
      <w:tr>
        <w:trPr>
          <w:trHeight w:val="230"/>
        </w:trPr>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4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79,018</w:t>
            </w:r>
          </w:p>
        </w:tc>
        <w:tc>
          <w:tcPr>
            <w:tcW w:w="80" w:type="dxa"/>
            <w:vAlign w:val="bottom"/>
            <w:tcBorders>
              <w:bottom w:val="single" w:sz="8" w:color="CFF0FC"/>
            </w:tcBorders>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75,610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During the three months ended March 31, 2019 and 2018, our operating activities used net cash of $12.7 million and $15.7 million, respectively. The use of cash in each period primarily resulted from our net losses. The decrease in net loss for the three months ended March 31, 2019 as compared to the three months ended March 31, 2018 was primarily attributable to the lower research and development expenses as a result of the completion of the PEACHTREE and TYBEE trials in the prior year and the shut-down of the SAPPHIRE and TOPAZ trials, partially offset by commercialization activities described above.</w:t>
      </w:r>
    </w:p>
    <w:p>
      <w:pPr>
        <w:spacing w:after="0" w:line="154" w:lineRule="exact"/>
        <w:rPr>
          <w:sz w:val="20"/>
          <w:szCs w:val="20"/>
          <w:color w:val="auto"/>
        </w:rPr>
      </w:pPr>
    </w:p>
    <w:p>
      <w:pPr>
        <w:ind w:right="780" w:firstLine="518"/>
        <w:spacing w:after="0" w:line="342" w:lineRule="auto"/>
        <w:rPr>
          <w:sz w:val="20"/>
          <w:szCs w:val="20"/>
          <w:color w:val="auto"/>
        </w:rPr>
      </w:pPr>
      <w:r>
        <w:rPr>
          <w:rFonts w:ascii="Arial" w:cs="Arial" w:eastAsia="Arial" w:hAnsi="Arial"/>
          <w:sz w:val="16"/>
          <w:szCs w:val="16"/>
          <w:color w:val="auto"/>
        </w:rPr>
        <w:t>During the three months ended March 31, 2019 and 2018, our net cash provided by investing activities was $30.9 million and $12.2 million, respectively. In each period, cash flows from investing activities were related primarily to maturities of short-term, available-for-sale investments.</w:t>
      </w:r>
    </w:p>
    <w:p>
      <w:pPr>
        <w:spacing w:after="0" w:line="12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During the three months ended March 31, 2019 and 2018, our net cash provided by financing activities was $6.6 million and $79.0 million, respectively. The net cash provided by financing activities for the three months ended March 31, 2019 was comprised of net proceeds from the sales of shares of common stock under the ATM agreement. The net cash provided by financing activities for the three months ended March 31, 2018 was comprised of the net proceeds of $79.6 million received from our March 2018 public</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offering of common stock, the net proceeds of $10.0 million from the second amended and restated loan and security agreement, offset by $8.3 million paid to satisfy our obligations under the prior loan agreement, and $0.4 million of proceeds from the exercise of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As of March 31, 2019, there were no significant changes to our contractual obligations from those presented as of December 31, 2018 in our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1, “Financial Statements – Note 2, Significant Accounting Policies” for a discussion of recent accounting pronouncements and their effect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March 31, 2019 and December 31, 2018, we had cash and cash equivalents of $33.0 million and $8.0 million, respectively. We generally hold our cash in interest-bearing money market accounts. As of March 31, 2019 and December 31, 2018, we had short-term investments of $2.0 million and $32.8 million, respectively. The short-term investments included commercial paper and treasury bills. Our primary exposure to market risk is interest rate sensitivity, which is affected by changes in the general level of U.S. interest rates. Due to the short-term maturities of our cash equivalents and short-term investments and the low risk profile of our investments, an immediate 100 basis point change in interest rates would not have a material effect on the fair market value of our cash equivalents and short-term investments.</w:t>
      </w:r>
    </w:p>
    <w:p>
      <w:pPr>
        <w:spacing w:after="0" w:line="178"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We do not engage in any hedging activities against changes in interest rates. Our outstanding debt instruments carried a floating interest rate that is 6.5% plus the greater of (i) the 30-day U.S. LIBOR, reported in the Wall Street Journal on the last business day of the month that immediately precedes the month in which the interest will accrue or (ii) 1.89%. We estimate that a one percentage point increase in the applicable interest rate under our loan agreements would have resulted in a $25,000 and $100,000 increase in interest expense for the three months ended March 31, 2019 and the year ended December 31, 2018, respectively.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foreign currency or other material derivative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3"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spacing w:after="0" w:line="257" w:lineRule="auto"/>
        <w:rPr>
          <w:sz w:val="20"/>
          <w:szCs w:val="20"/>
          <w:color w:val="auto"/>
        </w:rPr>
      </w:pPr>
      <w:r>
        <w:rPr>
          <w:rFonts w:ascii="Arial" w:cs="Arial" w:eastAsia="Arial" w:hAnsi="Arial"/>
          <w:sz w:val="18"/>
          <w:szCs w:val="18"/>
          <w:color w:val="auto"/>
        </w:rPr>
        <w:t>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8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Our management, with the participation of our Interim Chief Executive Officer and Chief Financial Officer, has evaluated the effectiveness of our disclosure controls and procedures as of the end of the period covered by this report. Based on that evaluation, our Interim Chief Executive Officer and Chief Financial Officer concluded that our disclosure controls and procedures were effective as of the end of the period covered by this report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2019 that has materially affected, or is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2018, filed with the Securities and Exchange Commission on March 15, 2019. There have been no material changes to the risk factors described in that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right="8520" w:hanging="512"/>
        <w:spacing w:after="0" w:line="402" w:lineRule="auto"/>
        <w:tabs>
          <w:tab w:leader="none" w:pos="51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of Unregistered Securities </w:t>
      </w:r>
      <w:r>
        <w:rPr>
          <w:rFonts w:ascii="Arial" w:cs="Arial" w:eastAsia="Arial" w:hAnsi="Arial"/>
          <w:sz w:val="18"/>
          <w:szCs w:val="18"/>
          <w:color w:val="auto"/>
        </w:rPr>
        <w:t>None.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40" w:type="dxa"/>
            <w:vAlign w:val="bottom"/>
            <w:gridSpan w:val="10"/>
          </w:tcPr>
          <w:p>
            <w:pPr>
              <w:spacing w:after="0"/>
              <w:rPr>
                <w:sz w:val="20"/>
                <w:szCs w:val="20"/>
                <w:color w:val="auto"/>
              </w:rPr>
            </w:pPr>
            <w:r>
              <w:rPr>
                <w:rFonts w:ascii="Arial" w:cs="Arial" w:eastAsia="Arial" w:hAnsi="Arial"/>
                <w:sz w:val="18"/>
                <w:szCs w:val="18"/>
                <w:color w:val="auto"/>
              </w:rPr>
              <w:t>Description</w:t>
            </w:r>
          </w:p>
        </w:tc>
      </w:tr>
      <w:tr>
        <w:trPr>
          <w:trHeight w:val="291"/>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40" w:type="dxa"/>
            <w:vAlign w:val="bottom"/>
            <w:tcBorders>
              <w:top w:val="single" w:sz="8" w:color="auto"/>
            </w:tcBorders>
            <w:gridSpan w:val="10"/>
          </w:tcPr>
          <w:p>
            <w:pPr>
              <w:spacing w:after="0"/>
              <w:rPr>
                <w:rFonts w:ascii="Arial" w:cs="Arial" w:eastAsia="Arial" w:hAnsi="Arial"/>
                <w:sz w:val="18"/>
                <w:szCs w:val="18"/>
                <w:color w:val="0000EE"/>
                <w:w w:val="92"/>
              </w:rPr>
            </w:pPr>
            <w:hyperlink r:id="rId44">
              <w:r>
                <w:rPr>
                  <w:rFonts w:ascii="Arial" w:cs="Arial" w:eastAsia="Arial" w:hAnsi="Arial"/>
                  <w:sz w:val="18"/>
                  <w:szCs w:val="18"/>
                  <w:color w:val="0000EE"/>
                  <w:w w:val="92"/>
                </w:rPr>
                <w:t>Amended and Restated Certificate of Incorporation (incorporated herein by reference to Exhibit 3.1 to the Registrant’s Current Report on</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Form 8-K (File No. 001-37783) filed with the SEC on June 7, 2016).</w:t>
              </w:r>
            </w:hyperlink>
          </w:p>
        </w:tc>
        <w:tc>
          <w:tcPr>
            <w:tcW w:w="4900" w:type="dxa"/>
            <w:vAlign w:val="bottom"/>
            <w:tcBorders>
              <w:top w:val="single" w:sz="8" w:color="0000EE"/>
            </w:tcBorders>
            <w:gridSpan w:val="6"/>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40" w:type="dxa"/>
            <w:vAlign w:val="bottom"/>
            <w:gridSpan w:val="10"/>
          </w:tcPr>
          <w:p>
            <w:pPr>
              <w:spacing w:after="0"/>
              <w:rPr>
                <w:rFonts w:ascii="Arial" w:cs="Arial" w:eastAsia="Arial" w:hAnsi="Arial"/>
                <w:sz w:val="18"/>
                <w:szCs w:val="18"/>
                <w:color w:val="0000EE"/>
                <w:w w:val="92"/>
              </w:rPr>
            </w:pPr>
            <w:hyperlink r:id="rId45">
              <w:r>
                <w:rPr>
                  <w:rFonts w:ascii="Arial" w:cs="Arial" w:eastAsia="Arial" w:hAnsi="Arial"/>
                  <w:sz w:val="18"/>
                  <w:szCs w:val="18"/>
                  <w:color w:val="0000EE"/>
                  <w:w w:val="92"/>
                </w:rPr>
                <w:t>Amended and Restated Bylaws (incorporated herein by reference to Exhibit 3.2 to the Registrant’s Current Report on Form 8-K (File No.</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001-37783) filed with the SEC on June 7, 2016).</w:t>
              </w:r>
            </w:hyperlink>
          </w:p>
        </w:tc>
        <w:tc>
          <w:tcPr>
            <w:tcW w:w="6380" w:type="dxa"/>
            <w:vAlign w:val="bottom"/>
            <w:tcBorders>
              <w:top w:val="single" w:sz="8" w:color="0000EE"/>
            </w:tcBorders>
            <w:gridSpan w:val="8"/>
          </w:tcPr>
          <w:p>
            <w:pPr>
              <w:spacing w:after="0"/>
              <w:rPr>
                <w:sz w:val="17"/>
                <w:szCs w:val="17"/>
                <w:color w:val="auto"/>
              </w:rPr>
            </w:pPr>
          </w:p>
        </w:tc>
        <w:tc>
          <w:tcPr>
            <w:tcW w:w="140" w:type="dxa"/>
            <w:vAlign w:val="bottom"/>
          </w:tcPr>
          <w:p>
            <w:pPr>
              <w:spacing w:after="0"/>
              <w:rPr>
                <w:sz w:val="17"/>
                <w:szCs w:val="17"/>
                <w:color w:val="auto"/>
              </w:rPr>
            </w:pP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gridSpan w:val="10"/>
          </w:tcPr>
          <w:p>
            <w:pPr>
              <w:spacing w:after="0"/>
              <w:rPr>
                <w:rFonts w:ascii="Arial" w:cs="Arial" w:eastAsia="Arial" w:hAnsi="Arial"/>
                <w:sz w:val="18"/>
                <w:szCs w:val="18"/>
                <w:color w:val="0000EE"/>
                <w:w w:val="92"/>
              </w:rPr>
            </w:pPr>
            <w:hyperlink r:id="rId46">
              <w:r>
                <w:rPr>
                  <w:rFonts w:ascii="Arial" w:cs="Arial" w:eastAsia="Arial" w:hAnsi="Arial"/>
                  <w:sz w:val="18"/>
                  <w:szCs w:val="18"/>
                  <w:color w:val="0000EE"/>
                  <w:w w:val="92"/>
                </w:rPr>
                <w:t>Letter agreement, dated April 16, 2019, by and between the Company and George Lasezkay (incorporated herein by to reference Exhibit</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w:t>
              </w:r>
              <w:r>
                <w:rPr>
                  <w:rFonts w:ascii="Arial" w:cs="Arial" w:eastAsia="Arial" w:hAnsi="Arial"/>
                  <w:sz w:val="18"/>
                  <w:szCs w:val="18"/>
                  <w:color w:val="0000EE"/>
                  <w:w w:val="92"/>
                </w:rPr>
                <w:t xml:space="preserve"> to the Registrant’s Current Report on Form 8-K (File No. 001-37783) filed with the SEC on April 17, 2019).</w:t>
              </w:r>
            </w:hyperlink>
          </w:p>
        </w:tc>
        <w:tc>
          <w:tcPr>
            <w:tcW w:w="1660" w:type="dxa"/>
            <w:vAlign w:val="bottom"/>
            <w:tcBorders>
              <w:top w:val="single" w:sz="8" w:color="0000EE"/>
            </w:tcBorders>
            <w:gridSpan w:val="2"/>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4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Certification of Principal Executive Officer under Section 302 of the Sarbanes-Oxley Act.</w:t>
              </w:r>
            </w:hyperlink>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6480" w:type="dxa"/>
            <w:vAlign w:val="bottom"/>
            <w:tcBorders>
              <w:top w:val="single" w:sz="8" w:color="0000EE"/>
            </w:tcBorders>
            <w:gridSpan w:val="4"/>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Certification of Principal Financial Officer under Section 302 of the Sarbanes-Oxley Act.</w:t>
              </w:r>
            </w:hyperlink>
          </w:p>
        </w:tc>
        <w:tc>
          <w:tcPr>
            <w:tcW w:w="3560" w:type="dxa"/>
            <w:vAlign w:val="bottom"/>
            <w:gridSpan w:val="6"/>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40" w:type="dxa"/>
            <w:vAlign w:val="bottom"/>
            <w:gridSpan w:val="3"/>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88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Certifications of Principal Executive Officer and Principal Financial Officer under Section 906 of the Sarbanes-Oxley Act.</w:t>
              </w:r>
            </w:hyperlink>
          </w:p>
        </w:tc>
        <w:tc>
          <w:tcPr>
            <w:tcW w:w="1200" w:type="dxa"/>
            <w:vAlign w:val="bottom"/>
            <w:gridSpan w:val="4"/>
          </w:tcPr>
          <w:p>
            <w:pPr>
              <w:spacing w:after="0"/>
              <w:rPr>
                <w:sz w:val="24"/>
                <w:szCs w:val="24"/>
                <w:color w:val="auto"/>
              </w:rPr>
            </w:pPr>
          </w:p>
        </w:tc>
      </w:tr>
      <w:tr>
        <w:trPr>
          <w:trHeight w:val="358"/>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right="500" w:hanging="512"/>
        <w:spacing w:after="0" w:line="277"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Clearside Biomedical, Inc.</w:t>
      </w:r>
    </w:p>
    <w:p>
      <w:pPr>
        <w:sectPr>
          <w:pgSz w:w="11900" w:h="16838" w:orient="portrait"/>
          <w:cols w:equalWidth="0" w:num="1">
            <w:col w:w="10800"/>
          </w:cols>
          <w:pgMar w:left="240" w:top="337" w:right="85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 May 10, 2019</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29210</wp:posOffset>
            </wp:positionV>
            <wp:extent cx="2675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6140" w:space="720"/>
            <w:col w:w="900" w:space="720"/>
            <w:col w:w="2320"/>
          </w:cols>
          <w:pgMar w:left="240" w:top="337" w:right="859" w:bottom="1440" w:gutter="0" w:footer="0" w:header="0"/>
          <w:type w:val="continuous"/>
        </w:sectPr>
      </w:pPr>
    </w:p>
    <w:p>
      <w:pPr>
        <w:jc w:val="center"/>
        <w:ind w:left="718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(On behalf of the Registrant and as</w:t>
      </w:r>
    </w:p>
    <w:p>
      <w:pPr>
        <w:spacing w:after="0" w:line="4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00"/>
          </w:cols>
          <w:pgMar w:left="240" w:top="337" w:right="85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George Lasezkay, certify that:</w:t>
      </w:r>
    </w:p>
    <w:p>
      <w:pPr>
        <w:spacing w:after="0" w:line="11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2019 of Clearside Biomedical,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480" w:right="160" w:hanging="472"/>
        <w:spacing w:after="0" w:line="308"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George Lasezkay, Pharm. D., J.D.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Lasezkay, Pharm. 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2019 of Clearside Biomedical,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Charles A. Deignan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George Lasezkay, Interim Chief Executive Officer of Clearside Biomedical, Inc. (the “Company”), and Charles A. Deignan, Chief Financial Officer of the Company, each hereby certifies that, to the best of his knowledge:</w:t>
      </w:r>
    </w:p>
    <w:p>
      <w:pPr>
        <w:spacing w:after="0" w:line="39" w:lineRule="exact"/>
        <w:rPr>
          <w:sz w:val="20"/>
          <w:szCs w:val="20"/>
          <w:color w:val="auto"/>
        </w:rPr>
      </w:pPr>
    </w:p>
    <w:p>
      <w:pPr>
        <w:ind w:left="520" w:right="480" w:hanging="512"/>
        <w:spacing w:after="0" w:line="308" w:lineRule="auto"/>
        <w:tabs>
          <w:tab w:leader="none" w:pos="52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The Company’s Quarterly Report on Form 10-Q for the period ended March 31, 2019,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b w:val="1"/>
          <w:bCs w:val="1"/>
          <w:color w:val="auto"/>
        </w:rPr>
      </w:pPr>
    </w:p>
    <w:p>
      <w:pPr>
        <w:ind w:left="520" w:right="580" w:hanging="512"/>
        <w:spacing w:after="0" w:line="277" w:lineRule="auto"/>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10th day of May 2019.</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George Lasezkay, Pharm. D., J.D.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George Lasezkay, Pharm. 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Charles A. Deignan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pacing w:after="0" w:line="211" w:lineRule="exact"/>
        <w:rPr>
          <w:sz w:val="20"/>
          <w:szCs w:val="20"/>
          <w:color w:val="auto"/>
        </w:rPr>
      </w:pPr>
    </w:p>
    <w:p>
      <w:pPr>
        <w:sectPr>
          <w:pgSz w:w="11900" w:h="16838" w:orient="portrait"/>
          <w:cols w:equalWidth="0" w:num="2">
            <w:col w:w="6140" w:space="720"/>
            <w:col w:w="4560"/>
          </w:cols>
          <w:pgMar w:left="240" w:top="121" w:right="239" w:bottom="1440" w:gutter="0" w:footer="0" w:header="0"/>
          <w:type w:val="continuous"/>
        </w:sectPr>
      </w:pPr>
    </w:p>
    <w:p>
      <w:pPr>
        <w:spacing w:after="0" w:line="51" w:lineRule="exact"/>
        <w:rPr>
          <w:sz w:val="20"/>
          <w:szCs w:val="20"/>
          <w:color w:val="auto"/>
        </w:rPr>
      </w:pPr>
    </w:p>
    <w:p>
      <w:pPr>
        <w:ind w:left="520" w:right="80" w:hanging="512"/>
        <w:spacing w:after="0" w:line="286"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44" Type="http://schemas.openxmlformats.org/officeDocument/2006/relationships/hyperlink" Target="http://www.sec.gov/Archives/edgar/data/1539029/000119312516615374/d208521dex31.htm" TargetMode="External"/><Relationship Id="rId45" Type="http://schemas.openxmlformats.org/officeDocument/2006/relationships/hyperlink" Target="http://www.sec.gov/Archives/edgar/data/1539029/000119312516615374/d208521dex32.htm" TargetMode="External"/><Relationship Id="rId46" Type="http://schemas.openxmlformats.org/officeDocument/2006/relationships/hyperlink" Target="http://www.sec.gov/Archives/edgar/data/1539029/000156459019011832/clsd-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2019-12-28T12:04:32Z</dcterms:created>
  <dcterms:modified xsi:type="dcterms:W3CDTF">2019-12-28T12:04:32Z</dcterms:modified>
</cp:coreProperties>
</file>